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51" w:rsidRPr="0002114B" w:rsidRDefault="00BB6E51" w:rsidP="00C66F7B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02114B">
        <w:rPr>
          <w:rFonts w:cs="Arial"/>
          <w:b/>
          <w:sz w:val="24"/>
          <w:szCs w:val="24"/>
        </w:rPr>
        <w:t xml:space="preserve">ACUERDO DE LA </w:t>
      </w:r>
      <w:r w:rsidRPr="0002114B">
        <w:rPr>
          <w:rFonts w:cs="Arial"/>
          <w:b/>
          <w:color w:val="000000"/>
          <w:sz w:val="24"/>
          <w:szCs w:val="24"/>
        </w:rPr>
        <w:t>COMISIÓN DE ASUNTOS MUNICIPALES Y ZONAS METROPOLITANAS, CON RELACIÓN A</w:t>
      </w:r>
      <w:r w:rsidR="00127FB3">
        <w:rPr>
          <w:rFonts w:cs="Arial"/>
          <w:b/>
          <w:color w:val="000000"/>
          <w:sz w:val="24"/>
          <w:szCs w:val="24"/>
        </w:rPr>
        <w:t xml:space="preserve"> LOS ESCRITOS DE LA UNIÓN DE COMERCIANTES VENUSTIANO CARRANZA Y DEL COMITÉ DE ACTIVACIÓN DE LA ECONOMÍA VENUSTIANO CARRANZA DE ARTE</w:t>
      </w:r>
      <w:r w:rsidR="00EF0600">
        <w:rPr>
          <w:rFonts w:cs="Arial"/>
          <w:b/>
          <w:color w:val="000000"/>
          <w:sz w:val="24"/>
          <w:szCs w:val="24"/>
        </w:rPr>
        <w:t>A</w:t>
      </w:r>
      <w:r w:rsidR="00127FB3">
        <w:rPr>
          <w:rFonts w:cs="Arial"/>
          <w:b/>
          <w:color w:val="000000"/>
          <w:sz w:val="24"/>
          <w:szCs w:val="24"/>
        </w:rPr>
        <w:t>GA</w:t>
      </w:r>
      <w:r w:rsidR="00C66F7B">
        <w:rPr>
          <w:rFonts w:cs="Arial"/>
          <w:b/>
          <w:color w:val="000000"/>
          <w:sz w:val="24"/>
          <w:szCs w:val="24"/>
        </w:rPr>
        <w:t xml:space="preserve">, </w:t>
      </w:r>
      <w:r w:rsidR="00193308">
        <w:rPr>
          <w:rFonts w:cs="Arial"/>
          <w:b/>
          <w:color w:val="000000"/>
          <w:sz w:val="24"/>
          <w:szCs w:val="24"/>
        </w:rPr>
        <w:t>MEDIANTE EL CUAL SOLICITAN SE LES AUTORICE LA INSTALACIÓN DE SUS PUESTOS EN LA ALAMEDA</w:t>
      </w:r>
      <w:r w:rsidR="00127FB3">
        <w:rPr>
          <w:rFonts w:cs="Arial"/>
          <w:b/>
          <w:color w:val="000000"/>
          <w:sz w:val="24"/>
          <w:szCs w:val="24"/>
        </w:rPr>
        <w:t xml:space="preserve"> PRINCIPAL DE DICHO MUNICIPIO.</w:t>
      </w:r>
      <w:r w:rsidRPr="0002114B">
        <w:rPr>
          <w:rFonts w:cs="Arial"/>
          <w:b/>
          <w:color w:val="000000"/>
          <w:sz w:val="24"/>
          <w:szCs w:val="24"/>
        </w:rPr>
        <w:t xml:space="preserve"> </w:t>
      </w:r>
    </w:p>
    <w:p w:rsidR="00BB6E51" w:rsidRPr="0002114B" w:rsidRDefault="00BB6E51" w:rsidP="0002114B">
      <w:pPr>
        <w:spacing w:line="360" w:lineRule="auto"/>
        <w:rPr>
          <w:rFonts w:cs="Arial"/>
          <w:b/>
          <w:sz w:val="24"/>
          <w:szCs w:val="24"/>
        </w:rPr>
      </w:pPr>
    </w:p>
    <w:p w:rsidR="00BB6E51" w:rsidRPr="0002114B" w:rsidRDefault="00BB6E51" w:rsidP="0002114B">
      <w:pPr>
        <w:spacing w:line="360" w:lineRule="auto"/>
        <w:rPr>
          <w:rFonts w:cs="Arial"/>
          <w:b/>
          <w:sz w:val="24"/>
          <w:szCs w:val="24"/>
        </w:rPr>
      </w:pPr>
      <w:r w:rsidRPr="0002114B">
        <w:rPr>
          <w:rFonts w:cs="Arial"/>
          <w:sz w:val="24"/>
          <w:szCs w:val="24"/>
        </w:rPr>
        <w:t>La Comisión de Asuntos Municipales y Zonas Metropolitanas, con fundamento en los artículos 102, 116, 117 y demás relativos de la Ley Orgánica del Congreso del Estado, Independiente, Libre y Soberano de Coahuila de Zaragoza, tiene a bien emitir este acuerdo, en base a las siguientes:</w:t>
      </w:r>
    </w:p>
    <w:p w:rsidR="00BB6E51" w:rsidRPr="0002114B" w:rsidRDefault="00BB6E51" w:rsidP="0002114B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B6E51" w:rsidRPr="0002114B" w:rsidRDefault="00BB6E51" w:rsidP="0002114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2114B">
        <w:rPr>
          <w:rFonts w:cs="Arial"/>
          <w:b/>
          <w:sz w:val="24"/>
          <w:szCs w:val="24"/>
        </w:rPr>
        <w:t>C O N S I D E R A C I O N E S</w:t>
      </w:r>
    </w:p>
    <w:p w:rsidR="00BB6E51" w:rsidRPr="0002114B" w:rsidRDefault="00BB6E51" w:rsidP="0002114B">
      <w:pPr>
        <w:spacing w:line="360" w:lineRule="auto"/>
        <w:rPr>
          <w:rFonts w:cs="Arial"/>
          <w:b/>
          <w:sz w:val="24"/>
          <w:szCs w:val="24"/>
        </w:rPr>
      </w:pPr>
    </w:p>
    <w:p w:rsidR="00BB6E51" w:rsidRPr="002A2220" w:rsidRDefault="00127FB3" w:rsidP="00725795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lang w:val="es-MX"/>
        </w:rPr>
      </w:pPr>
      <w:r w:rsidRPr="0002114B">
        <w:rPr>
          <w:rFonts w:ascii="Arial" w:hAnsi="Arial" w:cs="Arial"/>
          <w:b/>
        </w:rPr>
        <w:t>PRIMERA. -</w:t>
      </w:r>
      <w:r w:rsidR="004A3741">
        <w:rPr>
          <w:rFonts w:ascii="Arial" w:hAnsi="Arial" w:cs="Arial"/>
        </w:rPr>
        <w:t xml:space="preserve"> Que </w:t>
      </w:r>
      <w:r w:rsidR="00BB6E51" w:rsidRPr="0002114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ocho</w:t>
      </w:r>
      <w:r w:rsidR="002A2220">
        <w:rPr>
          <w:rFonts w:ascii="Arial" w:hAnsi="Arial" w:cs="Arial"/>
        </w:rPr>
        <w:t xml:space="preserve"> de </w:t>
      </w:r>
      <w:r w:rsidR="004A3741">
        <w:rPr>
          <w:rFonts w:ascii="Arial" w:hAnsi="Arial" w:cs="Arial"/>
        </w:rPr>
        <w:t>ju</w:t>
      </w:r>
      <w:r w:rsidR="002A2220">
        <w:rPr>
          <w:rFonts w:ascii="Arial" w:hAnsi="Arial" w:cs="Arial"/>
        </w:rPr>
        <w:t>l</w:t>
      </w:r>
      <w:r w:rsidR="004A3741">
        <w:rPr>
          <w:rFonts w:ascii="Arial" w:hAnsi="Arial" w:cs="Arial"/>
        </w:rPr>
        <w:t>io de año en curso</w:t>
      </w:r>
      <w:r w:rsidR="00BB6E51" w:rsidRPr="0002114B">
        <w:rPr>
          <w:rFonts w:ascii="Arial" w:hAnsi="Arial" w:cs="Arial"/>
        </w:rPr>
        <w:t xml:space="preserve">, la Oficialía Mayor de este H. Congreso recibió un escrito, </w:t>
      </w:r>
      <w:r w:rsidR="00725795" w:rsidRPr="004A3741">
        <w:rPr>
          <w:rFonts w:ascii="Arial" w:hAnsi="Arial" w:cs="Arial"/>
          <w:lang w:val="es-MX"/>
        </w:rPr>
        <w:t xml:space="preserve">suscrito por </w:t>
      </w:r>
      <w:r>
        <w:rPr>
          <w:rFonts w:ascii="Arial" w:hAnsi="Arial" w:cs="Arial"/>
          <w:lang w:val="es-MX"/>
        </w:rPr>
        <w:t>e</w:t>
      </w:r>
      <w:r w:rsidR="00725795" w:rsidRPr="004A3741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Comité de Activación Económica Venustiano Carranza de Arteaga, mediante el cual solicitan se les autorice la instalación de sus puestos en la Alameda del Municipio de Arteaga Coahuila.</w:t>
      </w:r>
    </w:p>
    <w:p w:rsidR="00BB6E51" w:rsidRPr="0002114B" w:rsidRDefault="00BB6E51" w:rsidP="0002114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BB6E51" w:rsidRDefault="00BB6E51" w:rsidP="0002114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02114B">
        <w:rPr>
          <w:rFonts w:ascii="Arial" w:hAnsi="Arial" w:cs="Arial"/>
          <w:b/>
        </w:rPr>
        <w:t>SEGUNDA.-</w:t>
      </w:r>
      <w:r w:rsidRPr="0002114B">
        <w:rPr>
          <w:rFonts w:ascii="Arial" w:hAnsi="Arial" w:cs="Arial"/>
        </w:rPr>
        <w:t xml:space="preserve"> Que en </w:t>
      </w:r>
      <w:r w:rsidR="002A2220">
        <w:rPr>
          <w:rFonts w:ascii="Arial" w:hAnsi="Arial" w:cs="Arial"/>
        </w:rPr>
        <w:t>sesión celebrada por la Diputación Permanente del Congreso del Estado el 15 de jul</w:t>
      </w:r>
      <w:r w:rsidR="00725795">
        <w:rPr>
          <w:rFonts w:ascii="Arial" w:hAnsi="Arial" w:cs="Arial"/>
        </w:rPr>
        <w:t xml:space="preserve">io del presente año, </w:t>
      </w:r>
      <w:r w:rsidRPr="0002114B">
        <w:rPr>
          <w:rFonts w:ascii="Arial" w:hAnsi="Arial" w:cs="Arial"/>
        </w:rPr>
        <w:t xml:space="preserve">se </w:t>
      </w:r>
      <w:r w:rsidR="00E946E4">
        <w:rPr>
          <w:rFonts w:ascii="Arial" w:hAnsi="Arial" w:cs="Arial"/>
        </w:rPr>
        <w:t xml:space="preserve">dio a conocer </w:t>
      </w:r>
      <w:r w:rsidR="00E946E4" w:rsidRPr="0002114B">
        <w:rPr>
          <w:rFonts w:ascii="Arial" w:hAnsi="Arial" w:cs="Arial"/>
        </w:rPr>
        <w:t xml:space="preserve">el escrito al que se ha hecho referencia </w:t>
      </w:r>
      <w:r w:rsidR="00E946E4">
        <w:rPr>
          <w:rFonts w:ascii="Arial" w:hAnsi="Arial" w:cs="Arial"/>
        </w:rPr>
        <w:t xml:space="preserve">en el </w:t>
      </w:r>
      <w:r w:rsidR="00E946E4" w:rsidRPr="00E946E4">
        <w:rPr>
          <w:rFonts w:ascii="Arial" w:hAnsi="Arial" w:cs="Arial"/>
          <w:i/>
        </w:rPr>
        <w:t>Informe de Correspondencia y Documentación Recibida</w:t>
      </w:r>
      <w:r w:rsidR="00E946E4">
        <w:rPr>
          <w:rFonts w:ascii="Arial" w:hAnsi="Arial" w:cs="Arial"/>
        </w:rPr>
        <w:t xml:space="preserve"> y se </w:t>
      </w:r>
      <w:r w:rsidRPr="0002114B">
        <w:rPr>
          <w:rFonts w:ascii="Arial" w:hAnsi="Arial" w:cs="Arial"/>
        </w:rPr>
        <w:t>acordó turnar a la Comisión de A</w:t>
      </w:r>
      <w:r w:rsidR="00725795">
        <w:rPr>
          <w:rFonts w:ascii="Arial" w:hAnsi="Arial" w:cs="Arial"/>
        </w:rPr>
        <w:t>suntos Municipales y Zonas Metropolitanas</w:t>
      </w:r>
      <w:r w:rsidRPr="0002114B">
        <w:rPr>
          <w:rFonts w:ascii="Arial" w:hAnsi="Arial" w:cs="Arial"/>
        </w:rPr>
        <w:t>.</w:t>
      </w:r>
    </w:p>
    <w:p w:rsidR="002A2220" w:rsidRPr="0002114B" w:rsidRDefault="002A2220" w:rsidP="0002114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9A1DB3" w:rsidRPr="003712FC" w:rsidRDefault="00364EA1" w:rsidP="00D63656">
      <w:pPr>
        <w:spacing w:line="360" w:lineRule="auto"/>
        <w:rPr>
          <w:rFonts w:cs="Arial"/>
          <w:sz w:val="24"/>
          <w:szCs w:val="24"/>
        </w:rPr>
      </w:pPr>
      <w:r w:rsidRPr="003712FC">
        <w:rPr>
          <w:rFonts w:cs="Arial"/>
          <w:b/>
          <w:sz w:val="24"/>
          <w:szCs w:val="24"/>
        </w:rPr>
        <w:t>TERCERO. -</w:t>
      </w:r>
      <w:r w:rsidR="00127FB3">
        <w:rPr>
          <w:rFonts w:cs="Arial"/>
          <w:sz w:val="24"/>
          <w:szCs w:val="24"/>
        </w:rPr>
        <w:t xml:space="preserve"> Que </w:t>
      </w:r>
      <w:r w:rsidR="00D63656">
        <w:rPr>
          <w:rFonts w:cs="Arial"/>
          <w:sz w:val="24"/>
          <w:szCs w:val="24"/>
        </w:rPr>
        <w:t>e</w:t>
      </w:r>
      <w:r w:rsidR="00D63656" w:rsidRPr="003712FC">
        <w:rPr>
          <w:rFonts w:cs="Arial"/>
          <w:sz w:val="24"/>
          <w:szCs w:val="24"/>
        </w:rPr>
        <w:t xml:space="preserve">l escrito suscrito por </w:t>
      </w:r>
      <w:r w:rsidR="00127FB3">
        <w:rPr>
          <w:rFonts w:cs="Arial"/>
          <w:sz w:val="24"/>
          <w:szCs w:val="24"/>
        </w:rPr>
        <w:t xml:space="preserve">el Comité de Activación Económica Venustiano Carranza de Arteaga, se encuentra dirigido al C. Gobernador del Estado Ingeniero Miguel </w:t>
      </w:r>
      <w:r>
        <w:rPr>
          <w:rFonts w:cs="Arial"/>
          <w:sz w:val="24"/>
          <w:szCs w:val="24"/>
        </w:rPr>
        <w:t>Ángel</w:t>
      </w:r>
      <w:r w:rsidR="00127FB3">
        <w:rPr>
          <w:rFonts w:cs="Arial"/>
          <w:sz w:val="24"/>
          <w:szCs w:val="24"/>
        </w:rPr>
        <w:t xml:space="preserve"> Riquelme Solís, </w:t>
      </w:r>
      <w:r>
        <w:rPr>
          <w:rFonts w:cs="Arial"/>
          <w:sz w:val="24"/>
          <w:szCs w:val="24"/>
        </w:rPr>
        <w:t xml:space="preserve">y se desprende de uno de sus párrafos que solicita que se exponga </w:t>
      </w:r>
      <w:r>
        <w:rPr>
          <w:rFonts w:cs="Arial"/>
          <w:sz w:val="24"/>
          <w:szCs w:val="24"/>
        </w:rPr>
        <w:lastRenderedPageBreak/>
        <w:t>su caso ante los Diputados del H. Congreso del Estado con la finalidad de que se les autorice la instalación de los puestos en la Alameda del Municipio de Arteaga.</w:t>
      </w:r>
      <w:r w:rsidR="009A1DB3">
        <w:rPr>
          <w:rFonts w:cs="Arial"/>
          <w:sz w:val="24"/>
          <w:szCs w:val="24"/>
        </w:rPr>
        <w:t xml:space="preserve"> </w:t>
      </w:r>
    </w:p>
    <w:p w:rsidR="00D63656" w:rsidRPr="003712FC" w:rsidRDefault="00D63656" w:rsidP="00D63656">
      <w:pPr>
        <w:spacing w:line="360" w:lineRule="auto"/>
        <w:rPr>
          <w:rFonts w:cs="Arial"/>
          <w:sz w:val="24"/>
          <w:szCs w:val="24"/>
        </w:rPr>
      </w:pPr>
    </w:p>
    <w:p w:rsidR="000155D0" w:rsidRPr="000155D0" w:rsidRDefault="00D63656" w:rsidP="00A00969">
      <w:pPr>
        <w:spacing w:line="360" w:lineRule="auto"/>
        <w:rPr>
          <w:rFonts w:cs="Arial"/>
          <w:bCs/>
          <w:snapToGrid w:val="0"/>
          <w:sz w:val="24"/>
          <w:szCs w:val="24"/>
        </w:rPr>
      </w:pPr>
      <w:r w:rsidRPr="003712FC">
        <w:rPr>
          <w:rFonts w:cs="Arial"/>
          <w:b/>
          <w:sz w:val="24"/>
          <w:szCs w:val="24"/>
        </w:rPr>
        <w:t xml:space="preserve">CUARTO.- </w:t>
      </w:r>
      <w:r w:rsidR="000155D0">
        <w:rPr>
          <w:rFonts w:cs="Arial"/>
          <w:sz w:val="24"/>
          <w:szCs w:val="24"/>
        </w:rPr>
        <w:t>D</w:t>
      </w:r>
      <w:r w:rsidR="00A00969">
        <w:rPr>
          <w:rFonts w:cs="Arial"/>
          <w:sz w:val="24"/>
          <w:szCs w:val="24"/>
        </w:rPr>
        <w:t xml:space="preserve">el estudio realizado al escrito en mención </w:t>
      </w:r>
      <w:r w:rsidR="00FF64A3">
        <w:rPr>
          <w:rFonts w:cs="Arial"/>
          <w:sz w:val="24"/>
          <w:szCs w:val="24"/>
        </w:rPr>
        <w:t xml:space="preserve">turnado a esta Comisión de Asuntos Municipales y Zonas Metropolitanas, </w:t>
      </w:r>
      <w:r w:rsidR="000155D0" w:rsidRPr="000155D0">
        <w:rPr>
          <w:rFonts w:cs="Arial"/>
          <w:bCs/>
          <w:snapToGrid w:val="0"/>
          <w:sz w:val="24"/>
          <w:szCs w:val="24"/>
        </w:rPr>
        <w:t>podemos advertir que</w:t>
      </w:r>
      <w:r w:rsidR="00364EA1">
        <w:rPr>
          <w:rFonts w:cs="Arial"/>
          <w:bCs/>
          <w:snapToGrid w:val="0"/>
          <w:sz w:val="24"/>
          <w:szCs w:val="24"/>
        </w:rPr>
        <w:t xml:space="preserve"> aunque se encuentra dirigido al Gobernador del Estado, dentro de dicho ocurso solicitan la intervención </w:t>
      </w:r>
      <w:r w:rsidR="00061636">
        <w:rPr>
          <w:rFonts w:cs="Arial"/>
          <w:bCs/>
          <w:snapToGrid w:val="0"/>
          <w:sz w:val="24"/>
          <w:szCs w:val="24"/>
        </w:rPr>
        <w:t xml:space="preserve">de este H. Congreso, </w:t>
      </w:r>
      <w:r w:rsidR="00364EA1">
        <w:rPr>
          <w:rFonts w:cs="Arial"/>
          <w:bCs/>
          <w:snapToGrid w:val="0"/>
          <w:sz w:val="24"/>
          <w:szCs w:val="24"/>
        </w:rPr>
        <w:t>anexando al mismo copias simples de identificaciones oficiales de diferentes comerciantes que se instalan domingo a domingo en la Alameda del Municipio de Arteaga, Coahuila.</w:t>
      </w:r>
    </w:p>
    <w:p w:rsidR="00FF64A3" w:rsidRPr="00FF64A3" w:rsidRDefault="00FF64A3" w:rsidP="00FF64A3">
      <w:pPr>
        <w:spacing w:line="360" w:lineRule="auto"/>
        <w:rPr>
          <w:rFonts w:cs="Arial"/>
          <w:bCs/>
          <w:sz w:val="24"/>
          <w:szCs w:val="24"/>
          <w:lang w:val="es-ES"/>
        </w:rPr>
      </w:pPr>
    </w:p>
    <w:p w:rsidR="00101E21" w:rsidRPr="00101E21" w:rsidRDefault="00272D1C" w:rsidP="00101E21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  <w:lang w:val="es-ES"/>
        </w:rPr>
        <w:t>Ante lo anterior</w:t>
      </w:r>
      <w:r w:rsidR="00FF64A3">
        <w:rPr>
          <w:rFonts w:cs="Arial"/>
          <w:bCs/>
          <w:sz w:val="24"/>
          <w:szCs w:val="24"/>
          <w:lang w:val="es-ES"/>
        </w:rPr>
        <w:t>,</w:t>
      </w:r>
      <w:r w:rsidR="00246BFC">
        <w:rPr>
          <w:rFonts w:cs="Arial"/>
          <w:bCs/>
          <w:sz w:val="24"/>
          <w:szCs w:val="24"/>
          <w:lang w:val="es-ES"/>
        </w:rPr>
        <w:t xml:space="preserve"> esta Comisión </w:t>
      </w:r>
      <w:r w:rsidR="00FF64A3" w:rsidRPr="00FF64A3">
        <w:rPr>
          <w:rFonts w:cs="Arial"/>
          <w:bCs/>
          <w:sz w:val="24"/>
          <w:szCs w:val="24"/>
        </w:rPr>
        <w:t>a</w:t>
      </w:r>
      <w:r w:rsidR="00364EA1">
        <w:rPr>
          <w:rFonts w:cs="Arial"/>
          <w:bCs/>
          <w:sz w:val="24"/>
          <w:szCs w:val="24"/>
        </w:rPr>
        <w:t xml:space="preserve">dvierte que </w:t>
      </w:r>
      <w:r w:rsidR="00246BFC">
        <w:rPr>
          <w:rFonts w:cs="Arial"/>
          <w:bCs/>
          <w:sz w:val="24"/>
          <w:szCs w:val="24"/>
        </w:rPr>
        <w:t>la</w:t>
      </w:r>
      <w:r w:rsidR="00925A32">
        <w:rPr>
          <w:rFonts w:cs="Arial"/>
          <w:bCs/>
          <w:sz w:val="24"/>
          <w:szCs w:val="24"/>
        </w:rPr>
        <w:t xml:space="preserve"> autorización para que los comerciantes del Municipio de Arteaga, Coahuila pudieran reactivar su actividad económica en la Alameda de dicho municipio, le compete al Comité Técnico</w:t>
      </w:r>
      <w:r w:rsidR="00061636">
        <w:rPr>
          <w:rFonts w:cs="Arial"/>
          <w:bCs/>
          <w:sz w:val="24"/>
          <w:szCs w:val="24"/>
        </w:rPr>
        <w:t xml:space="preserve"> para el Control y Prevención del </w:t>
      </w:r>
      <w:proofErr w:type="spellStart"/>
      <w:r w:rsidR="00061636">
        <w:rPr>
          <w:rFonts w:cs="Arial"/>
          <w:bCs/>
          <w:sz w:val="24"/>
          <w:szCs w:val="24"/>
        </w:rPr>
        <w:t>Covid</w:t>
      </w:r>
      <w:proofErr w:type="spellEnd"/>
      <w:r w:rsidR="00061636">
        <w:rPr>
          <w:rFonts w:cs="Arial"/>
          <w:bCs/>
          <w:sz w:val="24"/>
          <w:szCs w:val="24"/>
        </w:rPr>
        <w:t xml:space="preserve"> 19 y a los Subcomités Técnicos Regionales </w:t>
      </w:r>
      <w:r w:rsidR="00101E21">
        <w:rPr>
          <w:rFonts w:cs="Arial"/>
          <w:bCs/>
          <w:sz w:val="24"/>
          <w:szCs w:val="24"/>
        </w:rPr>
        <w:t xml:space="preserve">ya que los mismos fueron creados con el objeto de diseñar las acciones del </w:t>
      </w:r>
      <w:r w:rsidR="00E946E4">
        <w:rPr>
          <w:rFonts w:cs="Arial"/>
          <w:bCs/>
          <w:sz w:val="24"/>
          <w:szCs w:val="24"/>
        </w:rPr>
        <w:t>G</w:t>
      </w:r>
      <w:r w:rsidR="00101E21">
        <w:rPr>
          <w:rFonts w:cs="Arial"/>
          <w:bCs/>
          <w:sz w:val="24"/>
          <w:szCs w:val="24"/>
        </w:rPr>
        <w:t>obierno del Estado frente a la pandemia</w:t>
      </w:r>
      <w:r w:rsidR="00E946E4">
        <w:rPr>
          <w:rFonts w:cs="Arial"/>
          <w:bCs/>
          <w:sz w:val="24"/>
          <w:szCs w:val="24"/>
        </w:rPr>
        <w:t>,</w:t>
      </w:r>
      <w:r w:rsidR="00101E21">
        <w:rPr>
          <w:rFonts w:cs="Arial"/>
          <w:bCs/>
          <w:sz w:val="24"/>
          <w:szCs w:val="24"/>
        </w:rPr>
        <w:t xml:space="preserve"> participando en ellos </w:t>
      </w:r>
      <w:r w:rsidR="00101E21" w:rsidRPr="00101E21">
        <w:rPr>
          <w:rFonts w:cs="Arial"/>
          <w:bCs/>
          <w:sz w:val="24"/>
          <w:szCs w:val="24"/>
        </w:rPr>
        <w:t xml:space="preserve">el </w:t>
      </w:r>
      <w:r w:rsidR="00E946E4">
        <w:rPr>
          <w:rFonts w:cs="Arial"/>
          <w:bCs/>
          <w:sz w:val="24"/>
          <w:szCs w:val="24"/>
        </w:rPr>
        <w:t>G</w:t>
      </w:r>
      <w:r w:rsidR="00101E21" w:rsidRPr="00101E21">
        <w:rPr>
          <w:rFonts w:cs="Arial"/>
          <w:bCs/>
          <w:sz w:val="24"/>
          <w:szCs w:val="24"/>
        </w:rPr>
        <w:t xml:space="preserve">obierno del Estado, </w:t>
      </w:r>
      <w:r w:rsidR="006911F5">
        <w:rPr>
          <w:rFonts w:cs="Arial"/>
          <w:bCs/>
          <w:sz w:val="24"/>
          <w:szCs w:val="24"/>
        </w:rPr>
        <w:t>Alcaldes de la Región, así como el E</w:t>
      </w:r>
      <w:r w:rsidR="00101E21" w:rsidRPr="00101E21">
        <w:rPr>
          <w:rFonts w:cs="Arial"/>
          <w:bCs/>
          <w:sz w:val="24"/>
          <w:szCs w:val="24"/>
        </w:rPr>
        <w:t xml:space="preserve">jército </w:t>
      </w:r>
      <w:r w:rsidR="006911F5">
        <w:rPr>
          <w:rFonts w:cs="Arial"/>
          <w:bCs/>
          <w:sz w:val="24"/>
          <w:szCs w:val="24"/>
        </w:rPr>
        <w:t>Mexicano, la Guardia N</w:t>
      </w:r>
      <w:r w:rsidR="00101E21" w:rsidRPr="00101E21">
        <w:rPr>
          <w:rFonts w:cs="Arial"/>
          <w:bCs/>
          <w:sz w:val="24"/>
          <w:szCs w:val="24"/>
        </w:rPr>
        <w:t>acional y representantes de todos los hospitales públicos y privados de la región</w:t>
      </w:r>
      <w:r w:rsidR="00101E21">
        <w:rPr>
          <w:rFonts w:cs="Arial"/>
          <w:bCs/>
          <w:sz w:val="24"/>
          <w:szCs w:val="24"/>
        </w:rPr>
        <w:t xml:space="preserve">.  </w:t>
      </w:r>
    </w:p>
    <w:p w:rsidR="00101E21" w:rsidRDefault="00101E21" w:rsidP="00364EA1">
      <w:pPr>
        <w:spacing w:line="360" w:lineRule="auto"/>
        <w:rPr>
          <w:rFonts w:cs="Arial"/>
          <w:bCs/>
          <w:sz w:val="24"/>
          <w:szCs w:val="24"/>
        </w:rPr>
      </w:pPr>
    </w:p>
    <w:p w:rsidR="00101E21" w:rsidRDefault="00101E21" w:rsidP="00364EA1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Además,</w:t>
      </w:r>
      <w:r w:rsidR="00061636">
        <w:rPr>
          <w:rFonts w:cs="Arial"/>
          <w:bCs/>
          <w:sz w:val="24"/>
          <w:szCs w:val="24"/>
        </w:rPr>
        <w:t xml:space="preserve"> mediante decreto publicado en el Periódico Oficial del Estado</w:t>
      </w:r>
      <w:r w:rsidR="00D46AAD">
        <w:rPr>
          <w:rFonts w:cs="Arial"/>
          <w:bCs/>
          <w:sz w:val="24"/>
          <w:szCs w:val="24"/>
        </w:rPr>
        <w:t xml:space="preserve"> en fecha 29 de mayo de</w:t>
      </w:r>
      <w:r w:rsidR="00E946E4">
        <w:rPr>
          <w:rFonts w:cs="Arial"/>
          <w:bCs/>
          <w:sz w:val="24"/>
          <w:szCs w:val="24"/>
        </w:rPr>
        <w:t>l</w:t>
      </w:r>
      <w:r w:rsidR="00D46AAD">
        <w:rPr>
          <w:rFonts w:cs="Arial"/>
          <w:bCs/>
          <w:sz w:val="24"/>
          <w:szCs w:val="24"/>
        </w:rPr>
        <w:t xml:space="preserve"> año en curso, </w:t>
      </w:r>
      <w:r>
        <w:rPr>
          <w:rFonts w:cs="Arial"/>
          <w:bCs/>
          <w:sz w:val="24"/>
          <w:szCs w:val="24"/>
        </w:rPr>
        <w:t>se estableció</w:t>
      </w:r>
      <w:r w:rsidR="00D46AAD">
        <w:rPr>
          <w:rFonts w:cs="Arial"/>
          <w:bCs/>
          <w:sz w:val="24"/>
          <w:szCs w:val="24"/>
        </w:rPr>
        <w:t xml:space="preserve"> que el Comité y el Subcomité Técnico Regional </w:t>
      </w:r>
      <w:r>
        <w:rPr>
          <w:rFonts w:cs="Arial"/>
          <w:bCs/>
          <w:sz w:val="24"/>
          <w:szCs w:val="24"/>
        </w:rPr>
        <w:t>son los encargados de</w:t>
      </w:r>
      <w:r w:rsidR="00D46AAD">
        <w:rPr>
          <w:rFonts w:cs="Arial"/>
          <w:bCs/>
          <w:sz w:val="24"/>
          <w:szCs w:val="24"/>
        </w:rPr>
        <w:t xml:space="preserve"> determinar la reapertura de las actividades económicas, tomando en cuenta </w:t>
      </w:r>
      <w:r w:rsidR="001B59B4">
        <w:rPr>
          <w:rFonts w:cs="Arial"/>
          <w:bCs/>
          <w:sz w:val="24"/>
          <w:szCs w:val="24"/>
        </w:rPr>
        <w:t>las circunstancias de cada región del Estado, y el m</w:t>
      </w:r>
      <w:r>
        <w:rPr>
          <w:rFonts w:cs="Arial"/>
          <w:bCs/>
          <w:sz w:val="24"/>
          <w:szCs w:val="24"/>
        </w:rPr>
        <w:t>ayor o menor riesgo de contagio, revisando y analizando los aspectos</w:t>
      </w:r>
      <w:r w:rsidR="00246BFC">
        <w:rPr>
          <w:rFonts w:cs="Arial"/>
          <w:bCs/>
          <w:sz w:val="24"/>
          <w:szCs w:val="24"/>
        </w:rPr>
        <w:t xml:space="preserve"> estratégicos para la seguridad y</w:t>
      </w:r>
      <w:r>
        <w:rPr>
          <w:rFonts w:cs="Arial"/>
          <w:bCs/>
          <w:sz w:val="24"/>
          <w:szCs w:val="24"/>
        </w:rPr>
        <w:t xml:space="preserve"> salud.</w:t>
      </w:r>
    </w:p>
    <w:p w:rsidR="00101E21" w:rsidRDefault="00101E21" w:rsidP="00364EA1">
      <w:pPr>
        <w:spacing w:line="360" w:lineRule="auto"/>
        <w:rPr>
          <w:rFonts w:cs="Arial"/>
          <w:bCs/>
          <w:sz w:val="24"/>
          <w:szCs w:val="24"/>
        </w:rPr>
      </w:pPr>
    </w:p>
    <w:p w:rsidR="00633A50" w:rsidRDefault="00246BFC" w:rsidP="00633A50">
      <w:pPr>
        <w:spacing w:line="36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Por ello, fue que a p</w:t>
      </w:r>
      <w:r w:rsidR="00633A50">
        <w:rPr>
          <w:rFonts w:cs="Arial"/>
          <w:sz w:val="24"/>
          <w:szCs w:val="24"/>
          <w:lang w:val="es-ES"/>
        </w:rPr>
        <w:t>rincipios del mes de octubre el Subcomité Técnico</w:t>
      </w:r>
      <w:r w:rsidR="00403EA8">
        <w:rPr>
          <w:rFonts w:cs="Arial"/>
          <w:sz w:val="24"/>
          <w:szCs w:val="24"/>
          <w:lang w:val="es-ES"/>
        </w:rPr>
        <w:t xml:space="preserve"> Regional Covid-19 Región Sureste, c</w:t>
      </w:r>
      <w:r w:rsidR="00633A50" w:rsidRPr="00633A50">
        <w:rPr>
          <w:rFonts w:cs="Arial"/>
          <w:sz w:val="24"/>
          <w:szCs w:val="24"/>
          <w:lang w:val="es-ES"/>
        </w:rPr>
        <w:t xml:space="preserve">on el objetivo de despresurizar la afluencia a los diferentes cañones de la sierra de Arteaga, así como reactivar la economía del municipio, aprobó la </w:t>
      </w:r>
      <w:r w:rsidR="00633A50" w:rsidRPr="00633A50">
        <w:rPr>
          <w:rFonts w:cs="Arial"/>
          <w:sz w:val="24"/>
          <w:szCs w:val="24"/>
          <w:lang w:val="es-ES"/>
        </w:rPr>
        <w:lastRenderedPageBreak/>
        <w:t>reactivación de comercios en la Alameda de esa localidad, bajo protocolo</w:t>
      </w:r>
      <w:r>
        <w:rPr>
          <w:rFonts w:cs="Arial"/>
          <w:sz w:val="24"/>
          <w:szCs w:val="24"/>
          <w:lang w:val="es-ES"/>
        </w:rPr>
        <w:t>s de salud y de seguridad entre los cuales se encuentran los siguientes</w:t>
      </w:r>
      <w:r w:rsidR="00633A50" w:rsidRPr="00633A50">
        <w:rPr>
          <w:rFonts w:cs="Arial"/>
          <w:sz w:val="24"/>
          <w:szCs w:val="24"/>
          <w:lang w:val="es-ES"/>
        </w:rPr>
        <w:t>:</w:t>
      </w:r>
    </w:p>
    <w:p w:rsidR="00E946E4" w:rsidRPr="00633A50" w:rsidRDefault="00E946E4" w:rsidP="00633A50">
      <w:pPr>
        <w:spacing w:line="360" w:lineRule="auto"/>
        <w:rPr>
          <w:rFonts w:cs="Arial"/>
          <w:sz w:val="24"/>
          <w:szCs w:val="24"/>
          <w:lang w:val="es-ES"/>
        </w:rPr>
      </w:pPr>
    </w:p>
    <w:p w:rsidR="00633A50" w:rsidRPr="00633A50" w:rsidRDefault="00633A50" w:rsidP="00633A50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 xml:space="preserve">•       Uso obligatorio de </w:t>
      </w:r>
      <w:r w:rsidR="00246BFC" w:rsidRPr="00633A50">
        <w:rPr>
          <w:rFonts w:cs="Arial"/>
          <w:sz w:val="24"/>
          <w:szCs w:val="24"/>
          <w:lang w:val="es-ES"/>
        </w:rPr>
        <w:t>cubre bocas</w:t>
      </w:r>
      <w:r w:rsidRPr="00633A50">
        <w:rPr>
          <w:rFonts w:cs="Arial"/>
          <w:sz w:val="24"/>
          <w:szCs w:val="24"/>
          <w:lang w:val="es-ES"/>
        </w:rPr>
        <w:t xml:space="preserve"> y gel anti</w:t>
      </w:r>
      <w:r w:rsidR="00246BFC">
        <w:rPr>
          <w:rFonts w:cs="Arial"/>
          <w:sz w:val="24"/>
          <w:szCs w:val="24"/>
          <w:lang w:val="es-ES"/>
        </w:rPr>
        <w:t>-</w:t>
      </w:r>
      <w:proofErr w:type="spellStart"/>
      <w:r w:rsidRPr="00633A50">
        <w:rPr>
          <w:rFonts w:cs="Arial"/>
          <w:sz w:val="24"/>
          <w:szCs w:val="24"/>
          <w:lang w:val="es-ES"/>
        </w:rPr>
        <w:t>bacterial</w:t>
      </w:r>
      <w:proofErr w:type="spellEnd"/>
      <w:r w:rsidRPr="00633A50">
        <w:rPr>
          <w:rFonts w:cs="Arial"/>
          <w:sz w:val="24"/>
          <w:szCs w:val="24"/>
          <w:lang w:val="es-ES"/>
        </w:rPr>
        <w:t xml:space="preserve"> por parte de los comerciantes; •       </w:t>
      </w:r>
      <w:proofErr w:type="spellStart"/>
      <w:r w:rsidR="00246BFC">
        <w:rPr>
          <w:rFonts w:cs="Arial"/>
          <w:sz w:val="24"/>
          <w:szCs w:val="24"/>
          <w:lang w:val="es-ES"/>
        </w:rPr>
        <w:t>S</w:t>
      </w:r>
      <w:r w:rsidRPr="00633A50">
        <w:rPr>
          <w:rFonts w:cs="Arial"/>
          <w:sz w:val="24"/>
          <w:szCs w:val="24"/>
          <w:lang w:val="es-ES"/>
        </w:rPr>
        <w:t>anitizar</w:t>
      </w:r>
      <w:proofErr w:type="spellEnd"/>
      <w:r w:rsidRPr="00633A50">
        <w:rPr>
          <w:rFonts w:cs="Arial"/>
          <w:sz w:val="24"/>
          <w:szCs w:val="24"/>
          <w:lang w:val="es-ES"/>
        </w:rPr>
        <w:t xml:space="preserve"> frecuentemente s</w:t>
      </w:r>
      <w:r w:rsidR="00246BFC">
        <w:rPr>
          <w:rFonts w:cs="Arial"/>
          <w:sz w:val="24"/>
          <w:szCs w:val="24"/>
          <w:lang w:val="es-ES"/>
        </w:rPr>
        <w:t>us lugares de trabajo;</w:t>
      </w:r>
    </w:p>
    <w:p w:rsidR="00633A50" w:rsidRPr="00633A50" w:rsidRDefault="00633A50" w:rsidP="00246BFC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>•       El aforo será controlado mediante filtros a las entradas de la alameda, máximo 2 mil personas.</w:t>
      </w:r>
    </w:p>
    <w:p w:rsidR="00633A50" w:rsidRPr="00633A50" w:rsidRDefault="00633A50" w:rsidP="00633A50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>•       Se instalarán puestos únicamente en espacios de 3 por 3 metros.</w:t>
      </w:r>
    </w:p>
    <w:p w:rsidR="00633A50" w:rsidRPr="00633A50" w:rsidRDefault="00633A50" w:rsidP="00633A50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>•       Deberán quedar siempre libre los pasillos centrales del mercado.</w:t>
      </w:r>
    </w:p>
    <w:p w:rsidR="00633A50" w:rsidRPr="00633A50" w:rsidRDefault="00633A50" w:rsidP="00633A50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>•       Se deberá instalar la mercancía en límite interior de cada puesto.</w:t>
      </w:r>
    </w:p>
    <w:p w:rsidR="00633A50" w:rsidRPr="00633A50" w:rsidRDefault="00633A50" w:rsidP="00633A50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>•       El horario será todos los domingos durante todo el día.</w:t>
      </w:r>
    </w:p>
    <w:p w:rsidR="00633A50" w:rsidRPr="00633A50" w:rsidRDefault="00633A50" w:rsidP="00633A50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>•       Estas medidas sanitarias serán supervisadas por 20 vigilantes de la salud.</w:t>
      </w:r>
    </w:p>
    <w:p w:rsidR="00633A50" w:rsidRPr="00633A50" w:rsidRDefault="00633A50" w:rsidP="00633A50">
      <w:pPr>
        <w:spacing w:line="360" w:lineRule="auto"/>
        <w:rPr>
          <w:rFonts w:cs="Arial"/>
          <w:sz w:val="24"/>
          <w:szCs w:val="24"/>
          <w:lang w:val="es-ES"/>
        </w:rPr>
      </w:pPr>
      <w:r w:rsidRPr="00633A50">
        <w:rPr>
          <w:rFonts w:cs="Arial"/>
          <w:sz w:val="24"/>
          <w:szCs w:val="24"/>
          <w:lang w:val="es-ES"/>
        </w:rPr>
        <w:t>•       En dado caso de que el locatario incumpla las medidas sanitarias, será notificado con una advertencia y posteriormente podría llegar a ser acreedor de una multa o cancelación de su permiso.</w:t>
      </w:r>
    </w:p>
    <w:p w:rsidR="00D63656" w:rsidRPr="00633A50" w:rsidRDefault="00D63656" w:rsidP="00D63656">
      <w:pPr>
        <w:spacing w:line="360" w:lineRule="auto"/>
        <w:rPr>
          <w:rFonts w:cs="Arial"/>
          <w:sz w:val="24"/>
          <w:szCs w:val="24"/>
          <w:lang w:val="es-ES"/>
        </w:rPr>
      </w:pPr>
    </w:p>
    <w:p w:rsidR="003A1E95" w:rsidRDefault="00D63656" w:rsidP="00D636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3712FC">
        <w:rPr>
          <w:rFonts w:ascii="Arial" w:hAnsi="Arial" w:cs="Arial"/>
        </w:rPr>
        <w:t xml:space="preserve">Por las razones expuestas anteriormente, habiendo analizado </w:t>
      </w:r>
      <w:r w:rsidR="00272D1C">
        <w:rPr>
          <w:rFonts w:ascii="Arial" w:hAnsi="Arial" w:cs="Arial"/>
        </w:rPr>
        <w:t>el</w:t>
      </w:r>
      <w:r w:rsidRPr="003712FC">
        <w:rPr>
          <w:rFonts w:ascii="Arial" w:hAnsi="Arial" w:cs="Arial"/>
        </w:rPr>
        <w:t xml:space="preserve"> escrito turnado</w:t>
      </w:r>
      <w:r w:rsidR="00474983">
        <w:rPr>
          <w:rFonts w:ascii="Arial" w:hAnsi="Arial" w:cs="Arial"/>
        </w:rPr>
        <w:t xml:space="preserve"> a esta Comisión</w:t>
      </w:r>
      <w:r w:rsidRPr="003712FC">
        <w:rPr>
          <w:rFonts w:ascii="Arial" w:hAnsi="Arial" w:cs="Arial"/>
        </w:rPr>
        <w:t>,</w:t>
      </w:r>
      <w:r w:rsidR="00246BFC">
        <w:rPr>
          <w:rFonts w:ascii="Arial" w:hAnsi="Arial" w:cs="Arial"/>
        </w:rPr>
        <w:t xml:space="preserve"> y ya que actualmente a los comerciantes de la Alameda del Municipio de Arteaga les ha sido autorizado la reactivación del comercio e</w:t>
      </w:r>
      <w:r w:rsidR="003A1E95">
        <w:rPr>
          <w:rFonts w:ascii="Arial" w:hAnsi="Arial" w:cs="Arial"/>
        </w:rPr>
        <w:t>n dicho lugar, es que consideramos satisfecha la solicitud del Comité de Activación de la Economía en Arteaga.</w:t>
      </w:r>
    </w:p>
    <w:p w:rsidR="003A1E95" w:rsidRDefault="003A1E95" w:rsidP="00D636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D63656" w:rsidRPr="003712FC" w:rsidRDefault="003A1E95" w:rsidP="00D636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</w:t>
      </w:r>
      <w:r w:rsidR="00D63656" w:rsidRPr="003712FC">
        <w:rPr>
          <w:rFonts w:ascii="Arial" w:hAnsi="Arial" w:cs="Arial"/>
        </w:rPr>
        <w:t xml:space="preserve"> con fundamento en lo dispuesto por los artículos 116, 117 y demás relativos de la Ley Orgánica del Congreso del Estado Independiente Libre y Soberano de Coahuila de Zaragoza, los integrantes de la Comisión de Asuntos Municipales y Zonas Metropolitanas, tenemos a bien emitir el siguiente:</w:t>
      </w:r>
    </w:p>
    <w:p w:rsidR="00D63656" w:rsidRDefault="00D63656" w:rsidP="00D636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D63656" w:rsidRPr="003712FC" w:rsidRDefault="00D63656" w:rsidP="00D6365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712FC">
        <w:rPr>
          <w:rFonts w:cs="Arial"/>
          <w:b/>
          <w:sz w:val="24"/>
          <w:szCs w:val="24"/>
        </w:rPr>
        <w:t>A C U E R D O</w:t>
      </w:r>
    </w:p>
    <w:p w:rsidR="00D63656" w:rsidRPr="002457FE" w:rsidRDefault="00D63656" w:rsidP="002457FE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E946E4" w:rsidRPr="00E946E4" w:rsidRDefault="002457FE" w:rsidP="002457FE">
      <w:pPr>
        <w:spacing w:line="360" w:lineRule="auto"/>
        <w:rPr>
          <w:rFonts w:eastAsia="Calibri" w:cs="Arial"/>
          <w:sz w:val="24"/>
          <w:szCs w:val="24"/>
        </w:rPr>
      </w:pPr>
      <w:r w:rsidRPr="002457FE">
        <w:rPr>
          <w:rFonts w:eastAsia="Calibri" w:cs="Arial"/>
          <w:b/>
          <w:sz w:val="24"/>
          <w:szCs w:val="24"/>
        </w:rPr>
        <w:lastRenderedPageBreak/>
        <w:t>PRIMERO.-</w:t>
      </w:r>
      <w:r w:rsidRPr="002457FE">
        <w:rPr>
          <w:rFonts w:eastAsia="Calibri" w:cs="Arial"/>
          <w:sz w:val="24"/>
          <w:szCs w:val="24"/>
        </w:rPr>
        <w:t xml:space="preserve"> </w:t>
      </w:r>
      <w:r w:rsidR="00364EA1">
        <w:rPr>
          <w:rFonts w:eastAsia="Calibri" w:cs="Arial"/>
          <w:sz w:val="24"/>
          <w:szCs w:val="24"/>
        </w:rPr>
        <w:t xml:space="preserve">Este Congreso no es competente para determinar o resolver la solicitud de los </w:t>
      </w:r>
      <w:proofErr w:type="spellStart"/>
      <w:r w:rsidR="00364EA1">
        <w:rPr>
          <w:rFonts w:eastAsia="Calibri" w:cs="Arial"/>
          <w:sz w:val="24"/>
          <w:szCs w:val="24"/>
        </w:rPr>
        <w:t>promoventes</w:t>
      </w:r>
      <w:proofErr w:type="spellEnd"/>
      <w:r w:rsidR="00364EA1">
        <w:rPr>
          <w:rFonts w:eastAsia="Calibri" w:cs="Arial"/>
          <w:sz w:val="24"/>
          <w:szCs w:val="24"/>
        </w:rPr>
        <w:t xml:space="preserve"> en relación a la reactivación de los puestos que se instalan los domingos en la Alameda del </w:t>
      </w:r>
      <w:r w:rsidR="00364EA1" w:rsidRPr="00E946E4">
        <w:rPr>
          <w:rFonts w:eastAsia="Calibri" w:cs="Arial"/>
          <w:sz w:val="24"/>
          <w:szCs w:val="24"/>
        </w:rPr>
        <w:t>Municipio de Arteaga, Coahuila</w:t>
      </w:r>
      <w:r w:rsidR="00E946E4" w:rsidRPr="00E946E4">
        <w:rPr>
          <w:rFonts w:eastAsia="Calibri" w:cs="Arial"/>
          <w:sz w:val="24"/>
          <w:szCs w:val="24"/>
        </w:rPr>
        <w:t xml:space="preserve">, toda vez que esto corresponde a los </w:t>
      </w:r>
      <w:r w:rsidR="00E946E4" w:rsidRPr="00E946E4">
        <w:rPr>
          <w:rFonts w:cs="Arial"/>
          <w:bCs/>
          <w:sz w:val="24"/>
          <w:szCs w:val="24"/>
        </w:rPr>
        <w:t xml:space="preserve">Comité Técnico para el Control y Prevención del </w:t>
      </w:r>
      <w:proofErr w:type="spellStart"/>
      <w:r w:rsidR="00E946E4" w:rsidRPr="00E946E4">
        <w:rPr>
          <w:rFonts w:cs="Arial"/>
          <w:bCs/>
          <w:sz w:val="24"/>
          <w:szCs w:val="24"/>
        </w:rPr>
        <w:t>Covid</w:t>
      </w:r>
      <w:proofErr w:type="spellEnd"/>
      <w:r w:rsidR="00E946E4" w:rsidRPr="00E946E4">
        <w:rPr>
          <w:rFonts w:cs="Arial"/>
          <w:bCs/>
          <w:sz w:val="24"/>
          <w:szCs w:val="24"/>
        </w:rPr>
        <w:t xml:space="preserve"> 19 y a los Subcomités Técnicos Regionales, </w:t>
      </w:r>
      <w:r w:rsidR="00E946E4">
        <w:rPr>
          <w:rFonts w:cs="Arial"/>
          <w:bCs/>
          <w:sz w:val="24"/>
          <w:szCs w:val="24"/>
        </w:rPr>
        <w:t xml:space="preserve">quienes ya </w:t>
      </w:r>
      <w:r w:rsidR="00E946E4" w:rsidRPr="00E946E4">
        <w:rPr>
          <w:rFonts w:cs="Arial"/>
          <w:sz w:val="24"/>
          <w:szCs w:val="24"/>
        </w:rPr>
        <w:t>autoriza</w:t>
      </w:r>
      <w:r w:rsidR="00E946E4">
        <w:rPr>
          <w:rFonts w:cs="Arial"/>
          <w:sz w:val="24"/>
          <w:szCs w:val="24"/>
        </w:rPr>
        <w:t>ron</w:t>
      </w:r>
      <w:r w:rsidR="00E946E4" w:rsidRPr="00E946E4">
        <w:rPr>
          <w:rFonts w:cs="Arial"/>
          <w:sz w:val="24"/>
          <w:szCs w:val="24"/>
        </w:rPr>
        <w:t xml:space="preserve"> la reactivación del comercio en dicho lugar </w:t>
      </w:r>
      <w:r w:rsidR="00E946E4" w:rsidRPr="00E946E4">
        <w:rPr>
          <w:rFonts w:cs="Arial"/>
          <w:sz w:val="24"/>
          <w:szCs w:val="24"/>
          <w:lang w:val="es-ES"/>
        </w:rPr>
        <w:t>bajo protocolos de salud y de seguridad,</w:t>
      </w:r>
      <w:r w:rsidR="00E946E4" w:rsidRPr="00E946E4">
        <w:rPr>
          <w:rFonts w:cs="Arial"/>
          <w:bCs/>
          <w:sz w:val="24"/>
          <w:szCs w:val="24"/>
        </w:rPr>
        <w:t xml:space="preserve"> como se señala en el considerando </w:t>
      </w:r>
      <w:r w:rsidR="00E946E4">
        <w:rPr>
          <w:rFonts w:cs="Arial"/>
          <w:bCs/>
          <w:sz w:val="24"/>
          <w:szCs w:val="24"/>
        </w:rPr>
        <w:t>cuarto de este Acuerdo.</w:t>
      </w:r>
    </w:p>
    <w:p w:rsidR="00E946E4" w:rsidRDefault="00E946E4" w:rsidP="002457FE">
      <w:pPr>
        <w:spacing w:line="360" w:lineRule="auto"/>
        <w:rPr>
          <w:rFonts w:eastAsia="Calibri" w:cs="Arial"/>
          <w:sz w:val="24"/>
          <w:szCs w:val="24"/>
        </w:rPr>
      </w:pPr>
    </w:p>
    <w:p w:rsidR="002457FE" w:rsidRPr="002457FE" w:rsidRDefault="002457FE" w:rsidP="002457FE">
      <w:pPr>
        <w:spacing w:line="360" w:lineRule="auto"/>
        <w:rPr>
          <w:rFonts w:eastAsia="Calibri" w:cs="Arial"/>
          <w:sz w:val="24"/>
          <w:szCs w:val="24"/>
        </w:rPr>
      </w:pPr>
      <w:r w:rsidRPr="002457FE">
        <w:rPr>
          <w:rFonts w:eastAsia="Calibri" w:cs="Arial"/>
          <w:b/>
          <w:sz w:val="24"/>
          <w:szCs w:val="24"/>
        </w:rPr>
        <w:t xml:space="preserve">SEGUNDO.- </w:t>
      </w:r>
      <w:r w:rsidR="00633A50" w:rsidRPr="00986D95">
        <w:rPr>
          <w:rFonts w:eastAsia="Calibri" w:cs="Arial"/>
          <w:sz w:val="24"/>
          <w:szCs w:val="24"/>
        </w:rPr>
        <w:t>Remítase a la Oficialía Mayor del Congreso el presente</w:t>
      </w:r>
      <w:r w:rsidR="00D80A83">
        <w:rPr>
          <w:rFonts w:eastAsia="Calibri" w:cs="Arial"/>
          <w:sz w:val="24"/>
          <w:szCs w:val="24"/>
        </w:rPr>
        <w:t xml:space="preserve"> Acuerdo para los efectos legales conducentes</w:t>
      </w:r>
      <w:r w:rsidR="003A1E95">
        <w:rPr>
          <w:rFonts w:eastAsia="Calibri" w:cs="Arial"/>
          <w:sz w:val="24"/>
          <w:szCs w:val="24"/>
        </w:rPr>
        <w:t>.</w:t>
      </w:r>
    </w:p>
    <w:p w:rsidR="00D63656" w:rsidRPr="003712FC" w:rsidRDefault="00D63656" w:rsidP="00D63656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eastAsia="Calibri" w:hAnsi="Arial" w:cs="Arial"/>
          <w:b/>
        </w:rPr>
      </w:pPr>
    </w:p>
    <w:p w:rsidR="00D63656" w:rsidRPr="003712FC" w:rsidRDefault="00D63656" w:rsidP="00D63656">
      <w:pPr>
        <w:spacing w:line="360" w:lineRule="auto"/>
        <w:rPr>
          <w:rFonts w:cs="Arial"/>
          <w:color w:val="000000"/>
          <w:sz w:val="24"/>
          <w:szCs w:val="24"/>
        </w:rPr>
      </w:pPr>
      <w:r w:rsidRPr="003712FC">
        <w:rPr>
          <w:rFonts w:cs="Arial"/>
          <w:sz w:val="24"/>
          <w:szCs w:val="24"/>
        </w:rPr>
        <w:t>Así lo acuerdan las Diputadas y Diputados integrantes de la Comisión de Asuntos Municipales y Zonas Metropolitanas de la Sexagésima Primera Legislatura del Congreso del Estado Independiente, Libre y Soberano de Coahuila de Zaragoza. En la Ciudad de Sa</w:t>
      </w:r>
      <w:r w:rsidR="00FB38AF">
        <w:rPr>
          <w:rFonts w:cs="Arial"/>
          <w:sz w:val="24"/>
          <w:szCs w:val="24"/>
        </w:rPr>
        <w:t>lt</w:t>
      </w:r>
      <w:r w:rsidR="00474983">
        <w:rPr>
          <w:rFonts w:cs="Arial"/>
          <w:sz w:val="24"/>
          <w:szCs w:val="24"/>
        </w:rPr>
        <w:t xml:space="preserve">illo, Coahuila de Zaragoza, a </w:t>
      </w:r>
      <w:r w:rsidR="00457696">
        <w:rPr>
          <w:rFonts w:cs="Arial"/>
          <w:sz w:val="24"/>
          <w:szCs w:val="24"/>
        </w:rPr>
        <w:t xml:space="preserve">15 de </w:t>
      </w:r>
      <w:r w:rsidR="00474983">
        <w:rPr>
          <w:rFonts w:cs="Arial"/>
          <w:sz w:val="24"/>
          <w:szCs w:val="24"/>
        </w:rPr>
        <w:t>octubre</w:t>
      </w:r>
      <w:r w:rsidR="00FB38AF">
        <w:rPr>
          <w:rFonts w:cs="Arial"/>
          <w:sz w:val="24"/>
          <w:szCs w:val="24"/>
        </w:rPr>
        <w:t xml:space="preserve"> </w:t>
      </w:r>
      <w:r w:rsidRPr="003712FC">
        <w:rPr>
          <w:rFonts w:cs="Arial"/>
          <w:sz w:val="24"/>
          <w:szCs w:val="24"/>
        </w:rPr>
        <w:t>de 20</w:t>
      </w:r>
      <w:r w:rsidR="00FB38AF">
        <w:rPr>
          <w:rFonts w:cs="Arial"/>
          <w:sz w:val="24"/>
          <w:szCs w:val="24"/>
        </w:rPr>
        <w:t>20</w:t>
      </w:r>
      <w:r w:rsidRPr="003712FC">
        <w:rPr>
          <w:rFonts w:cs="Arial"/>
          <w:sz w:val="24"/>
          <w:szCs w:val="24"/>
        </w:rPr>
        <w:t>.</w:t>
      </w:r>
    </w:p>
    <w:p w:rsidR="001D3281" w:rsidRPr="0002114B" w:rsidRDefault="001D3281" w:rsidP="0002114B">
      <w:pPr>
        <w:spacing w:after="160" w:line="360" w:lineRule="auto"/>
        <w:jc w:val="left"/>
        <w:rPr>
          <w:rFonts w:cs="Arial"/>
          <w:b/>
          <w:sz w:val="24"/>
          <w:szCs w:val="24"/>
        </w:rPr>
      </w:pPr>
      <w:r w:rsidRPr="0002114B">
        <w:rPr>
          <w:rFonts w:cs="Arial"/>
          <w:b/>
          <w:sz w:val="24"/>
          <w:szCs w:val="24"/>
        </w:rPr>
        <w:br w:type="page"/>
      </w:r>
    </w:p>
    <w:p w:rsidR="001D3281" w:rsidRPr="0002114B" w:rsidRDefault="001D3281" w:rsidP="0002114B">
      <w:pPr>
        <w:spacing w:after="160" w:line="360" w:lineRule="auto"/>
        <w:jc w:val="left"/>
        <w:rPr>
          <w:rFonts w:cs="Arial"/>
          <w:b/>
          <w:sz w:val="24"/>
          <w:szCs w:val="24"/>
        </w:rPr>
      </w:pPr>
      <w:r w:rsidRPr="0002114B">
        <w:rPr>
          <w:rFonts w:cs="Arial"/>
          <w:b/>
          <w:sz w:val="24"/>
          <w:szCs w:val="24"/>
        </w:rPr>
        <w:lastRenderedPageBreak/>
        <w:t>POR LA COMISION DE ASUNTOS MUNICIPALES Y ZONAS METROPOLITANAS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3"/>
        <w:gridCol w:w="1679"/>
        <w:gridCol w:w="1560"/>
        <w:gridCol w:w="1604"/>
      </w:tblGrid>
      <w:tr w:rsidR="001D3281" w:rsidRPr="0002114B" w:rsidTr="001D3281">
        <w:trPr>
          <w:trHeight w:val="947"/>
        </w:trPr>
        <w:tc>
          <w:tcPr>
            <w:tcW w:w="4553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</w:rPr>
              <w:t>NOMBRE Y FIRMA</w:t>
            </w: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843" w:type="dxa"/>
            <w:gridSpan w:val="3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</w:rPr>
              <w:t>VOTO</w:t>
            </w:r>
          </w:p>
        </w:tc>
      </w:tr>
      <w:tr w:rsidR="001D3281" w:rsidRPr="0002114B" w:rsidTr="001D3281">
        <w:tc>
          <w:tcPr>
            <w:tcW w:w="4553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79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</w:rPr>
              <w:t>A FAVOR</w:t>
            </w:r>
          </w:p>
        </w:tc>
        <w:tc>
          <w:tcPr>
            <w:tcW w:w="1560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</w:rPr>
              <w:t>EN CONTRA</w:t>
            </w:r>
          </w:p>
        </w:tc>
        <w:tc>
          <w:tcPr>
            <w:tcW w:w="1604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</w:rPr>
              <w:t>ABSTENCION</w:t>
            </w:r>
          </w:p>
        </w:tc>
      </w:tr>
      <w:tr w:rsidR="001D3281" w:rsidRPr="0002114B" w:rsidTr="001D3281">
        <w:tc>
          <w:tcPr>
            <w:tcW w:w="4553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  <w:r w:rsidRPr="0002114B">
              <w:rPr>
                <w:rFonts w:cs="Arial"/>
                <w:b/>
                <w:color w:val="000000"/>
              </w:rPr>
              <w:t>DIP. JOSEFINA GARZA BARRERA</w:t>
            </w: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  <w:color w:val="000000"/>
              </w:rPr>
              <w:t>(COORDINADORA)</w:t>
            </w:r>
          </w:p>
        </w:tc>
        <w:tc>
          <w:tcPr>
            <w:tcW w:w="1679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04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1D3281" w:rsidRPr="0002114B" w:rsidTr="001D3281">
        <w:tc>
          <w:tcPr>
            <w:tcW w:w="4553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  <w:color w:val="000000"/>
              </w:rPr>
              <w:t>DIP. GABRIELA ZAPOPAN GARZA GALVÁN                    (SECRETARIA)</w:t>
            </w:r>
          </w:p>
        </w:tc>
        <w:tc>
          <w:tcPr>
            <w:tcW w:w="1679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04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1D3281" w:rsidRPr="0002114B" w:rsidTr="001D3281">
        <w:tc>
          <w:tcPr>
            <w:tcW w:w="4553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  <w:color w:val="000000"/>
              </w:rPr>
              <w:t>DIP. ZULMMA VERENICE GUERRERO CAZARES</w:t>
            </w:r>
          </w:p>
        </w:tc>
        <w:tc>
          <w:tcPr>
            <w:tcW w:w="1679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04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1D3281" w:rsidRPr="0002114B" w:rsidTr="001D3281">
        <w:tc>
          <w:tcPr>
            <w:tcW w:w="4553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  <w:color w:val="000000"/>
              </w:rPr>
              <w:t>DIP. ROSA NILDA GONZÁLEZ NORIEGA</w:t>
            </w:r>
          </w:p>
        </w:tc>
        <w:tc>
          <w:tcPr>
            <w:tcW w:w="1679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04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1D3281" w:rsidRPr="0002114B" w:rsidTr="001D3281">
        <w:tc>
          <w:tcPr>
            <w:tcW w:w="4553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  <w:color w:val="000000"/>
              </w:rPr>
            </w:pPr>
          </w:p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  <w:r w:rsidRPr="0002114B">
              <w:rPr>
                <w:rFonts w:cs="Arial"/>
                <w:b/>
                <w:color w:val="000000"/>
              </w:rPr>
              <w:t xml:space="preserve">DIP. </w:t>
            </w:r>
            <w:r w:rsidR="0002114B" w:rsidRPr="0002114B">
              <w:rPr>
                <w:rFonts w:cs="Arial"/>
                <w:b/>
                <w:color w:val="000000"/>
              </w:rPr>
              <w:t>JESÚS ANDRÉS LOYA CARDONA</w:t>
            </w:r>
          </w:p>
        </w:tc>
        <w:tc>
          <w:tcPr>
            <w:tcW w:w="1679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604" w:type="dxa"/>
          </w:tcPr>
          <w:p w:rsidR="001D3281" w:rsidRPr="0002114B" w:rsidRDefault="001D3281" w:rsidP="0002114B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:rsidR="001D3281" w:rsidRPr="0002114B" w:rsidRDefault="001D3281" w:rsidP="0002114B">
      <w:pPr>
        <w:spacing w:line="360" w:lineRule="auto"/>
        <w:rPr>
          <w:rFonts w:cs="Arial"/>
          <w:bCs/>
        </w:rPr>
      </w:pPr>
    </w:p>
    <w:p w:rsidR="0002114B" w:rsidRPr="00580811" w:rsidRDefault="001D3281" w:rsidP="0002114B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80811">
        <w:rPr>
          <w:rFonts w:cs="Arial"/>
          <w:bCs/>
          <w:sz w:val="16"/>
          <w:szCs w:val="16"/>
        </w:rPr>
        <w:t>ESTA HOJA DE FIRMAS FORMA PARTE INTEGRANTE DEL</w:t>
      </w:r>
      <w:r w:rsidR="0002114B" w:rsidRPr="00580811">
        <w:rPr>
          <w:rFonts w:cs="Arial"/>
          <w:bCs/>
          <w:sz w:val="16"/>
          <w:szCs w:val="16"/>
        </w:rPr>
        <w:t xml:space="preserve"> </w:t>
      </w:r>
      <w:r w:rsidR="0002114B" w:rsidRPr="00580811">
        <w:rPr>
          <w:rFonts w:cs="Arial"/>
          <w:sz w:val="16"/>
          <w:szCs w:val="16"/>
        </w:rPr>
        <w:t xml:space="preserve">ACUERDO DE LA </w:t>
      </w:r>
      <w:r w:rsidR="0002114B" w:rsidRPr="00580811">
        <w:rPr>
          <w:rFonts w:cs="Arial"/>
          <w:color w:val="000000"/>
          <w:sz w:val="16"/>
          <w:szCs w:val="16"/>
        </w:rPr>
        <w:t>COMISIÓN DE ASUNTOS MUNICIPALES Y ZONAS</w:t>
      </w:r>
      <w:r w:rsidR="00FB38AF" w:rsidRPr="00580811">
        <w:rPr>
          <w:rFonts w:cs="Arial"/>
          <w:color w:val="000000"/>
          <w:sz w:val="16"/>
          <w:szCs w:val="16"/>
        </w:rPr>
        <w:t xml:space="preserve"> METROPOLITANAS, CON RELACIÓN AL ESCRITO</w:t>
      </w:r>
      <w:r w:rsidR="0002114B" w:rsidRPr="00580811">
        <w:rPr>
          <w:rFonts w:cs="Arial"/>
          <w:color w:val="000000"/>
          <w:sz w:val="16"/>
          <w:szCs w:val="16"/>
        </w:rPr>
        <w:t xml:space="preserve"> SUSCRITO POR</w:t>
      </w:r>
      <w:r w:rsidR="00580811" w:rsidRPr="00580811">
        <w:rPr>
          <w:rFonts w:cs="Arial"/>
          <w:color w:val="000000"/>
          <w:sz w:val="24"/>
          <w:szCs w:val="24"/>
        </w:rPr>
        <w:t xml:space="preserve"> </w:t>
      </w:r>
      <w:r w:rsidR="00580811" w:rsidRPr="00580811">
        <w:rPr>
          <w:rFonts w:cs="Arial"/>
          <w:color w:val="000000"/>
          <w:sz w:val="16"/>
          <w:szCs w:val="16"/>
        </w:rPr>
        <w:t>LA UNIÓN DE COMERCIANTES VENUSTIANO CARRANZA Y DEL COMITÉ DE ACTIVACIÓN DE LA ECONOMÍA VENUSTIANO CARRANZA DE ARTEGA.</w:t>
      </w:r>
    </w:p>
    <w:sectPr w:rsidR="0002114B" w:rsidRPr="00580811" w:rsidSect="007D3497">
      <w:headerReference w:type="default" r:id="rId6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A0" w:rsidRDefault="00A75AA0">
      <w:r>
        <w:separator/>
      </w:r>
    </w:p>
  </w:endnote>
  <w:endnote w:type="continuationSeparator" w:id="0">
    <w:p w:rsidR="00A75AA0" w:rsidRDefault="00A7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A0" w:rsidRDefault="00A75AA0">
      <w:r>
        <w:separator/>
      </w:r>
    </w:p>
  </w:footnote>
  <w:footnote w:type="continuationSeparator" w:id="0">
    <w:p w:rsidR="00A75AA0" w:rsidRDefault="00A7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24" w:rsidRDefault="00A75AA0" w:rsidP="00C66F7B">
    <w:pPr>
      <w:pStyle w:val="Encabezado"/>
    </w:pPr>
  </w:p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66F7B" w:rsidRPr="00B97E14" w:rsidTr="00D050A4">
      <w:trPr>
        <w:jc w:val="center"/>
      </w:trPr>
      <w:tc>
        <w:tcPr>
          <w:tcW w:w="1541" w:type="dxa"/>
        </w:tcPr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0880ABD" wp14:editId="3E10D55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C66F7B" w:rsidRPr="00455633" w:rsidRDefault="00C66F7B" w:rsidP="00C66F7B">
          <w:pPr>
            <w:jc w:val="center"/>
            <w:rPr>
              <w:b/>
              <w:bCs/>
              <w:sz w:val="22"/>
            </w:rPr>
          </w:pPr>
        </w:p>
        <w:p w:rsidR="00C66F7B" w:rsidRPr="00B97E14" w:rsidRDefault="00C66F7B" w:rsidP="00C66F7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66F7B" w:rsidRDefault="00C66F7B" w:rsidP="00C66F7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66F7B" w:rsidRPr="00780AA4" w:rsidRDefault="00C66F7B" w:rsidP="00C66F7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C66F7B" w:rsidRPr="00B97E14" w:rsidRDefault="00C66F7B" w:rsidP="00C66F7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6D46A68" wp14:editId="3E02D36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  <w:p w:rsidR="00C66F7B" w:rsidRPr="00B97E14" w:rsidRDefault="00C66F7B" w:rsidP="00C66F7B">
          <w:pPr>
            <w:jc w:val="center"/>
            <w:rPr>
              <w:b/>
              <w:bCs/>
              <w:sz w:val="12"/>
            </w:rPr>
          </w:pPr>
        </w:p>
      </w:tc>
    </w:tr>
  </w:tbl>
  <w:p w:rsidR="00C66F7B" w:rsidRPr="00030032" w:rsidRDefault="00C66F7B" w:rsidP="00C66F7B">
    <w:pPr>
      <w:pStyle w:val="Encabezado"/>
    </w:pPr>
  </w:p>
  <w:p w:rsidR="00C66F7B" w:rsidRDefault="00C66F7B" w:rsidP="00C66F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1"/>
    <w:rsid w:val="000155D0"/>
    <w:rsid w:val="0002114B"/>
    <w:rsid w:val="000232D5"/>
    <w:rsid w:val="000449FE"/>
    <w:rsid w:val="00061636"/>
    <w:rsid w:val="000712DD"/>
    <w:rsid w:val="00083FEC"/>
    <w:rsid w:val="00101E21"/>
    <w:rsid w:val="00127FB3"/>
    <w:rsid w:val="00193308"/>
    <w:rsid w:val="001B59B4"/>
    <w:rsid w:val="001D3281"/>
    <w:rsid w:val="001F0F8D"/>
    <w:rsid w:val="00230619"/>
    <w:rsid w:val="00232E54"/>
    <w:rsid w:val="002457FE"/>
    <w:rsid w:val="00246BFC"/>
    <w:rsid w:val="00272D1C"/>
    <w:rsid w:val="002A2220"/>
    <w:rsid w:val="002F215E"/>
    <w:rsid w:val="00302E39"/>
    <w:rsid w:val="00364EA1"/>
    <w:rsid w:val="003A1E95"/>
    <w:rsid w:val="00403EA8"/>
    <w:rsid w:val="00457696"/>
    <w:rsid w:val="004729F1"/>
    <w:rsid w:val="00474983"/>
    <w:rsid w:val="004A3741"/>
    <w:rsid w:val="004B7F74"/>
    <w:rsid w:val="005375BD"/>
    <w:rsid w:val="00543B4D"/>
    <w:rsid w:val="00580811"/>
    <w:rsid w:val="005C7916"/>
    <w:rsid w:val="00633A50"/>
    <w:rsid w:val="00637526"/>
    <w:rsid w:val="006409BC"/>
    <w:rsid w:val="006911F5"/>
    <w:rsid w:val="006A1362"/>
    <w:rsid w:val="00725795"/>
    <w:rsid w:val="00762670"/>
    <w:rsid w:val="00775CAD"/>
    <w:rsid w:val="00925A32"/>
    <w:rsid w:val="00964C56"/>
    <w:rsid w:val="00982116"/>
    <w:rsid w:val="00984A9C"/>
    <w:rsid w:val="009911AF"/>
    <w:rsid w:val="009A1DB3"/>
    <w:rsid w:val="009B2D44"/>
    <w:rsid w:val="009E0C4B"/>
    <w:rsid w:val="00A00969"/>
    <w:rsid w:val="00A2045F"/>
    <w:rsid w:val="00A75AA0"/>
    <w:rsid w:val="00A92048"/>
    <w:rsid w:val="00A942D5"/>
    <w:rsid w:val="00B01A20"/>
    <w:rsid w:val="00B8604B"/>
    <w:rsid w:val="00BB6E51"/>
    <w:rsid w:val="00C66F7B"/>
    <w:rsid w:val="00C729BE"/>
    <w:rsid w:val="00C94A19"/>
    <w:rsid w:val="00CA36F7"/>
    <w:rsid w:val="00CB71E0"/>
    <w:rsid w:val="00D15A67"/>
    <w:rsid w:val="00D46AAD"/>
    <w:rsid w:val="00D63656"/>
    <w:rsid w:val="00D80A83"/>
    <w:rsid w:val="00DA2206"/>
    <w:rsid w:val="00DF56CC"/>
    <w:rsid w:val="00E26755"/>
    <w:rsid w:val="00E946E4"/>
    <w:rsid w:val="00EF0600"/>
    <w:rsid w:val="00F154F0"/>
    <w:rsid w:val="00F245FB"/>
    <w:rsid w:val="00F47809"/>
    <w:rsid w:val="00FB38AF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CBAB9-CB7D-4CC8-8A66-721C62FF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6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E51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BB6E51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BB6E51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6E51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rrafodelista">
    <w:name w:val="List Paragraph"/>
    <w:basedOn w:val="Normal"/>
    <w:uiPriority w:val="34"/>
    <w:qFormat/>
    <w:rsid w:val="00BB6E51"/>
    <w:pPr>
      <w:ind w:left="720"/>
      <w:contextualSpacing/>
      <w:jc w:val="left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D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CC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6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F7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Juan Lumbreras Teniente</cp:lastModifiedBy>
  <cp:revision>2</cp:revision>
  <cp:lastPrinted>2020-10-14T17:36:00Z</cp:lastPrinted>
  <dcterms:created xsi:type="dcterms:W3CDTF">2020-10-30T02:47:00Z</dcterms:created>
  <dcterms:modified xsi:type="dcterms:W3CDTF">2020-10-30T02:47:00Z</dcterms:modified>
</cp:coreProperties>
</file>