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QUE EL CONGRESO DEL ESTADO INDEPENDIENTE, LIBRE Y SOBERANO DE COAHUILA DE ZARAGOZA;</w:t>
      </w: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widowControl w:val="0"/>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DECRETA:</w:t>
      </w:r>
    </w:p>
    <w:p w:rsidR="00D350C9" w:rsidRPr="00705A91" w:rsidRDefault="00D350C9" w:rsidP="00D350C9">
      <w:pPr>
        <w:widowControl w:val="0"/>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widowControl w:val="0"/>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 xml:space="preserve">NÚMERO 296.- </w:t>
      </w:r>
    </w:p>
    <w:p w:rsidR="00D350C9" w:rsidRPr="00705A91" w:rsidRDefault="00D350C9" w:rsidP="00705A91">
      <w:pPr>
        <w:widowControl w:val="0"/>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705A91">
      <w:pPr>
        <w:widowControl w:val="0"/>
        <w:spacing w:after="0" w:line="240" w:lineRule="auto"/>
        <w:jc w:val="both"/>
        <w:rPr>
          <w:rFonts w:ascii="Arial" w:eastAsia="Times New Roman" w:hAnsi="Arial" w:cs="Arial"/>
          <w:b/>
          <w:snapToGrid w:val="0"/>
          <w:sz w:val="25"/>
          <w:szCs w:val="25"/>
          <w:lang w:val="es-ES_tradnl" w:eastAsia="es-ES"/>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PRIMERO - </w:t>
      </w:r>
      <w:r w:rsidRPr="00705A91">
        <w:rPr>
          <w:rFonts w:ascii="Arial" w:hAnsi="Arial" w:cs="Arial"/>
          <w:sz w:val="25"/>
          <w:szCs w:val="25"/>
        </w:rPr>
        <w:t>Se modifica el artículo 257 y se adicionan los artículos 258 bis, 258 bis 1, 259 bis y 259 bis 1 a la Ley Estatal de Salud, para quedar como sigue:</w:t>
      </w:r>
    </w:p>
    <w:p w:rsidR="00705A91" w:rsidRPr="00705A91" w:rsidRDefault="00705A91" w:rsidP="00705A91">
      <w:pPr>
        <w:rPr>
          <w:rFonts w:ascii="Arial" w:hAnsi="Arial" w:cs="Arial"/>
          <w:b/>
          <w:sz w:val="25"/>
          <w:szCs w:val="25"/>
        </w:rPr>
      </w:pPr>
    </w:p>
    <w:p w:rsidR="00705A91" w:rsidRPr="00705A91" w:rsidRDefault="00705A91" w:rsidP="00705A91">
      <w:pPr>
        <w:rPr>
          <w:rFonts w:ascii="Arial" w:hAnsi="Arial" w:cs="Arial"/>
          <w:sz w:val="25"/>
          <w:szCs w:val="25"/>
        </w:rPr>
      </w:pPr>
      <w:r w:rsidRPr="00705A91">
        <w:rPr>
          <w:rFonts w:ascii="Arial" w:hAnsi="Arial" w:cs="Arial"/>
          <w:b/>
          <w:sz w:val="25"/>
          <w:szCs w:val="25"/>
        </w:rPr>
        <w:t xml:space="preserve">Artículo 257. </w:t>
      </w:r>
      <w:r w:rsidRPr="00705A91">
        <w:rPr>
          <w:rFonts w:ascii="Arial" w:hAnsi="Arial" w:cs="Arial"/>
          <w:sz w:val="25"/>
          <w:szCs w:val="25"/>
        </w:rPr>
        <w:t>Para fines sanitarios se extenderán los siguientes certificados:</w:t>
      </w:r>
    </w:p>
    <w:p w:rsidR="00705A91" w:rsidRPr="00705A91" w:rsidRDefault="00705A91" w:rsidP="00705A91">
      <w:pPr>
        <w:rPr>
          <w:rFonts w:ascii="Arial" w:hAnsi="Arial" w:cs="Arial"/>
          <w:sz w:val="25"/>
          <w:szCs w:val="25"/>
        </w:rPr>
      </w:pPr>
    </w:p>
    <w:p w:rsidR="00705A91" w:rsidRPr="00705A91" w:rsidRDefault="00705A91" w:rsidP="00705A91">
      <w:pPr>
        <w:rPr>
          <w:rFonts w:ascii="Arial" w:hAnsi="Arial" w:cs="Arial"/>
          <w:sz w:val="25"/>
          <w:szCs w:val="25"/>
        </w:rPr>
      </w:pPr>
      <w:r w:rsidRPr="00705A91">
        <w:rPr>
          <w:rFonts w:ascii="Arial" w:hAnsi="Arial" w:cs="Arial"/>
          <w:sz w:val="25"/>
          <w:szCs w:val="25"/>
        </w:rPr>
        <w:t>I.</w:t>
      </w:r>
      <w:r w:rsidRPr="00705A91">
        <w:rPr>
          <w:rFonts w:ascii="Arial" w:hAnsi="Arial" w:cs="Arial"/>
          <w:sz w:val="25"/>
          <w:szCs w:val="25"/>
        </w:rPr>
        <w:tab/>
        <w:t>Prenupciales;</w:t>
      </w:r>
    </w:p>
    <w:p w:rsidR="00705A91" w:rsidRPr="00705A91" w:rsidRDefault="00705A91" w:rsidP="00705A91">
      <w:pPr>
        <w:rPr>
          <w:rFonts w:ascii="Arial" w:hAnsi="Arial" w:cs="Arial"/>
          <w:sz w:val="25"/>
          <w:szCs w:val="25"/>
        </w:rPr>
      </w:pPr>
      <w:r w:rsidRPr="00705A91">
        <w:rPr>
          <w:rFonts w:ascii="Arial" w:hAnsi="Arial" w:cs="Arial"/>
          <w:b/>
          <w:sz w:val="25"/>
          <w:szCs w:val="25"/>
        </w:rPr>
        <w:t>II.</w:t>
      </w:r>
      <w:r w:rsidRPr="00705A91">
        <w:rPr>
          <w:rFonts w:ascii="Arial" w:hAnsi="Arial" w:cs="Arial"/>
          <w:b/>
          <w:sz w:val="25"/>
          <w:szCs w:val="25"/>
        </w:rPr>
        <w:tab/>
      </w:r>
      <w:r w:rsidRPr="00705A91">
        <w:rPr>
          <w:rFonts w:ascii="Arial" w:hAnsi="Arial" w:cs="Arial"/>
          <w:sz w:val="25"/>
          <w:szCs w:val="25"/>
        </w:rPr>
        <w:t>De nacimiento;</w:t>
      </w:r>
    </w:p>
    <w:p w:rsidR="00705A91" w:rsidRPr="00705A91" w:rsidRDefault="00705A91" w:rsidP="00705A91">
      <w:pPr>
        <w:rPr>
          <w:rFonts w:ascii="Arial" w:hAnsi="Arial" w:cs="Arial"/>
          <w:b/>
          <w:sz w:val="25"/>
          <w:szCs w:val="25"/>
        </w:rPr>
      </w:pPr>
      <w:r w:rsidRPr="00705A91">
        <w:rPr>
          <w:rFonts w:ascii="Arial" w:hAnsi="Arial" w:cs="Arial"/>
          <w:b/>
          <w:sz w:val="25"/>
          <w:szCs w:val="25"/>
        </w:rPr>
        <w:t>III.</w:t>
      </w:r>
      <w:r w:rsidRPr="00705A91">
        <w:rPr>
          <w:rFonts w:ascii="Arial" w:hAnsi="Arial" w:cs="Arial"/>
          <w:b/>
          <w:sz w:val="25"/>
          <w:szCs w:val="25"/>
        </w:rPr>
        <w:tab/>
      </w:r>
      <w:r w:rsidRPr="00705A91">
        <w:rPr>
          <w:rFonts w:ascii="Arial" w:hAnsi="Arial" w:cs="Arial"/>
          <w:sz w:val="25"/>
          <w:szCs w:val="25"/>
        </w:rPr>
        <w:t>De discapacidad;</w:t>
      </w:r>
    </w:p>
    <w:p w:rsidR="00705A91" w:rsidRPr="00705A91" w:rsidRDefault="00705A91" w:rsidP="00705A91">
      <w:pPr>
        <w:rPr>
          <w:rFonts w:ascii="Arial" w:hAnsi="Arial" w:cs="Arial"/>
          <w:sz w:val="25"/>
          <w:szCs w:val="25"/>
        </w:rPr>
      </w:pPr>
      <w:r w:rsidRPr="00705A91">
        <w:rPr>
          <w:rFonts w:ascii="Arial" w:hAnsi="Arial" w:cs="Arial"/>
          <w:sz w:val="25"/>
          <w:szCs w:val="25"/>
        </w:rPr>
        <w:t>IV.</w:t>
      </w:r>
      <w:r w:rsidRPr="00705A91">
        <w:rPr>
          <w:rFonts w:ascii="Arial" w:hAnsi="Arial" w:cs="Arial"/>
          <w:sz w:val="25"/>
          <w:szCs w:val="25"/>
        </w:rPr>
        <w:tab/>
        <w:t>De defunción;</w:t>
      </w:r>
    </w:p>
    <w:p w:rsidR="00705A91" w:rsidRPr="00705A91" w:rsidRDefault="00705A91" w:rsidP="00705A91">
      <w:pPr>
        <w:rPr>
          <w:rFonts w:ascii="Arial" w:hAnsi="Arial" w:cs="Arial"/>
          <w:sz w:val="25"/>
          <w:szCs w:val="25"/>
        </w:rPr>
      </w:pPr>
      <w:r w:rsidRPr="00705A91">
        <w:rPr>
          <w:rFonts w:ascii="Arial" w:hAnsi="Arial" w:cs="Arial"/>
          <w:sz w:val="25"/>
          <w:szCs w:val="25"/>
        </w:rPr>
        <w:t>V.</w:t>
      </w:r>
      <w:r w:rsidRPr="00705A91">
        <w:rPr>
          <w:rFonts w:ascii="Arial" w:hAnsi="Arial" w:cs="Arial"/>
          <w:sz w:val="25"/>
          <w:szCs w:val="25"/>
        </w:rPr>
        <w:tab/>
        <w:t>De muerte fetal, y</w:t>
      </w:r>
    </w:p>
    <w:p w:rsidR="00705A91" w:rsidRPr="00705A91" w:rsidRDefault="00705A91" w:rsidP="00705A91">
      <w:pPr>
        <w:rPr>
          <w:rFonts w:ascii="Arial" w:hAnsi="Arial" w:cs="Arial"/>
          <w:sz w:val="25"/>
          <w:szCs w:val="25"/>
        </w:rPr>
      </w:pPr>
      <w:r w:rsidRPr="00705A91">
        <w:rPr>
          <w:rFonts w:ascii="Arial" w:hAnsi="Arial" w:cs="Arial"/>
          <w:sz w:val="25"/>
          <w:szCs w:val="25"/>
        </w:rPr>
        <w:t>VI.</w:t>
      </w:r>
      <w:r w:rsidRPr="00705A91">
        <w:rPr>
          <w:rFonts w:ascii="Arial" w:hAnsi="Arial" w:cs="Arial"/>
          <w:sz w:val="25"/>
          <w:szCs w:val="25"/>
        </w:rPr>
        <w:tab/>
        <w:t>Las demás previstas en la Ley General de Salud.</w:t>
      </w:r>
    </w:p>
    <w:p w:rsidR="00705A91" w:rsidRPr="00705A91" w:rsidRDefault="00705A91" w:rsidP="00705A91">
      <w:pPr>
        <w:rPr>
          <w:rFonts w:ascii="Arial" w:hAnsi="Arial" w:cs="Arial"/>
          <w:b/>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258 bis. </w:t>
      </w:r>
      <w:r w:rsidRPr="00705A91">
        <w:rPr>
          <w:rFonts w:ascii="Arial" w:hAnsi="Arial" w:cs="Arial"/>
          <w:sz w:val="25"/>
          <w:szCs w:val="25"/>
        </w:rPr>
        <w:t>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sz w:val="25"/>
          <w:szCs w:val="25"/>
        </w:rPr>
        <w:t>El certificado de nacimiento será expedido por profesionales de la medicina o personas autorizadas para ello por la autoridad sanitaria competente.</w:t>
      </w:r>
    </w:p>
    <w:p w:rsidR="00705A91" w:rsidRPr="00705A91" w:rsidRDefault="00705A91" w:rsidP="00705A91">
      <w:pPr>
        <w:rPr>
          <w:rFonts w:ascii="Arial" w:hAnsi="Arial" w:cs="Arial"/>
          <w:b/>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258 bis 1.- </w:t>
      </w:r>
      <w:r w:rsidRPr="00705A91">
        <w:rPr>
          <w:rFonts w:ascii="Arial" w:hAnsi="Arial" w:cs="Arial"/>
          <w:sz w:val="25"/>
          <w:szCs w:val="25"/>
        </w:rPr>
        <w:t>El certificado de nacimiento será requerido por las autoridades del Registro Civil a quienes pretendan declarar el nacimiento de una persona, con las excepciones que establezcan las disposiciones generales aplicables.</w:t>
      </w: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259 Bis.- </w:t>
      </w:r>
      <w:r w:rsidRPr="00705A91">
        <w:rPr>
          <w:rFonts w:ascii="Arial" w:hAnsi="Arial" w:cs="Arial"/>
          <w:sz w:val="25"/>
          <w:szCs w:val="25"/>
        </w:rPr>
        <w:t>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rsidR="00705A91" w:rsidRPr="00705A91" w:rsidRDefault="00705A91" w:rsidP="00705A91">
      <w:pPr>
        <w:rPr>
          <w:rFonts w:ascii="Arial" w:hAnsi="Arial" w:cs="Arial"/>
          <w:b/>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259 Bis 1.- </w:t>
      </w:r>
      <w:r w:rsidRPr="00705A91">
        <w:rPr>
          <w:rFonts w:ascii="Arial" w:hAnsi="Arial" w:cs="Arial"/>
          <w:sz w:val="25"/>
          <w:szCs w:val="25"/>
        </w:rPr>
        <w:t xml:space="preserve">El responsable de emitir el certificado de discapacidad deberá notificarlo al Sistema Nacional de Información en Salud para los fines del Registro Nacional de Población con Discapacidad y del artículo 104 de la Ley General de Salud. </w:t>
      </w: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sz w:val="25"/>
          <w:szCs w:val="25"/>
        </w:rPr>
        <w:t xml:space="preserve">Así mismo, el responsable de emitir el certificado de discapacidad deberá notificarlo al Sistema Estatal de Salud. </w:t>
      </w: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sz w:val="25"/>
          <w:szCs w:val="25"/>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rsidR="00705A91" w:rsidRPr="00705A91" w:rsidRDefault="00705A91" w:rsidP="00705A91">
      <w:pPr>
        <w:rPr>
          <w:rFonts w:ascii="Arial" w:hAnsi="Arial" w:cs="Arial"/>
          <w:b/>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SEGUNDO - </w:t>
      </w:r>
      <w:r w:rsidRPr="00705A91">
        <w:rPr>
          <w:rFonts w:ascii="Arial" w:hAnsi="Arial" w:cs="Arial"/>
          <w:sz w:val="25"/>
          <w:szCs w:val="25"/>
        </w:rPr>
        <w:t>Se adicionan los artículos 258 bis 335 bis a la Ley de Transporte y Movilidad Sustentable para el Estado de Coahuila de Zaragoza, para quedar como sigue:</w:t>
      </w:r>
    </w:p>
    <w:p w:rsidR="00705A91" w:rsidRDefault="00705A91" w:rsidP="00705A91">
      <w:pPr>
        <w:jc w:val="both"/>
        <w:rPr>
          <w:rFonts w:ascii="Arial" w:hAnsi="Arial" w:cs="Arial"/>
          <w:sz w:val="25"/>
          <w:szCs w:val="25"/>
        </w:rPr>
      </w:pPr>
      <w:r w:rsidRPr="00705A91">
        <w:rPr>
          <w:rFonts w:ascii="Arial" w:hAnsi="Arial" w:cs="Arial"/>
          <w:sz w:val="25"/>
          <w:szCs w:val="25"/>
        </w:rPr>
        <w:t xml:space="preserve"> </w:t>
      </w:r>
    </w:p>
    <w:p w:rsid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ARTÍCULO 258 BIS.</w:t>
      </w:r>
      <w:r w:rsidRPr="00705A91">
        <w:rPr>
          <w:rFonts w:ascii="Arial" w:hAnsi="Arial" w:cs="Arial"/>
          <w:sz w:val="25"/>
          <w:szCs w:val="25"/>
        </w:rPr>
        <w:t xml:space="preserve"> Las autoridades de salud se coordinarán con las de transporte y recaudación en el Estado para la expedición de permisos temporales de estacionamiento para las personas que tengan alguna discapacidad motora de manera temporal y, en virtud de su condición de discapacidad temporal, no necesariamente requieran de placas especiales para personas con discapacidad.</w:t>
      </w:r>
    </w:p>
    <w:p w:rsidR="00705A91" w:rsidRPr="00705A91" w:rsidRDefault="00705A91" w:rsidP="00705A91">
      <w:pPr>
        <w:rPr>
          <w:rFonts w:ascii="Arial" w:hAnsi="Arial" w:cs="Arial"/>
          <w:b/>
          <w:sz w:val="25"/>
          <w:szCs w:val="25"/>
        </w:rPr>
      </w:pPr>
    </w:p>
    <w:p w:rsidR="00705A91" w:rsidRPr="00705A91" w:rsidRDefault="00705A91" w:rsidP="00705A91">
      <w:pPr>
        <w:jc w:val="both"/>
        <w:rPr>
          <w:rFonts w:ascii="Arial" w:hAnsi="Arial" w:cs="Arial"/>
          <w:sz w:val="25"/>
          <w:szCs w:val="25"/>
        </w:rPr>
      </w:pPr>
      <w:r w:rsidRPr="00705A91">
        <w:rPr>
          <w:rFonts w:ascii="Arial" w:hAnsi="Arial" w:cs="Arial"/>
          <w:sz w:val="25"/>
          <w:szCs w:val="25"/>
        </w:rPr>
        <w:t xml:space="preserve">El permiso temporal consistirá en la expedición de un gancho colgante para el retrovisor de automóviles, el cual permitirá el uso de estacionamientos exclusivos para personas con </w:t>
      </w:r>
      <w:proofErr w:type="spellStart"/>
      <w:r w:rsidRPr="00705A91">
        <w:rPr>
          <w:rFonts w:ascii="Arial" w:hAnsi="Arial" w:cs="Arial"/>
          <w:sz w:val="25"/>
          <w:szCs w:val="25"/>
        </w:rPr>
        <w:t>discapacitad</w:t>
      </w:r>
      <w:proofErr w:type="spellEnd"/>
      <w:r w:rsidRPr="00705A91">
        <w:rPr>
          <w:rFonts w:ascii="Arial" w:hAnsi="Arial" w:cs="Arial"/>
          <w:sz w:val="25"/>
          <w:szCs w:val="25"/>
        </w:rPr>
        <w:t xml:space="preserve"> motora.</w:t>
      </w: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sz w:val="25"/>
          <w:szCs w:val="25"/>
        </w:rPr>
        <w:t>El permiso temporal para estacionamiento por discapacidad motora tendrá una vigencia no mayor de ciento ochenta días contados a partir del día siguiente al de su expedición.</w:t>
      </w:r>
    </w:p>
    <w:p w:rsidR="00705A91" w:rsidRPr="00705A91" w:rsidRDefault="00705A91" w:rsidP="00705A91">
      <w:pPr>
        <w:rPr>
          <w:rFonts w:ascii="Arial" w:hAnsi="Arial" w:cs="Arial"/>
          <w:b/>
          <w:sz w:val="25"/>
          <w:szCs w:val="25"/>
        </w:rPr>
      </w:pPr>
    </w:p>
    <w:p w:rsidR="00705A91" w:rsidRPr="00705A91" w:rsidRDefault="00705A91" w:rsidP="00705A91">
      <w:pPr>
        <w:rPr>
          <w:rFonts w:ascii="Arial" w:hAnsi="Arial" w:cs="Arial"/>
          <w:sz w:val="25"/>
          <w:szCs w:val="25"/>
        </w:rPr>
      </w:pPr>
      <w:r w:rsidRPr="00705A91">
        <w:rPr>
          <w:rFonts w:ascii="Arial" w:hAnsi="Arial" w:cs="Arial"/>
          <w:sz w:val="25"/>
          <w:szCs w:val="25"/>
        </w:rPr>
        <w:t>Los requisitos necesarios para solicitar el permiso temporal para estacionamiento por discapacidad motora son:</w:t>
      </w:r>
    </w:p>
    <w:p w:rsidR="00705A91" w:rsidRPr="00705A91" w:rsidRDefault="00705A91" w:rsidP="00705A91">
      <w:pPr>
        <w:rPr>
          <w:rFonts w:ascii="Arial" w:hAnsi="Arial" w:cs="Arial"/>
          <w:b/>
          <w:sz w:val="25"/>
          <w:szCs w:val="25"/>
        </w:rPr>
      </w:pPr>
    </w:p>
    <w:p w:rsidR="00705A91" w:rsidRPr="00705A91" w:rsidRDefault="00705A91" w:rsidP="00705A91">
      <w:pPr>
        <w:pStyle w:val="Prrafodelista"/>
        <w:widowControl/>
        <w:numPr>
          <w:ilvl w:val="0"/>
          <w:numId w:val="1"/>
        </w:numPr>
        <w:rPr>
          <w:rFonts w:cs="Arial"/>
          <w:b w:val="0"/>
          <w:sz w:val="25"/>
          <w:szCs w:val="25"/>
        </w:rPr>
      </w:pPr>
      <w:r w:rsidRPr="00705A91">
        <w:rPr>
          <w:rFonts w:cs="Arial"/>
          <w:b w:val="0"/>
          <w:sz w:val="25"/>
          <w:szCs w:val="25"/>
        </w:rPr>
        <w:t>Constancia expedida por médico tratante con una antigüedad no mayor de cuarenta y cinco días, en hoja membretada con el nombre del médico, firma, número de cédula profesional y, en su caso, cédula de especialista, en la que indique diagnóstico del paciente, así como el plazo aproximado por el cual se encontrará bajo la condición de discapacidad motora temporal.</w:t>
      </w:r>
    </w:p>
    <w:p w:rsidR="00705A91" w:rsidRPr="00705A91" w:rsidRDefault="00705A91" w:rsidP="00705A91">
      <w:pPr>
        <w:pStyle w:val="Prrafodelista"/>
        <w:rPr>
          <w:rFonts w:cs="Arial"/>
          <w:b w:val="0"/>
          <w:sz w:val="25"/>
          <w:szCs w:val="25"/>
        </w:rPr>
      </w:pPr>
    </w:p>
    <w:p w:rsidR="00705A91" w:rsidRPr="00705A91" w:rsidRDefault="00705A91" w:rsidP="00705A91">
      <w:pPr>
        <w:pStyle w:val="Prrafodelista"/>
        <w:rPr>
          <w:rFonts w:cs="Arial"/>
          <w:b w:val="0"/>
          <w:sz w:val="25"/>
          <w:szCs w:val="25"/>
        </w:rPr>
      </w:pPr>
      <w:r w:rsidRPr="00705A91">
        <w:rPr>
          <w:rFonts w:cs="Arial"/>
          <w:b w:val="0"/>
          <w:sz w:val="25"/>
          <w:szCs w:val="25"/>
        </w:rPr>
        <w:t>El médico tratante que falsee datos, con el fin de que un tercero obtenga el permiso temporal para estacionamiento por discapacidad motora, será responsable en los términos de las disposiciones penales y demás que resulten aplicables al ejercicio de su profesión.</w:t>
      </w:r>
    </w:p>
    <w:p w:rsidR="00705A91" w:rsidRPr="00705A91" w:rsidRDefault="00705A91" w:rsidP="00705A91">
      <w:pPr>
        <w:rPr>
          <w:rFonts w:ascii="Arial" w:hAnsi="Arial" w:cs="Arial"/>
          <w:b/>
          <w:sz w:val="25"/>
          <w:szCs w:val="25"/>
        </w:rPr>
      </w:pPr>
    </w:p>
    <w:p w:rsidR="00705A91" w:rsidRPr="00705A91" w:rsidRDefault="00705A91" w:rsidP="00705A91">
      <w:pPr>
        <w:pStyle w:val="Prrafodelista"/>
        <w:widowControl/>
        <w:numPr>
          <w:ilvl w:val="0"/>
          <w:numId w:val="1"/>
        </w:numPr>
        <w:rPr>
          <w:rFonts w:cs="Arial"/>
          <w:b w:val="0"/>
          <w:sz w:val="25"/>
          <w:szCs w:val="25"/>
        </w:rPr>
      </w:pPr>
      <w:r w:rsidRPr="00705A91">
        <w:rPr>
          <w:rFonts w:cs="Arial"/>
          <w:b w:val="0"/>
          <w:sz w:val="25"/>
          <w:szCs w:val="25"/>
        </w:rPr>
        <w:t>Comprobante de domicilio con una antigüedad no mayor de noventa días.</w:t>
      </w:r>
    </w:p>
    <w:p w:rsidR="00705A91" w:rsidRDefault="00705A91" w:rsidP="00705A91">
      <w:pPr>
        <w:pStyle w:val="Prrafodelista"/>
        <w:ind w:left="1080"/>
        <w:rPr>
          <w:rFonts w:cs="Arial"/>
          <w:b w:val="0"/>
          <w:sz w:val="25"/>
          <w:szCs w:val="25"/>
        </w:rPr>
      </w:pPr>
    </w:p>
    <w:p w:rsidR="00705A91" w:rsidRPr="00705A91" w:rsidRDefault="00705A91" w:rsidP="00705A91">
      <w:pPr>
        <w:pStyle w:val="Prrafodelista"/>
        <w:ind w:left="1080"/>
        <w:rPr>
          <w:rFonts w:cs="Arial"/>
          <w:b w:val="0"/>
          <w:sz w:val="25"/>
          <w:szCs w:val="25"/>
        </w:rPr>
      </w:pPr>
    </w:p>
    <w:p w:rsidR="00705A91" w:rsidRPr="00705A91" w:rsidRDefault="00705A91" w:rsidP="00705A91">
      <w:pPr>
        <w:pStyle w:val="Prrafodelista"/>
        <w:widowControl/>
        <w:numPr>
          <w:ilvl w:val="0"/>
          <w:numId w:val="1"/>
        </w:numPr>
        <w:rPr>
          <w:rFonts w:cs="Arial"/>
          <w:b w:val="0"/>
          <w:sz w:val="25"/>
          <w:szCs w:val="25"/>
        </w:rPr>
      </w:pPr>
      <w:r w:rsidRPr="00705A91">
        <w:rPr>
          <w:rFonts w:cs="Arial"/>
          <w:b w:val="0"/>
          <w:sz w:val="25"/>
          <w:szCs w:val="25"/>
        </w:rPr>
        <w:t>Realizar el pago de derechos correspondiente</w:t>
      </w:r>
      <w:r w:rsidRPr="00705A91">
        <w:rPr>
          <w:rFonts w:cs="Arial"/>
          <w:sz w:val="25"/>
          <w:szCs w:val="25"/>
        </w:rPr>
        <w:t>.</w:t>
      </w:r>
    </w:p>
    <w:p w:rsidR="00705A91" w:rsidRDefault="00705A91" w:rsidP="00705A91">
      <w:pPr>
        <w:rPr>
          <w:rFonts w:ascii="Arial" w:hAnsi="Arial" w:cs="Arial"/>
          <w:b/>
          <w:sz w:val="25"/>
          <w:szCs w:val="25"/>
        </w:rPr>
      </w:pPr>
    </w:p>
    <w:p w:rsidR="00705A91" w:rsidRDefault="00705A91" w:rsidP="00705A91">
      <w:pPr>
        <w:rPr>
          <w:rFonts w:ascii="Arial" w:hAnsi="Arial" w:cs="Arial"/>
          <w:b/>
          <w:sz w:val="25"/>
          <w:szCs w:val="25"/>
        </w:rPr>
      </w:pPr>
    </w:p>
    <w:p w:rsidR="00705A91" w:rsidRPr="00705A91" w:rsidRDefault="00705A91" w:rsidP="00705A91">
      <w:pPr>
        <w:rPr>
          <w:rFonts w:ascii="Arial" w:hAnsi="Arial" w:cs="Arial"/>
          <w:b/>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t xml:space="preserve">ARTÍCULO 335 bis.- </w:t>
      </w:r>
      <w:r w:rsidRPr="00705A91">
        <w:rPr>
          <w:rFonts w:ascii="Arial" w:hAnsi="Arial" w:cs="Arial"/>
          <w:sz w:val="25"/>
          <w:szCs w:val="25"/>
        </w:rPr>
        <w:t>La utilización de cajones de estacionamiento, que para su fácil identificación deberán señalizarse con franjas, símbolos y letreros, tanto a nivel de piso, como verticales, destinados a vehículos que transporten personas con discapacidad sin contar con las placas y permisos a que se refieren los artículos 258 y 258 bis de la presente Ley, se sancionará de acuerdo a lo previsto por los reglamentos municipales en la materia. En caso de que algún municipio del Estado no cuente con su propio ordenamiento, se sancionará con multa de cincuenta a doscientas veces el valor diario de la Unidad de Medida y Actualización vigente.</w:t>
      </w:r>
    </w:p>
    <w:p w:rsidR="00705A91" w:rsidRPr="00705A91" w:rsidRDefault="00705A91" w:rsidP="00705A91">
      <w:pPr>
        <w:rPr>
          <w:rFonts w:ascii="Arial" w:hAnsi="Arial" w:cs="Arial"/>
          <w:b/>
          <w:sz w:val="25"/>
          <w:szCs w:val="25"/>
        </w:rPr>
      </w:pPr>
    </w:p>
    <w:p w:rsidR="00705A91" w:rsidRPr="00EF516F" w:rsidRDefault="00705A91" w:rsidP="00705A91">
      <w:pPr>
        <w:jc w:val="center"/>
        <w:rPr>
          <w:rFonts w:ascii="Arial" w:hAnsi="Arial" w:cs="Arial"/>
          <w:b/>
          <w:sz w:val="25"/>
          <w:szCs w:val="25"/>
          <w:lang w:val="en-US"/>
        </w:rPr>
      </w:pPr>
      <w:r w:rsidRPr="00EF516F">
        <w:rPr>
          <w:rFonts w:ascii="Arial" w:hAnsi="Arial" w:cs="Arial"/>
          <w:b/>
          <w:sz w:val="25"/>
          <w:szCs w:val="25"/>
          <w:lang w:val="en-US"/>
        </w:rPr>
        <w:t xml:space="preserve">T R </w:t>
      </w:r>
      <w:proofErr w:type="gramStart"/>
      <w:r w:rsidRPr="00EF516F">
        <w:rPr>
          <w:rFonts w:ascii="Arial" w:hAnsi="Arial" w:cs="Arial"/>
          <w:b/>
          <w:sz w:val="25"/>
          <w:szCs w:val="25"/>
          <w:lang w:val="en-US"/>
        </w:rPr>
        <w:t>A</w:t>
      </w:r>
      <w:proofErr w:type="gramEnd"/>
      <w:r w:rsidRPr="00EF516F">
        <w:rPr>
          <w:rFonts w:ascii="Arial" w:hAnsi="Arial" w:cs="Arial"/>
          <w:b/>
          <w:sz w:val="25"/>
          <w:szCs w:val="25"/>
          <w:lang w:val="en-US"/>
        </w:rPr>
        <w:t xml:space="preserve"> N S I T O R I O S</w:t>
      </w:r>
    </w:p>
    <w:p w:rsidR="00705A91" w:rsidRPr="00EF516F" w:rsidRDefault="00705A91" w:rsidP="00705A91">
      <w:pPr>
        <w:jc w:val="both"/>
        <w:rPr>
          <w:rFonts w:ascii="Arial" w:hAnsi="Arial" w:cs="Arial"/>
          <w:b/>
          <w:sz w:val="25"/>
          <w:szCs w:val="25"/>
          <w:lang w:val="en-US"/>
        </w:rPr>
      </w:pPr>
    </w:p>
    <w:p w:rsidR="00705A91" w:rsidRPr="00705A91" w:rsidRDefault="00705A91" w:rsidP="00705A91">
      <w:pPr>
        <w:jc w:val="both"/>
        <w:rPr>
          <w:rFonts w:ascii="Arial" w:hAnsi="Arial" w:cs="Arial"/>
          <w:sz w:val="25"/>
          <w:szCs w:val="25"/>
        </w:rPr>
      </w:pPr>
      <w:r>
        <w:rPr>
          <w:rFonts w:ascii="Arial" w:hAnsi="Arial" w:cs="Arial"/>
          <w:b/>
          <w:sz w:val="25"/>
          <w:szCs w:val="25"/>
        </w:rPr>
        <w:t>PRIMERO</w:t>
      </w:r>
      <w:r w:rsidRPr="00705A91">
        <w:rPr>
          <w:rFonts w:ascii="Arial" w:hAnsi="Arial" w:cs="Arial"/>
          <w:b/>
          <w:sz w:val="25"/>
          <w:szCs w:val="25"/>
        </w:rPr>
        <w:t xml:space="preserve"> - </w:t>
      </w:r>
      <w:r w:rsidRPr="00705A91">
        <w:rPr>
          <w:rFonts w:ascii="Arial" w:hAnsi="Arial" w:cs="Arial"/>
          <w:sz w:val="25"/>
          <w:szCs w:val="25"/>
        </w:rPr>
        <w:t>El presente Decreto entrará en vigor al día siguiente de su publicación en el Periódico Oficial del Gobierno del Estado.</w:t>
      </w:r>
    </w:p>
    <w:p w:rsidR="00705A91" w:rsidRPr="00705A91" w:rsidRDefault="00705A91" w:rsidP="00705A91">
      <w:pPr>
        <w:jc w:val="both"/>
        <w:rPr>
          <w:rFonts w:ascii="Arial" w:hAnsi="Arial" w:cs="Arial"/>
          <w:b/>
          <w:sz w:val="25"/>
          <w:szCs w:val="25"/>
        </w:rPr>
      </w:pPr>
    </w:p>
    <w:p w:rsidR="00705A91" w:rsidRPr="00705A91" w:rsidRDefault="00705A91" w:rsidP="00705A91">
      <w:pPr>
        <w:jc w:val="both"/>
        <w:rPr>
          <w:rFonts w:ascii="Arial" w:hAnsi="Arial" w:cs="Arial"/>
          <w:sz w:val="25"/>
          <w:szCs w:val="25"/>
        </w:rPr>
      </w:pPr>
      <w:r>
        <w:rPr>
          <w:rFonts w:ascii="Arial" w:hAnsi="Arial" w:cs="Arial"/>
          <w:b/>
          <w:sz w:val="25"/>
          <w:szCs w:val="25"/>
        </w:rPr>
        <w:t>SEGUNDO.</w:t>
      </w:r>
      <w:r w:rsidRPr="00705A91">
        <w:rPr>
          <w:rFonts w:ascii="Arial" w:hAnsi="Arial" w:cs="Arial"/>
          <w:b/>
          <w:sz w:val="25"/>
          <w:szCs w:val="25"/>
        </w:rPr>
        <w:t xml:space="preserve">- </w:t>
      </w:r>
      <w:r w:rsidRPr="00705A91">
        <w:rPr>
          <w:rFonts w:ascii="Arial" w:hAnsi="Arial" w:cs="Arial"/>
          <w:sz w:val="25"/>
          <w:szCs w:val="25"/>
        </w:rPr>
        <w:t>La Secretaría de Salud deberá adecuar en sus gestiones relacionadas con la emisión del Certificado de Discapacidad, los lineamientos que, para tal efecto emita el Sector Salud del Gobierno Federal, así como observar lo dispuesto en las Normas Oficiales Mexicanas correspondientes.</w:t>
      </w:r>
    </w:p>
    <w:p w:rsidR="00705A91" w:rsidRPr="00705A91" w:rsidRDefault="00705A91" w:rsidP="00705A91">
      <w:pPr>
        <w:jc w:val="both"/>
        <w:rPr>
          <w:rFonts w:ascii="Arial" w:hAnsi="Arial" w:cs="Arial"/>
          <w:b/>
          <w:sz w:val="25"/>
          <w:szCs w:val="25"/>
        </w:rPr>
      </w:pPr>
    </w:p>
    <w:p w:rsidR="00705A91" w:rsidRPr="00705A91" w:rsidRDefault="00705A91" w:rsidP="00705A91">
      <w:pPr>
        <w:jc w:val="both"/>
        <w:rPr>
          <w:rFonts w:ascii="Arial" w:hAnsi="Arial" w:cs="Arial"/>
          <w:sz w:val="25"/>
          <w:szCs w:val="25"/>
        </w:rPr>
      </w:pPr>
      <w:r>
        <w:rPr>
          <w:rFonts w:ascii="Arial" w:hAnsi="Arial" w:cs="Arial"/>
          <w:b/>
          <w:sz w:val="25"/>
          <w:szCs w:val="25"/>
        </w:rPr>
        <w:t>TERCERO.</w:t>
      </w:r>
      <w:r w:rsidRPr="00705A91">
        <w:rPr>
          <w:rFonts w:ascii="Arial" w:hAnsi="Arial" w:cs="Arial"/>
          <w:b/>
          <w:sz w:val="25"/>
          <w:szCs w:val="25"/>
        </w:rPr>
        <w:t xml:space="preserve">- </w:t>
      </w:r>
      <w:r w:rsidRPr="00705A91">
        <w:rPr>
          <w:rFonts w:ascii="Arial" w:hAnsi="Arial" w:cs="Arial"/>
          <w:sz w:val="25"/>
          <w:szCs w:val="25"/>
        </w:rPr>
        <w:t xml:space="preserve">La Secretaría de Salud, en coordinación con la Secretaría de Infraestructura, Desarrollo Urbano y Movilidad y la Administración Fiscal General del Gobierno del Estado de Coahuila de Zaragoza, deberán realizar las gestiones necesarias para la implementación y emisión del permiso temporal de estacionamiento por discapacidad motora, en un plazo de hasta ciento ochenta días naturales contados a partir de la entrada en vigor del presente decreto. </w:t>
      </w:r>
    </w:p>
    <w:p w:rsidR="00705A91" w:rsidRPr="00705A91" w:rsidRDefault="00705A91" w:rsidP="00705A91">
      <w:pPr>
        <w:jc w:val="both"/>
        <w:rPr>
          <w:rFonts w:ascii="Arial" w:hAnsi="Arial" w:cs="Arial"/>
          <w:b/>
          <w:sz w:val="25"/>
          <w:szCs w:val="25"/>
        </w:rPr>
      </w:pPr>
    </w:p>
    <w:p w:rsidR="00705A91" w:rsidRDefault="00705A91" w:rsidP="00705A91">
      <w:pPr>
        <w:jc w:val="both"/>
        <w:rPr>
          <w:rFonts w:ascii="Arial" w:hAnsi="Arial" w:cs="Arial"/>
          <w:sz w:val="25"/>
          <w:szCs w:val="25"/>
        </w:rPr>
      </w:pPr>
      <w:proofErr w:type="gramStart"/>
      <w:r>
        <w:rPr>
          <w:rFonts w:ascii="Arial" w:hAnsi="Arial" w:cs="Arial"/>
          <w:b/>
          <w:sz w:val="25"/>
          <w:szCs w:val="25"/>
        </w:rPr>
        <w:t>CUARTO.</w:t>
      </w:r>
      <w:r w:rsidRPr="00705A91">
        <w:rPr>
          <w:rFonts w:ascii="Arial" w:hAnsi="Arial" w:cs="Arial"/>
          <w:b/>
          <w:sz w:val="25"/>
          <w:szCs w:val="25"/>
        </w:rPr>
        <w:t>-</w:t>
      </w:r>
      <w:proofErr w:type="gramEnd"/>
      <w:r w:rsidRPr="00705A91">
        <w:rPr>
          <w:rFonts w:ascii="Arial" w:hAnsi="Arial" w:cs="Arial"/>
          <w:b/>
          <w:sz w:val="25"/>
          <w:szCs w:val="25"/>
        </w:rPr>
        <w:t xml:space="preserve"> </w:t>
      </w:r>
      <w:r w:rsidRPr="00705A91">
        <w:rPr>
          <w:rFonts w:ascii="Arial" w:hAnsi="Arial" w:cs="Arial"/>
          <w:sz w:val="25"/>
          <w:szCs w:val="25"/>
        </w:rPr>
        <w:t>Las erogaciones que se generen con motivo de la entrada en vigor del presente Decreto, se cubrirán con cargo al presupuesto aprobado a las dependencias y entidades involucradas para el ejercicio fiscal respectivo y subsecuentes.</w:t>
      </w:r>
    </w:p>
    <w:p w:rsidR="00705A91" w:rsidRPr="00705A91" w:rsidRDefault="00705A91" w:rsidP="00705A91">
      <w:pPr>
        <w:jc w:val="both"/>
        <w:rPr>
          <w:rFonts w:ascii="Arial" w:hAnsi="Arial" w:cs="Arial"/>
          <w:sz w:val="25"/>
          <w:szCs w:val="25"/>
        </w:rPr>
      </w:pPr>
    </w:p>
    <w:p w:rsidR="00705A91" w:rsidRPr="00705A91" w:rsidRDefault="00705A91" w:rsidP="00705A91">
      <w:pPr>
        <w:jc w:val="both"/>
        <w:rPr>
          <w:rFonts w:ascii="Arial" w:hAnsi="Arial" w:cs="Arial"/>
          <w:sz w:val="25"/>
          <w:szCs w:val="25"/>
        </w:rPr>
      </w:pPr>
      <w:r w:rsidRPr="00705A91">
        <w:rPr>
          <w:rFonts w:ascii="Arial" w:hAnsi="Arial" w:cs="Arial"/>
          <w:b/>
          <w:sz w:val="25"/>
          <w:szCs w:val="25"/>
        </w:rPr>
        <w:lastRenderedPageBreak/>
        <w:t xml:space="preserve">QUINTO.- </w:t>
      </w:r>
      <w:r w:rsidRPr="00705A91">
        <w:rPr>
          <w:rFonts w:ascii="Arial" w:hAnsi="Arial" w:cs="Arial"/>
          <w:sz w:val="25"/>
          <w:szCs w:val="25"/>
        </w:rPr>
        <w:t xml:space="preserve">Se dejan sin efectos las disposiciones que se opongan a lo previsto en el presente decreto. </w:t>
      </w:r>
    </w:p>
    <w:p w:rsidR="00D350C9" w:rsidRPr="00705A91" w:rsidRDefault="00D350C9" w:rsidP="00D350C9">
      <w:pPr>
        <w:widowControl w:val="0"/>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DADO en la Ciudad de Saltillo, Coahuila de Zaragoza, a los doce días del mes de junio del año dos mil diecinueve.</w:t>
      </w: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DIPUTADO PRESIDENTE</w:t>
      </w: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center"/>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JAIME BUENO ZERTUCHE</w:t>
      </w: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tabs>
          <w:tab w:val="left" w:pos="8749"/>
        </w:tabs>
        <w:spacing w:after="0" w:line="240" w:lineRule="auto"/>
        <w:jc w:val="both"/>
        <w:rPr>
          <w:rFonts w:ascii="Arial" w:eastAsia="Times New Roman" w:hAnsi="Arial" w:cs="Arial"/>
          <w:b/>
          <w:snapToGrid w:val="0"/>
          <w:sz w:val="25"/>
          <w:szCs w:val="25"/>
          <w:lang w:val="es-ES_tradnl" w:eastAsia="es-ES"/>
        </w:rPr>
      </w:pPr>
      <w:r w:rsidRPr="00705A91">
        <w:rPr>
          <w:rFonts w:ascii="Arial" w:eastAsia="Times New Roman" w:hAnsi="Arial" w:cs="Arial"/>
          <w:b/>
          <w:snapToGrid w:val="0"/>
          <w:sz w:val="25"/>
          <w:szCs w:val="25"/>
          <w:lang w:val="es-ES_tradnl" w:eastAsia="es-ES"/>
        </w:rPr>
        <w:t xml:space="preserve">               DIPUTADA SECRETARIA                               DIPUTADO SECRETARIO</w:t>
      </w: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eastAsia="Times New Roman" w:hAnsi="Arial" w:cs="Arial"/>
          <w:b/>
          <w:snapToGrid w:val="0"/>
          <w:sz w:val="25"/>
          <w:szCs w:val="25"/>
          <w:lang w:val="es-ES_tradnl" w:eastAsia="es-ES"/>
        </w:rPr>
      </w:pPr>
    </w:p>
    <w:p w:rsidR="00D350C9" w:rsidRPr="00705A91" w:rsidRDefault="00D350C9" w:rsidP="00D350C9">
      <w:pPr>
        <w:spacing w:after="0" w:line="240" w:lineRule="auto"/>
        <w:jc w:val="both"/>
        <w:rPr>
          <w:rFonts w:ascii="Arial" w:hAnsi="Arial" w:cs="Arial"/>
          <w:sz w:val="25"/>
          <w:szCs w:val="25"/>
        </w:rPr>
      </w:pPr>
      <w:r w:rsidRPr="00705A91">
        <w:rPr>
          <w:rFonts w:ascii="Arial" w:eastAsia="Times New Roman" w:hAnsi="Arial" w:cs="Arial"/>
          <w:b/>
          <w:snapToGrid w:val="0"/>
          <w:sz w:val="25"/>
          <w:szCs w:val="25"/>
          <w:lang w:val="es-ES_tradnl" w:eastAsia="es-ES"/>
        </w:rPr>
        <w:t>ZULMMA VERENICE GUERRERO CÁZARES       EDGAR GERARDO SÁNCHEZ GARZA</w:t>
      </w:r>
    </w:p>
    <w:p w:rsidR="00D350C9" w:rsidRPr="00705A91" w:rsidRDefault="00D350C9" w:rsidP="00D350C9">
      <w:pPr>
        <w:rPr>
          <w:rFonts w:ascii="Arial" w:hAnsi="Arial" w:cs="Arial"/>
          <w:sz w:val="25"/>
          <w:szCs w:val="25"/>
        </w:rPr>
      </w:pPr>
    </w:p>
    <w:p w:rsidR="00D350C9" w:rsidRPr="00705A91" w:rsidRDefault="00D350C9" w:rsidP="00D350C9">
      <w:pPr>
        <w:rPr>
          <w:rFonts w:ascii="Arial" w:hAnsi="Arial" w:cs="Arial"/>
          <w:sz w:val="25"/>
          <w:szCs w:val="25"/>
        </w:rPr>
      </w:pPr>
    </w:p>
    <w:p w:rsidR="00245157" w:rsidRPr="00705A91" w:rsidRDefault="002A73B0">
      <w:pPr>
        <w:rPr>
          <w:rFonts w:ascii="Arial" w:hAnsi="Arial" w:cs="Arial"/>
          <w:sz w:val="25"/>
          <w:szCs w:val="25"/>
        </w:rPr>
      </w:pPr>
      <w:bookmarkStart w:id="0" w:name="_GoBack"/>
      <w:bookmarkEnd w:id="0"/>
    </w:p>
    <w:sectPr w:rsidR="00245157" w:rsidRPr="00705A91" w:rsidSect="00D1151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B0" w:rsidRDefault="002A73B0" w:rsidP="00EF516F">
      <w:pPr>
        <w:spacing w:after="0" w:line="240" w:lineRule="auto"/>
      </w:pPr>
      <w:r>
        <w:separator/>
      </w:r>
    </w:p>
  </w:endnote>
  <w:endnote w:type="continuationSeparator" w:id="0">
    <w:p w:rsidR="002A73B0" w:rsidRDefault="002A73B0" w:rsidP="00EF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B0" w:rsidRDefault="002A73B0" w:rsidP="00EF516F">
      <w:pPr>
        <w:spacing w:after="0" w:line="240" w:lineRule="auto"/>
      </w:pPr>
      <w:r>
        <w:separator/>
      </w:r>
    </w:p>
  </w:footnote>
  <w:footnote w:type="continuationSeparator" w:id="0">
    <w:p w:rsidR="002A73B0" w:rsidRDefault="002A73B0" w:rsidP="00EF5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F516F" w:rsidRPr="00EF516F" w:rsidTr="00AB0D2C">
      <w:trPr>
        <w:jc w:val="center"/>
      </w:trPr>
      <w:tc>
        <w:tcPr>
          <w:tcW w:w="1253" w:type="dxa"/>
        </w:tcPr>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tc>
      <w:tc>
        <w:tcPr>
          <w:tcW w:w="8623" w:type="dxa"/>
        </w:tcPr>
        <w:p w:rsidR="00EF516F" w:rsidRPr="00EF516F" w:rsidRDefault="00EF516F" w:rsidP="00EF516F">
          <w:pPr>
            <w:spacing w:after="0" w:line="240" w:lineRule="auto"/>
            <w:jc w:val="center"/>
            <w:rPr>
              <w:rFonts w:ascii="Arial" w:eastAsia="Times New Roman" w:hAnsi="Arial" w:cs="Times New Roman"/>
              <w:b/>
              <w:bCs/>
              <w:sz w:val="24"/>
              <w:szCs w:val="20"/>
              <w:lang w:eastAsia="es-ES"/>
            </w:rPr>
          </w:pPr>
          <w:r w:rsidRPr="00EF516F">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698964E1" wp14:editId="56EFED3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F516F">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D6C633F" wp14:editId="522842EC">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16F" w:rsidRPr="00EF516F" w:rsidRDefault="00EF516F" w:rsidP="00EF516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F516F">
            <w:rPr>
              <w:rFonts w:ascii="Times New Roman" w:eastAsia="Times New Roman" w:hAnsi="Times New Roman" w:cs="Arial"/>
              <w:bCs/>
              <w:smallCaps/>
              <w:spacing w:val="20"/>
              <w:sz w:val="32"/>
              <w:szCs w:val="32"/>
              <w:lang w:eastAsia="es-ES"/>
            </w:rPr>
            <w:t>Congreso del Estado Independiente,</w:t>
          </w:r>
        </w:p>
        <w:p w:rsidR="00EF516F" w:rsidRPr="00EF516F" w:rsidRDefault="00EF516F" w:rsidP="00EF516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F516F">
            <w:rPr>
              <w:rFonts w:ascii="Times New Roman" w:eastAsia="Times New Roman" w:hAnsi="Times New Roman" w:cs="Arial"/>
              <w:bCs/>
              <w:smallCaps/>
              <w:spacing w:val="20"/>
              <w:sz w:val="32"/>
              <w:szCs w:val="32"/>
              <w:lang w:eastAsia="es-ES"/>
            </w:rPr>
            <w:t>Libre y Soberano de Coahuila de Zaragoza</w:t>
          </w:r>
        </w:p>
        <w:p w:rsidR="00EF516F" w:rsidRPr="00EF516F" w:rsidRDefault="00EF516F" w:rsidP="00EF516F">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F516F" w:rsidRPr="00EF516F" w:rsidRDefault="00EF516F" w:rsidP="00EF516F">
          <w:pPr>
            <w:spacing w:after="0" w:line="240" w:lineRule="auto"/>
            <w:jc w:val="center"/>
            <w:rPr>
              <w:rFonts w:ascii="Calibri" w:eastAsia="Times New Roman" w:hAnsi="Calibri" w:cs="Arial"/>
              <w:b/>
              <w:sz w:val="16"/>
              <w:szCs w:val="20"/>
              <w:lang w:eastAsia="es-ES"/>
            </w:rPr>
          </w:pPr>
          <w:r w:rsidRPr="00EF516F">
            <w:rPr>
              <w:rFonts w:ascii="Calibri" w:eastAsia="Times New Roman" w:hAnsi="Calibri" w:cs="Arial"/>
              <w:b/>
              <w:sz w:val="16"/>
              <w:szCs w:val="20"/>
              <w:lang w:eastAsia="es-ES"/>
            </w:rPr>
            <w:t>“</w:t>
          </w:r>
          <w:r w:rsidRPr="00EF516F">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EF516F">
            <w:rPr>
              <w:rFonts w:ascii="Calibri" w:eastAsia="Times New Roman" w:hAnsi="Calibri" w:cs="Arial"/>
              <w:b/>
              <w:sz w:val="16"/>
              <w:szCs w:val="20"/>
              <w:lang w:eastAsia="es-ES"/>
            </w:rPr>
            <w:t>”</w:t>
          </w:r>
        </w:p>
        <w:p w:rsidR="00EF516F" w:rsidRPr="00EF516F" w:rsidRDefault="00EF516F" w:rsidP="00EF516F">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p w:rsidR="00EF516F" w:rsidRPr="00EF516F" w:rsidRDefault="00EF516F" w:rsidP="00EF516F">
          <w:pPr>
            <w:spacing w:after="0" w:line="240" w:lineRule="auto"/>
            <w:jc w:val="center"/>
            <w:rPr>
              <w:rFonts w:ascii="Arial" w:eastAsia="Times New Roman" w:hAnsi="Arial" w:cs="Times New Roman"/>
              <w:b/>
              <w:bCs/>
              <w:sz w:val="12"/>
              <w:szCs w:val="20"/>
              <w:lang w:eastAsia="es-ES"/>
            </w:rPr>
          </w:pPr>
        </w:p>
      </w:tc>
    </w:tr>
  </w:tbl>
  <w:p w:rsidR="00EF516F" w:rsidRDefault="00EF51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0CF2"/>
    <w:multiLevelType w:val="hybridMultilevel"/>
    <w:tmpl w:val="C532A910"/>
    <w:lvl w:ilvl="0" w:tplc="24E003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C9"/>
    <w:rsid w:val="000653EC"/>
    <w:rsid w:val="002A73B0"/>
    <w:rsid w:val="002E5819"/>
    <w:rsid w:val="004562E7"/>
    <w:rsid w:val="00705A91"/>
    <w:rsid w:val="00877C1B"/>
    <w:rsid w:val="00D350C9"/>
    <w:rsid w:val="00EF5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8B9B-957E-4E11-AD9E-3683EEFF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A91"/>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styleId="Encabezado">
    <w:name w:val="header"/>
    <w:basedOn w:val="Normal"/>
    <w:link w:val="EncabezadoCar"/>
    <w:uiPriority w:val="99"/>
    <w:unhideWhenUsed/>
    <w:rsid w:val="00EF51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16F"/>
  </w:style>
  <w:style w:type="paragraph" w:styleId="Piedepgina">
    <w:name w:val="footer"/>
    <w:basedOn w:val="Normal"/>
    <w:link w:val="PiedepginaCar"/>
    <w:uiPriority w:val="99"/>
    <w:unhideWhenUsed/>
    <w:rsid w:val="00EF51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2019-06-20T19:20:00Z</dcterms:created>
  <dcterms:modified xsi:type="dcterms:W3CDTF">2019-06-20T19:20:00Z</dcterms:modified>
</cp:coreProperties>
</file>