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F2A" w:rsidRPr="00F33393" w:rsidRDefault="00370F2A" w:rsidP="00370F2A">
      <w:pPr>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370F2A">
      <w:pPr>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370F2A">
      <w:pPr>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370F2A">
      <w:pPr>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370F2A">
      <w:pPr>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370F2A">
      <w:pPr>
        <w:spacing w:after="0" w:line="240" w:lineRule="auto"/>
        <w:jc w:val="both"/>
        <w:rPr>
          <w:rFonts w:ascii="Arial" w:eastAsia="Times New Roman" w:hAnsi="Arial" w:cs="Arial"/>
          <w:b/>
          <w:snapToGrid w:val="0"/>
          <w:sz w:val="25"/>
          <w:szCs w:val="25"/>
          <w:lang w:val="es-ES_tradnl" w:eastAsia="es-ES"/>
        </w:rPr>
      </w:pPr>
      <w:r w:rsidRPr="00F33393">
        <w:rPr>
          <w:rFonts w:ascii="Arial" w:eastAsia="Times New Roman" w:hAnsi="Arial" w:cs="Arial"/>
          <w:b/>
          <w:snapToGrid w:val="0"/>
          <w:sz w:val="25"/>
          <w:szCs w:val="25"/>
          <w:lang w:val="es-ES_tradnl" w:eastAsia="es-ES"/>
        </w:rPr>
        <w:t>QUE EL CONGRESO DEL ESTADO INDEPENDIENTE, LIBRE Y SOBERANO DE COAHUILA DE ZARAGOZA;</w:t>
      </w:r>
    </w:p>
    <w:p w:rsidR="00370F2A" w:rsidRPr="00F33393" w:rsidRDefault="00370F2A" w:rsidP="00370F2A">
      <w:pPr>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370F2A">
      <w:pPr>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370F2A">
      <w:pPr>
        <w:widowControl w:val="0"/>
        <w:spacing w:after="0" w:line="240" w:lineRule="auto"/>
        <w:jc w:val="both"/>
        <w:rPr>
          <w:rFonts w:ascii="Arial" w:eastAsia="Times New Roman" w:hAnsi="Arial" w:cs="Arial"/>
          <w:b/>
          <w:snapToGrid w:val="0"/>
          <w:sz w:val="25"/>
          <w:szCs w:val="25"/>
          <w:lang w:val="es-ES_tradnl" w:eastAsia="es-ES"/>
        </w:rPr>
      </w:pPr>
      <w:r w:rsidRPr="00F33393">
        <w:rPr>
          <w:rFonts w:ascii="Arial" w:eastAsia="Times New Roman" w:hAnsi="Arial" w:cs="Arial"/>
          <w:b/>
          <w:snapToGrid w:val="0"/>
          <w:sz w:val="25"/>
          <w:szCs w:val="25"/>
          <w:lang w:val="es-ES_tradnl" w:eastAsia="es-ES"/>
        </w:rPr>
        <w:t>DECRETA:</w:t>
      </w:r>
    </w:p>
    <w:p w:rsidR="00370F2A" w:rsidRPr="00F33393" w:rsidRDefault="00370F2A" w:rsidP="00370F2A">
      <w:pPr>
        <w:widowControl w:val="0"/>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F33393">
      <w:pPr>
        <w:widowControl w:val="0"/>
        <w:spacing w:after="0" w:line="240" w:lineRule="auto"/>
        <w:jc w:val="both"/>
        <w:rPr>
          <w:rFonts w:ascii="Arial" w:eastAsia="Times New Roman" w:hAnsi="Arial" w:cs="Arial"/>
          <w:b/>
          <w:snapToGrid w:val="0"/>
          <w:sz w:val="25"/>
          <w:szCs w:val="25"/>
          <w:lang w:val="es-ES_tradnl" w:eastAsia="es-ES"/>
        </w:rPr>
      </w:pPr>
      <w:r w:rsidRPr="00F33393">
        <w:rPr>
          <w:rFonts w:ascii="Arial" w:eastAsia="Times New Roman" w:hAnsi="Arial" w:cs="Arial"/>
          <w:b/>
          <w:snapToGrid w:val="0"/>
          <w:sz w:val="25"/>
          <w:szCs w:val="25"/>
          <w:lang w:val="es-ES_tradnl" w:eastAsia="es-ES"/>
        </w:rPr>
        <w:t xml:space="preserve">NÚMERO 307.- </w:t>
      </w:r>
    </w:p>
    <w:p w:rsidR="00F33393" w:rsidRPr="00F33393" w:rsidRDefault="00F33393" w:rsidP="00F33393">
      <w:pPr>
        <w:widowControl w:val="0"/>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F33393">
      <w:pPr>
        <w:widowControl w:val="0"/>
        <w:spacing w:after="0" w:line="240" w:lineRule="auto"/>
        <w:jc w:val="both"/>
        <w:rPr>
          <w:rFonts w:ascii="Arial" w:eastAsia="Times New Roman" w:hAnsi="Arial" w:cs="Arial"/>
          <w:b/>
          <w:snapToGrid w:val="0"/>
          <w:sz w:val="25"/>
          <w:szCs w:val="25"/>
          <w:lang w:val="es-ES_tradnl" w:eastAsia="es-ES"/>
        </w:rPr>
      </w:pPr>
    </w:p>
    <w:p w:rsidR="00F33393" w:rsidRPr="00F33393" w:rsidRDefault="00F33393" w:rsidP="00F33393">
      <w:pPr>
        <w:spacing w:after="0" w:line="240" w:lineRule="auto"/>
        <w:jc w:val="both"/>
        <w:rPr>
          <w:rFonts w:ascii="Arial" w:hAnsi="Arial" w:cs="Arial"/>
          <w:sz w:val="25"/>
          <w:szCs w:val="25"/>
        </w:rPr>
      </w:pPr>
      <w:r w:rsidRPr="00F33393">
        <w:rPr>
          <w:rFonts w:ascii="Arial" w:hAnsi="Arial" w:cs="Arial"/>
          <w:b/>
          <w:sz w:val="25"/>
          <w:szCs w:val="25"/>
        </w:rPr>
        <w:t>ARTÍCULO ÚNICO.-</w:t>
      </w:r>
      <w:r w:rsidRPr="00F33393">
        <w:rPr>
          <w:rFonts w:ascii="Arial" w:hAnsi="Arial" w:cs="Arial"/>
          <w:sz w:val="25"/>
          <w:szCs w:val="25"/>
        </w:rPr>
        <w:t xml:space="preserve"> Se reforman la fracción XIII del artículo 2,</w:t>
      </w:r>
      <w:r w:rsidRPr="00F33393">
        <w:rPr>
          <w:rFonts w:ascii="Arial" w:hAnsi="Arial" w:cs="Arial"/>
          <w:b/>
          <w:sz w:val="25"/>
          <w:szCs w:val="25"/>
        </w:rPr>
        <w:t xml:space="preserve"> </w:t>
      </w:r>
      <w:r w:rsidRPr="00F33393">
        <w:rPr>
          <w:rFonts w:ascii="Arial" w:hAnsi="Arial" w:cs="Arial"/>
          <w:sz w:val="25"/>
          <w:szCs w:val="25"/>
        </w:rPr>
        <w:t>los artículos 27, 31 el segundo párrafo del artículo 81; se adicionan el párrafo cuarto al artículo 28, los párrafos tercero y cuarto al artículo 81 y los párrafos tercero y cuarto al artículo 91, de la Ley de Adquisiciones, Arrendamientos y Contratación de Servicios para el Estado de Coahuila de Zaragoza, para quedar como sigue:</w:t>
      </w:r>
    </w:p>
    <w:p w:rsidR="00F33393" w:rsidRPr="00F33393" w:rsidRDefault="00F33393" w:rsidP="00F33393">
      <w:pPr>
        <w:spacing w:line="240" w:lineRule="auto"/>
        <w:rPr>
          <w:rFonts w:ascii="Arial" w:hAnsi="Arial" w:cs="Arial"/>
          <w:sz w:val="25"/>
          <w:szCs w:val="25"/>
        </w:rPr>
      </w:pPr>
    </w:p>
    <w:p w:rsidR="00F33393" w:rsidRPr="00F33393" w:rsidRDefault="00F33393" w:rsidP="00F33393">
      <w:pPr>
        <w:spacing w:line="240" w:lineRule="auto"/>
        <w:rPr>
          <w:rFonts w:ascii="Arial" w:hAnsi="Arial" w:cs="Arial"/>
          <w:sz w:val="25"/>
          <w:szCs w:val="25"/>
        </w:rPr>
      </w:pPr>
    </w:p>
    <w:p w:rsidR="00F33393" w:rsidRPr="00F33393" w:rsidRDefault="00F33393" w:rsidP="00F33393">
      <w:pPr>
        <w:spacing w:line="240" w:lineRule="auto"/>
        <w:rPr>
          <w:rFonts w:ascii="Arial" w:hAnsi="Arial" w:cs="Arial"/>
          <w:bCs/>
          <w:sz w:val="25"/>
          <w:szCs w:val="25"/>
        </w:rPr>
      </w:pPr>
      <w:r w:rsidRPr="00F33393">
        <w:rPr>
          <w:rFonts w:ascii="Arial" w:hAnsi="Arial" w:cs="Arial"/>
          <w:b/>
          <w:bCs/>
          <w:sz w:val="25"/>
          <w:szCs w:val="25"/>
        </w:rPr>
        <w:t xml:space="preserve">Artículo 2.- </w:t>
      </w:r>
      <w:r w:rsidRPr="00F33393">
        <w:rPr>
          <w:rFonts w:ascii="Arial" w:hAnsi="Arial" w:cs="Arial"/>
          <w:bCs/>
          <w:sz w:val="25"/>
          <w:szCs w:val="25"/>
        </w:rPr>
        <w:t>…</w:t>
      </w:r>
    </w:p>
    <w:p w:rsidR="00F33393" w:rsidRPr="00F33393" w:rsidRDefault="00F33393" w:rsidP="00F33393">
      <w:pPr>
        <w:spacing w:line="240" w:lineRule="auto"/>
        <w:rPr>
          <w:rFonts w:ascii="Arial" w:hAnsi="Arial" w:cs="Arial"/>
          <w:bCs/>
          <w:sz w:val="25"/>
          <w:szCs w:val="25"/>
        </w:rPr>
      </w:pPr>
    </w:p>
    <w:p w:rsidR="00F33393" w:rsidRPr="00F33393" w:rsidRDefault="00F33393" w:rsidP="00F33393">
      <w:pPr>
        <w:spacing w:line="240" w:lineRule="auto"/>
        <w:rPr>
          <w:rFonts w:ascii="Arial" w:hAnsi="Arial" w:cs="Arial"/>
          <w:bCs/>
          <w:sz w:val="25"/>
          <w:szCs w:val="25"/>
        </w:rPr>
      </w:pPr>
    </w:p>
    <w:p w:rsidR="00F33393" w:rsidRPr="00F33393" w:rsidRDefault="00F33393" w:rsidP="00F33393">
      <w:pPr>
        <w:pStyle w:val="Prrafodelista"/>
        <w:numPr>
          <w:ilvl w:val="0"/>
          <w:numId w:val="1"/>
        </w:numPr>
        <w:tabs>
          <w:tab w:val="left" w:pos="284"/>
        </w:tabs>
        <w:ind w:left="567" w:hanging="567"/>
        <w:rPr>
          <w:rFonts w:cs="Arial"/>
          <w:bCs/>
          <w:sz w:val="25"/>
          <w:szCs w:val="25"/>
          <w:lang w:val="es-ES_tradnl"/>
        </w:rPr>
      </w:pPr>
      <w:r w:rsidRPr="00F33393">
        <w:rPr>
          <w:rFonts w:cs="Arial"/>
          <w:b w:val="0"/>
          <w:bCs/>
          <w:sz w:val="25"/>
          <w:szCs w:val="25"/>
          <w:lang w:val="es-ES_tradnl"/>
        </w:rPr>
        <w:t>a</w:t>
      </w:r>
      <w:r w:rsidRPr="00F33393">
        <w:rPr>
          <w:rFonts w:cs="Arial"/>
          <w:bCs/>
          <w:sz w:val="25"/>
          <w:szCs w:val="25"/>
          <w:lang w:val="es-ES_tradnl"/>
        </w:rPr>
        <w:t xml:space="preserve">  </w:t>
      </w:r>
      <w:r w:rsidRPr="00F33393">
        <w:rPr>
          <w:rFonts w:cs="Arial"/>
          <w:bCs/>
          <w:sz w:val="25"/>
          <w:szCs w:val="25"/>
        </w:rPr>
        <w:t>XII. …</w:t>
      </w:r>
    </w:p>
    <w:p w:rsidR="00F33393" w:rsidRPr="00F33393" w:rsidRDefault="00F33393" w:rsidP="00F33393">
      <w:pPr>
        <w:spacing w:line="240" w:lineRule="auto"/>
        <w:jc w:val="both"/>
        <w:rPr>
          <w:rFonts w:ascii="Arial" w:hAnsi="Arial" w:cs="Arial"/>
          <w:b/>
          <w:bCs/>
          <w:sz w:val="25"/>
          <w:szCs w:val="25"/>
        </w:rPr>
      </w:pPr>
    </w:p>
    <w:p w:rsidR="00F33393" w:rsidRPr="00F33393" w:rsidRDefault="00F33393" w:rsidP="00F33393">
      <w:pPr>
        <w:spacing w:line="240" w:lineRule="auto"/>
        <w:ind w:left="397" w:hanging="397"/>
        <w:jc w:val="both"/>
        <w:rPr>
          <w:rFonts w:ascii="Arial" w:hAnsi="Arial" w:cs="Arial"/>
          <w:bCs/>
          <w:sz w:val="25"/>
          <w:szCs w:val="25"/>
        </w:rPr>
      </w:pPr>
      <w:r w:rsidRPr="00F33393">
        <w:rPr>
          <w:rFonts w:ascii="Arial" w:hAnsi="Arial" w:cs="Arial"/>
          <w:b/>
          <w:bCs/>
          <w:sz w:val="25"/>
          <w:szCs w:val="25"/>
        </w:rPr>
        <w:t xml:space="preserve">XIII. </w:t>
      </w:r>
      <w:r w:rsidRPr="00F33393">
        <w:rPr>
          <w:rFonts w:ascii="Arial" w:hAnsi="Arial" w:cs="Arial"/>
          <w:b/>
          <w:bCs/>
          <w:sz w:val="25"/>
          <w:szCs w:val="25"/>
        </w:rPr>
        <w:tab/>
      </w:r>
      <w:r w:rsidRPr="00F33393">
        <w:rPr>
          <w:rFonts w:ascii="Arial" w:hAnsi="Arial" w:cs="Arial"/>
          <w:bCs/>
          <w:sz w:val="25"/>
          <w:szCs w:val="25"/>
        </w:rPr>
        <w:t xml:space="preserve">Órganos Internos de Control:  </w:t>
      </w:r>
      <w:r w:rsidRPr="00F33393">
        <w:rPr>
          <w:rFonts w:ascii="Arial" w:hAnsi="Arial" w:cs="Arial"/>
          <w:sz w:val="25"/>
          <w:szCs w:val="25"/>
        </w:rPr>
        <w:t>Las unidades administrativas a cargo de promover, evaluar y fortalecer el buen funcionamiento del control interno en los entes públicos, y que además son competentes para aplicar las leyes en materia de responsabilidades de Servidores Públicos, conforme a lo previsto en la Ley General;</w:t>
      </w:r>
    </w:p>
    <w:p w:rsidR="00F33393" w:rsidRPr="00F33393" w:rsidRDefault="00F33393" w:rsidP="00F33393">
      <w:pPr>
        <w:spacing w:line="240" w:lineRule="auto"/>
        <w:rPr>
          <w:rFonts w:ascii="Arial" w:hAnsi="Arial" w:cs="Arial"/>
          <w:bCs/>
          <w:i/>
          <w:sz w:val="25"/>
          <w:szCs w:val="25"/>
        </w:rPr>
      </w:pPr>
    </w:p>
    <w:p w:rsidR="00F33393" w:rsidRPr="00F33393" w:rsidRDefault="00F33393" w:rsidP="00F33393">
      <w:pPr>
        <w:spacing w:line="240" w:lineRule="auto"/>
        <w:rPr>
          <w:rFonts w:ascii="Arial" w:hAnsi="Arial" w:cs="Arial"/>
          <w:bCs/>
          <w:i/>
          <w:sz w:val="25"/>
          <w:szCs w:val="25"/>
        </w:rPr>
      </w:pPr>
    </w:p>
    <w:p w:rsidR="00F33393" w:rsidRPr="00F33393" w:rsidRDefault="00F33393" w:rsidP="00F33393">
      <w:pPr>
        <w:spacing w:line="240" w:lineRule="auto"/>
        <w:ind w:left="284" w:hanging="284"/>
        <w:rPr>
          <w:rFonts w:ascii="Arial" w:hAnsi="Arial" w:cs="Arial"/>
          <w:b/>
          <w:bCs/>
          <w:sz w:val="25"/>
          <w:szCs w:val="25"/>
        </w:rPr>
      </w:pPr>
      <w:r w:rsidRPr="00F33393">
        <w:rPr>
          <w:rFonts w:ascii="Arial" w:hAnsi="Arial" w:cs="Arial"/>
          <w:b/>
          <w:bCs/>
          <w:sz w:val="25"/>
          <w:szCs w:val="25"/>
        </w:rPr>
        <w:t>XIV.</w:t>
      </w:r>
      <w:r w:rsidRPr="00F33393">
        <w:rPr>
          <w:rFonts w:ascii="Arial" w:hAnsi="Arial" w:cs="Arial"/>
          <w:bCs/>
          <w:sz w:val="25"/>
          <w:szCs w:val="25"/>
        </w:rPr>
        <w:t xml:space="preserve"> </w:t>
      </w:r>
      <w:r w:rsidRPr="00F33393">
        <w:rPr>
          <w:rFonts w:ascii="Arial" w:hAnsi="Arial" w:cs="Arial"/>
          <w:bCs/>
          <w:sz w:val="25"/>
          <w:szCs w:val="25"/>
        </w:rPr>
        <w:tab/>
        <w:t xml:space="preserve"> a </w:t>
      </w:r>
      <w:r w:rsidRPr="00F33393">
        <w:rPr>
          <w:rFonts w:ascii="Arial" w:hAnsi="Arial" w:cs="Arial"/>
          <w:b/>
          <w:bCs/>
          <w:sz w:val="25"/>
          <w:szCs w:val="25"/>
        </w:rPr>
        <w:t>XXV. …</w:t>
      </w:r>
    </w:p>
    <w:p w:rsidR="00F33393" w:rsidRDefault="00F33393" w:rsidP="00F33393">
      <w:pPr>
        <w:spacing w:line="240" w:lineRule="auto"/>
        <w:ind w:left="284" w:hanging="284"/>
        <w:rPr>
          <w:rFonts w:ascii="Arial" w:hAnsi="Arial" w:cs="Arial"/>
          <w:bCs/>
          <w:sz w:val="25"/>
          <w:szCs w:val="25"/>
        </w:rPr>
      </w:pPr>
    </w:p>
    <w:p w:rsidR="00F33393" w:rsidRPr="00F33393" w:rsidRDefault="00F33393" w:rsidP="00F33393">
      <w:pPr>
        <w:spacing w:line="240" w:lineRule="auto"/>
        <w:ind w:left="284" w:hanging="284"/>
        <w:rPr>
          <w:rFonts w:ascii="Arial" w:hAnsi="Arial" w:cs="Arial"/>
          <w:bCs/>
          <w:sz w:val="25"/>
          <w:szCs w:val="25"/>
        </w:rPr>
      </w:pPr>
    </w:p>
    <w:p w:rsidR="00F33393" w:rsidRPr="00F33393" w:rsidRDefault="00F33393" w:rsidP="00F33393">
      <w:pPr>
        <w:spacing w:line="240" w:lineRule="auto"/>
        <w:jc w:val="both"/>
        <w:rPr>
          <w:rFonts w:ascii="Arial" w:hAnsi="Arial" w:cs="Arial"/>
          <w:bCs/>
          <w:sz w:val="25"/>
          <w:szCs w:val="25"/>
        </w:rPr>
      </w:pPr>
      <w:r w:rsidRPr="00F33393">
        <w:rPr>
          <w:rFonts w:ascii="Arial" w:hAnsi="Arial" w:cs="Arial"/>
          <w:b/>
          <w:bCs/>
          <w:sz w:val="25"/>
          <w:szCs w:val="25"/>
        </w:rPr>
        <w:lastRenderedPageBreak/>
        <w:t>Artículo 27.-</w:t>
      </w:r>
      <w:r w:rsidRPr="00F33393">
        <w:rPr>
          <w:rFonts w:ascii="Arial" w:hAnsi="Arial" w:cs="Arial"/>
          <w:bCs/>
          <w:sz w:val="25"/>
          <w:szCs w:val="25"/>
        </w:rPr>
        <w:t xml:space="preserve"> Los pedidos o contratos celebrados con proveedores no registrados en el Padrón de Proveedores de la Administración Pública, o cuyo registro no se encuentre vigente, serán nulos de pleno derecho, de conformidad con lo establecido en las disposiciones reglamentarias de esta Ley.</w:t>
      </w:r>
    </w:p>
    <w:p w:rsidR="00F33393" w:rsidRPr="00F33393" w:rsidRDefault="00F33393" w:rsidP="00F33393">
      <w:pPr>
        <w:spacing w:line="360" w:lineRule="auto"/>
        <w:jc w:val="both"/>
        <w:rPr>
          <w:rFonts w:ascii="Arial" w:hAnsi="Arial" w:cs="Arial"/>
          <w:bCs/>
          <w:sz w:val="25"/>
          <w:szCs w:val="25"/>
        </w:rPr>
      </w:pPr>
    </w:p>
    <w:p w:rsidR="00F33393" w:rsidRPr="00F33393" w:rsidRDefault="00F33393" w:rsidP="00F33393">
      <w:pPr>
        <w:spacing w:line="240" w:lineRule="auto"/>
        <w:jc w:val="both"/>
        <w:rPr>
          <w:rFonts w:ascii="Arial" w:hAnsi="Arial" w:cs="Arial"/>
          <w:b/>
          <w:bCs/>
          <w:sz w:val="25"/>
          <w:szCs w:val="25"/>
        </w:rPr>
      </w:pPr>
      <w:r w:rsidRPr="00F33393">
        <w:rPr>
          <w:rFonts w:ascii="Arial" w:hAnsi="Arial" w:cs="Arial"/>
          <w:bCs/>
          <w:sz w:val="25"/>
          <w:szCs w:val="25"/>
        </w:rPr>
        <w:t>Las autoridades competentes, fincarán las responsabilidades correspondientes a los servidores públicos involucrados, a los proveedores en lo que corresponda por las operaciones que se hayan hecho sin contar con la autorización de la exención de parte del Órgano de Control, y, en su caso, a los responsables  de los Órganos Internos de Control, cuando se acredite que incumplieron dolosamente con sus deberes para favorecer este tipo de contratos.</w:t>
      </w:r>
    </w:p>
    <w:p w:rsidR="00F33393" w:rsidRPr="00F33393" w:rsidRDefault="00F33393" w:rsidP="00F33393">
      <w:pPr>
        <w:spacing w:line="240" w:lineRule="auto"/>
        <w:rPr>
          <w:rFonts w:ascii="Arial" w:hAnsi="Arial" w:cs="Arial"/>
          <w:b/>
          <w:bCs/>
          <w:sz w:val="25"/>
          <w:szCs w:val="25"/>
        </w:rPr>
      </w:pPr>
    </w:p>
    <w:p w:rsidR="00F33393" w:rsidRPr="00F33393" w:rsidRDefault="00F33393" w:rsidP="00F33393">
      <w:pPr>
        <w:spacing w:line="240" w:lineRule="auto"/>
        <w:rPr>
          <w:rFonts w:ascii="Arial" w:hAnsi="Arial" w:cs="Arial"/>
          <w:sz w:val="25"/>
          <w:szCs w:val="25"/>
        </w:rPr>
      </w:pPr>
      <w:r w:rsidRPr="00F33393">
        <w:rPr>
          <w:rFonts w:ascii="Arial" w:hAnsi="Arial" w:cs="Arial"/>
          <w:b/>
          <w:sz w:val="25"/>
          <w:szCs w:val="25"/>
        </w:rPr>
        <w:t>Artículo 28.-</w:t>
      </w:r>
      <w:r w:rsidRPr="00F33393">
        <w:rPr>
          <w:rFonts w:ascii="Arial" w:hAnsi="Arial" w:cs="Arial"/>
          <w:sz w:val="25"/>
          <w:szCs w:val="25"/>
        </w:rPr>
        <w:t xml:space="preserve">  …</w:t>
      </w:r>
    </w:p>
    <w:p w:rsidR="00F33393" w:rsidRPr="00F33393" w:rsidRDefault="00F33393" w:rsidP="00F33393">
      <w:pPr>
        <w:spacing w:line="240" w:lineRule="auto"/>
        <w:rPr>
          <w:rFonts w:ascii="Arial" w:hAnsi="Arial" w:cs="Arial"/>
          <w:b/>
          <w:sz w:val="25"/>
          <w:szCs w:val="25"/>
        </w:rPr>
      </w:pPr>
    </w:p>
    <w:p w:rsidR="00F33393" w:rsidRPr="00F33393" w:rsidRDefault="00F33393" w:rsidP="00F33393">
      <w:pPr>
        <w:spacing w:line="240" w:lineRule="auto"/>
        <w:rPr>
          <w:rFonts w:ascii="Arial" w:hAnsi="Arial" w:cs="Arial"/>
          <w:b/>
          <w:sz w:val="25"/>
          <w:szCs w:val="25"/>
        </w:rPr>
      </w:pPr>
      <w:r w:rsidRPr="00F33393">
        <w:rPr>
          <w:rFonts w:ascii="Arial" w:hAnsi="Arial" w:cs="Arial"/>
          <w:b/>
          <w:sz w:val="25"/>
          <w:szCs w:val="25"/>
        </w:rPr>
        <w:t>…</w:t>
      </w:r>
    </w:p>
    <w:p w:rsidR="00F33393" w:rsidRPr="00F33393" w:rsidRDefault="00F33393" w:rsidP="00F33393">
      <w:pPr>
        <w:spacing w:line="240" w:lineRule="auto"/>
        <w:rPr>
          <w:rFonts w:ascii="Arial" w:hAnsi="Arial" w:cs="Arial"/>
          <w:b/>
          <w:sz w:val="25"/>
          <w:szCs w:val="25"/>
        </w:rPr>
      </w:pPr>
    </w:p>
    <w:p w:rsidR="00F33393" w:rsidRPr="00F33393" w:rsidRDefault="00F33393" w:rsidP="00F33393">
      <w:pPr>
        <w:spacing w:line="240" w:lineRule="auto"/>
        <w:rPr>
          <w:rFonts w:ascii="Arial" w:hAnsi="Arial" w:cs="Arial"/>
          <w:b/>
          <w:sz w:val="25"/>
          <w:szCs w:val="25"/>
        </w:rPr>
      </w:pPr>
      <w:r w:rsidRPr="00F33393">
        <w:rPr>
          <w:rFonts w:ascii="Arial" w:hAnsi="Arial" w:cs="Arial"/>
          <w:b/>
          <w:sz w:val="25"/>
          <w:szCs w:val="25"/>
        </w:rPr>
        <w:t>…</w:t>
      </w:r>
    </w:p>
    <w:p w:rsidR="00F33393" w:rsidRPr="00F33393" w:rsidRDefault="00F33393" w:rsidP="00F33393">
      <w:pPr>
        <w:pStyle w:val="Sinespaciado"/>
        <w:jc w:val="both"/>
        <w:rPr>
          <w:rFonts w:ascii="Arial" w:hAnsi="Arial" w:cs="Arial"/>
          <w:sz w:val="25"/>
          <w:szCs w:val="25"/>
          <w:lang w:eastAsia="es-ES"/>
        </w:rPr>
      </w:pPr>
    </w:p>
    <w:p w:rsidR="00F33393" w:rsidRPr="00F33393" w:rsidRDefault="00F33393" w:rsidP="00F33393">
      <w:pPr>
        <w:spacing w:line="240" w:lineRule="auto"/>
        <w:jc w:val="both"/>
        <w:rPr>
          <w:rFonts w:ascii="Arial" w:hAnsi="Arial" w:cs="Arial"/>
          <w:sz w:val="25"/>
          <w:szCs w:val="25"/>
        </w:rPr>
      </w:pPr>
      <w:r w:rsidRPr="00F33393">
        <w:rPr>
          <w:rFonts w:ascii="Arial" w:hAnsi="Arial" w:cs="Arial"/>
          <w:sz w:val="25"/>
          <w:szCs w:val="25"/>
        </w:rPr>
        <w:t xml:space="preserve">Sin embargo, en los casos en los casos de excepciones previstas en el artículo  64 de esta ley en que el monto de la operación exceda de sesenta salarios mínimos, previa a la contratación la dependencia o entidad contratante deberá dar aviso al órgano interno de control a efecto de que éste realice una verificación del proveedor, comprobando que cumple con los requisitos básicos señalados en esta ley, en especial que no presente conflicto de intereses, así como el domicilio fiscal y, en su caso, el lugar donde realiza su actividad; rindiendo un informe al respecto, mismo que formará parte del expediente del procedimiento. Este informe tendrá carácter de público. </w:t>
      </w:r>
    </w:p>
    <w:p w:rsidR="00F33393" w:rsidRPr="00F33393" w:rsidRDefault="00F33393" w:rsidP="00F33393">
      <w:pPr>
        <w:spacing w:line="240" w:lineRule="auto"/>
        <w:jc w:val="both"/>
        <w:rPr>
          <w:rFonts w:ascii="Arial" w:hAnsi="Arial" w:cs="Arial"/>
          <w:sz w:val="25"/>
          <w:szCs w:val="25"/>
        </w:rPr>
      </w:pPr>
    </w:p>
    <w:p w:rsidR="00F33393" w:rsidRPr="00F33393" w:rsidRDefault="00F33393" w:rsidP="00F33393">
      <w:pPr>
        <w:spacing w:line="240" w:lineRule="auto"/>
        <w:jc w:val="both"/>
        <w:rPr>
          <w:rFonts w:ascii="Arial" w:hAnsi="Arial" w:cs="Arial"/>
          <w:bCs/>
          <w:sz w:val="25"/>
          <w:szCs w:val="25"/>
        </w:rPr>
      </w:pPr>
      <w:r w:rsidRPr="00F33393">
        <w:rPr>
          <w:rFonts w:ascii="Arial" w:hAnsi="Arial" w:cs="Arial"/>
          <w:b/>
          <w:bCs/>
          <w:sz w:val="25"/>
          <w:szCs w:val="25"/>
        </w:rPr>
        <w:t>Artículo 31.-</w:t>
      </w:r>
      <w:r w:rsidRPr="00F33393">
        <w:rPr>
          <w:rFonts w:ascii="Arial" w:hAnsi="Arial" w:cs="Arial"/>
          <w:bCs/>
          <w:sz w:val="25"/>
          <w:szCs w:val="25"/>
        </w:rPr>
        <w:t xml:space="preserve"> Las entidades deberán establecer subcomités de adquisiciones con carácter técnico, consultivo y de opinión, que tendrán por objeto analizar y vigilar las acciones encaminadas a la planeación, programación, </w:t>
      </w:r>
      <w:proofErr w:type="spellStart"/>
      <w:r w:rsidRPr="00F33393">
        <w:rPr>
          <w:rFonts w:ascii="Arial" w:hAnsi="Arial" w:cs="Arial"/>
          <w:bCs/>
          <w:sz w:val="25"/>
          <w:szCs w:val="25"/>
        </w:rPr>
        <w:t>presupuestación</w:t>
      </w:r>
      <w:proofErr w:type="spellEnd"/>
      <w:r w:rsidRPr="00F33393">
        <w:rPr>
          <w:rFonts w:ascii="Arial" w:hAnsi="Arial" w:cs="Arial"/>
          <w:bCs/>
          <w:sz w:val="25"/>
          <w:szCs w:val="25"/>
        </w:rPr>
        <w:t xml:space="preserve"> y contratación de las adquisiciones, arrendamientos y servicios, en los términos de la presente Ley, sin perjuicio del dictamen en el que conste la opinión y recomendación que en su caso deberá emitir en uso de sus facultades, el Comité.</w:t>
      </w:r>
    </w:p>
    <w:p w:rsidR="00F33393" w:rsidRPr="00F33393" w:rsidRDefault="00F33393" w:rsidP="00F33393">
      <w:pPr>
        <w:spacing w:line="360" w:lineRule="auto"/>
        <w:jc w:val="both"/>
        <w:rPr>
          <w:rFonts w:ascii="Arial" w:hAnsi="Arial" w:cs="Arial"/>
          <w:bCs/>
          <w:sz w:val="25"/>
          <w:szCs w:val="25"/>
        </w:rPr>
      </w:pPr>
    </w:p>
    <w:p w:rsidR="00F33393" w:rsidRPr="00F33393" w:rsidRDefault="00F33393" w:rsidP="00F33393">
      <w:pPr>
        <w:spacing w:line="360" w:lineRule="auto"/>
        <w:jc w:val="both"/>
        <w:rPr>
          <w:rFonts w:ascii="Arial" w:hAnsi="Arial" w:cs="Arial"/>
          <w:sz w:val="25"/>
          <w:szCs w:val="25"/>
        </w:rPr>
      </w:pPr>
      <w:r w:rsidRPr="00F33393">
        <w:rPr>
          <w:rFonts w:ascii="Arial" w:hAnsi="Arial" w:cs="Arial"/>
          <w:b/>
          <w:sz w:val="25"/>
          <w:szCs w:val="25"/>
        </w:rPr>
        <w:lastRenderedPageBreak/>
        <w:t>Artículo 81.-</w:t>
      </w:r>
      <w:r w:rsidRPr="00F33393">
        <w:rPr>
          <w:rFonts w:ascii="Arial" w:hAnsi="Arial" w:cs="Arial"/>
          <w:sz w:val="25"/>
          <w:szCs w:val="25"/>
        </w:rPr>
        <w:t xml:space="preserve"> …</w:t>
      </w:r>
    </w:p>
    <w:p w:rsidR="00F33393" w:rsidRPr="00F33393" w:rsidRDefault="00F33393" w:rsidP="00F33393">
      <w:pPr>
        <w:spacing w:line="240" w:lineRule="auto"/>
        <w:jc w:val="both"/>
        <w:rPr>
          <w:rFonts w:ascii="Arial" w:hAnsi="Arial" w:cs="Arial"/>
          <w:sz w:val="25"/>
          <w:szCs w:val="25"/>
        </w:rPr>
      </w:pPr>
      <w:r w:rsidRPr="00F33393">
        <w:rPr>
          <w:rFonts w:ascii="Arial" w:hAnsi="Arial" w:cs="Arial"/>
          <w:sz w:val="25"/>
          <w:szCs w:val="25"/>
        </w:rPr>
        <w:t>El Órgano Interno de Control, en ejercicio de sus respectivas facultades, deberán</w:t>
      </w:r>
      <w:r w:rsidRPr="00F33393">
        <w:rPr>
          <w:rFonts w:ascii="Arial" w:hAnsi="Arial" w:cs="Arial"/>
          <w:b/>
          <w:sz w:val="25"/>
          <w:szCs w:val="25"/>
        </w:rPr>
        <w:t xml:space="preserve"> </w:t>
      </w:r>
      <w:r w:rsidRPr="00F33393">
        <w:rPr>
          <w:rFonts w:ascii="Arial" w:hAnsi="Arial" w:cs="Arial"/>
          <w:sz w:val="25"/>
          <w:szCs w:val="25"/>
        </w:rPr>
        <w:t>realizar las acciones de supervisión, verificación, vigilancia y las visitas e inspecciones que estimen pertinentes a las unidades, las dependencias y entidades que se encuentren bajo su responsabilidad, que realicen operaciones en materia de adquisiciones y/o arrendamientos de bienes muebles y contratación de servicios; e igualmente podrán solicitar de los servidores públicos y de los proveedores y contratistas que participen en ellas, todos los documentos, datos e informes que le sean necesarios relacionados con los actos de que se trate.</w:t>
      </w:r>
    </w:p>
    <w:p w:rsidR="00F33393" w:rsidRPr="00F33393" w:rsidRDefault="00F33393" w:rsidP="00F33393">
      <w:pPr>
        <w:spacing w:line="360" w:lineRule="auto"/>
        <w:rPr>
          <w:rFonts w:ascii="Arial" w:hAnsi="Arial" w:cs="Arial"/>
          <w:sz w:val="25"/>
          <w:szCs w:val="25"/>
        </w:rPr>
      </w:pPr>
    </w:p>
    <w:p w:rsidR="00F33393" w:rsidRPr="00F33393" w:rsidRDefault="00F33393" w:rsidP="00F33393">
      <w:pPr>
        <w:spacing w:line="240" w:lineRule="auto"/>
        <w:jc w:val="both"/>
        <w:rPr>
          <w:rFonts w:ascii="Arial" w:hAnsi="Arial" w:cs="Arial"/>
          <w:b/>
          <w:bCs/>
          <w:sz w:val="25"/>
          <w:szCs w:val="25"/>
        </w:rPr>
      </w:pPr>
      <w:r w:rsidRPr="00F33393">
        <w:rPr>
          <w:rFonts w:ascii="Arial" w:hAnsi="Arial" w:cs="Arial"/>
          <w:bCs/>
          <w:sz w:val="25"/>
          <w:szCs w:val="25"/>
        </w:rPr>
        <w:t>Sin perjuicio de lo establecido en los párrafos anteriores, el Órgano Interno de Control, incluirá en su programa anual de actividades, revisión y verificación de todos los proveedores que realizaron operaciones de compra venta y/o prestación de servicios, con autorización de la exención a la inscripción en el Padrón de Proveedores de conformidad con los artículos 28 y 64 de la Ley  a fin de comprobar que han cumplido con todos los requisitos establecidos en esta ley.</w:t>
      </w:r>
      <w:r w:rsidRPr="00F33393" w:rsidDel="00BD108A">
        <w:rPr>
          <w:rFonts w:ascii="Arial" w:hAnsi="Arial" w:cs="Arial"/>
          <w:bCs/>
          <w:sz w:val="25"/>
          <w:szCs w:val="25"/>
        </w:rPr>
        <w:t xml:space="preserve"> </w:t>
      </w:r>
    </w:p>
    <w:p w:rsidR="00F33393" w:rsidRPr="00F33393" w:rsidRDefault="00F33393" w:rsidP="00F33393">
      <w:pPr>
        <w:spacing w:line="240" w:lineRule="auto"/>
        <w:rPr>
          <w:rFonts w:ascii="Arial" w:hAnsi="Arial" w:cs="Arial"/>
          <w:sz w:val="25"/>
          <w:szCs w:val="25"/>
        </w:rPr>
      </w:pPr>
    </w:p>
    <w:p w:rsidR="00F33393" w:rsidRPr="00F33393" w:rsidRDefault="00F33393" w:rsidP="00F33393">
      <w:pPr>
        <w:spacing w:line="240" w:lineRule="auto"/>
        <w:rPr>
          <w:rFonts w:ascii="Arial" w:hAnsi="Arial" w:cs="Arial"/>
          <w:sz w:val="25"/>
          <w:szCs w:val="25"/>
        </w:rPr>
      </w:pPr>
    </w:p>
    <w:p w:rsidR="00F33393" w:rsidRPr="00F33393" w:rsidRDefault="00F33393" w:rsidP="00F33393">
      <w:pPr>
        <w:spacing w:line="240" w:lineRule="auto"/>
        <w:rPr>
          <w:rFonts w:ascii="Arial" w:hAnsi="Arial" w:cs="Arial"/>
          <w:bCs/>
          <w:sz w:val="25"/>
          <w:szCs w:val="25"/>
        </w:rPr>
      </w:pPr>
      <w:r w:rsidRPr="00F33393">
        <w:rPr>
          <w:rFonts w:ascii="Arial" w:hAnsi="Arial" w:cs="Arial"/>
          <w:b/>
          <w:bCs/>
          <w:sz w:val="25"/>
          <w:szCs w:val="25"/>
        </w:rPr>
        <w:t>Artículo 91.-</w:t>
      </w:r>
      <w:r w:rsidRPr="00F33393">
        <w:rPr>
          <w:rFonts w:ascii="Arial" w:hAnsi="Arial" w:cs="Arial"/>
          <w:bCs/>
          <w:sz w:val="25"/>
          <w:szCs w:val="25"/>
        </w:rPr>
        <w:t xml:space="preserve">  …</w:t>
      </w:r>
    </w:p>
    <w:p w:rsidR="00F33393" w:rsidRPr="00F33393" w:rsidRDefault="00F33393" w:rsidP="00F33393">
      <w:pPr>
        <w:spacing w:line="240" w:lineRule="auto"/>
        <w:jc w:val="both"/>
        <w:rPr>
          <w:rFonts w:ascii="Arial" w:hAnsi="Arial" w:cs="Arial"/>
          <w:bCs/>
          <w:sz w:val="25"/>
          <w:szCs w:val="25"/>
        </w:rPr>
      </w:pPr>
    </w:p>
    <w:p w:rsidR="00F33393" w:rsidRPr="00F33393" w:rsidRDefault="00F33393" w:rsidP="00F33393">
      <w:pPr>
        <w:spacing w:line="240" w:lineRule="auto"/>
        <w:jc w:val="both"/>
        <w:rPr>
          <w:rFonts w:ascii="Arial" w:hAnsi="Arial" w:cs="Arial"/>
          <w:bCs/>
          <w:sz w:val="25"/>
          <w:szCs w:val="25"/>
        </w:rPr>
      </w:pPr>
      <w:r w:rsidRPr="00F33393">
        <w:rPr>
          <w:rFonts w:ascii="Arial" w:hAnsi="Arial" w:cs="Arial"/>
          <w:bCs/>
          <w:sz w:val="25"/>
          <w:szCs w:val="25"/>
        </w:rPr>
        <w:t>Los titulares de los Órganos Internos de Control serán responsables por las omisiones y acciones que realicen en contravención a sus deberes de vigilancia, verificación y supervisión establecidos en esta ley, en la Ley General de Responsabilidades Administrativas, y demás ordenamientos aplicables, y responderán ante los titulares de los poderes públicos y de los organismos autónomos y descentralizados, según corresponda de acuerdo a las leyes aplicables.</w:t>
      </w:r>
    </w:p>
    <w:p w:rsidR="00F33393" w:rsidRPr="00F33393" w:rsidRDefault="00F33393" w:rsidP="00F33393">
      <w:pPr>
        <w:spacing w:line="240" w:lineRule="auto"/>
        <w:jc w:val="both"/>
        <w:rPr>
          <w:rFonts w:ascii="Arial" w:hAnsi="Arial" w:cs="Arial"/>
          <w:bCs/>
          <w:sz w:val="25"/>
          <w:szCs w:val="25"/>
        </w:rPr>
      </w:pPr>
      <w:r w:rsidRPr="00F33393">
        <w:rPr>
          <w:rFonts w:ascii="Arial" w:hAnsi="Arial" w:cs="Arial"/>
          <w:bCs/>
          <w:sz w:val="25"/>
          <w:szCs w:val="25"/>
        </w:rPr>
        <w:t xml:space="preserve">El titular de la Secretaría de Fiscalización y Rendición de Cuentas responderá ante el gobernador del estado. </w:t>
      </w:r>
    </w:p>
    <w:p w:rsidR="00F33393" w:rsidRPr="00F33393" w:rsidRDefault="00F33393" w:rsidP="00F33393">
      <w:pPr>
        <w:spacing w:line="240" w:lineRule="auto"/>
        <w:rPr>
          <w:rFonts w:ascii="Arial" w:eastAsia="Calibri" w:hAnsi="Arial" w:cs="Arial"/>
          <w:b/>
          <w:sz w:val="25"/>
          <w:szCs w:val="25"/>
        </w:rPr>
      </w:pPr>
    </w:p>
    <w:p w:rsidR="00F33393" w:rsidRPr="00C32540" w:rsidRDefault="00F33393" w:rsidP="00F33393">
      <w:pPr>
        <w:spacing w:line="240" w:lineRule="auto"/>
        <w:jc w:val="center"/>
        <w:rPr>
          <w:rFonts w:ascii="Arial" w:hAnsi="Arial" w:cs="Arial"/>
          <w:b/>
          <w:sz w:val="25"/>
          <w:szCs w:val="25"/>
          <w:lang w:val="en-US"/>
        </w:rPr>
      </w:pPr>
      <w:r w:rsidRPr="00C32540">
        <w:rPr>
          <w:rFonts w:ascii="Arial" w:hAnsi="Arial" w:cs="Arial"/>
          <w:b/>
          <w:sz w:val="25"/>
          <w:szCs w:val="25"/>
          <w:lang w:val="en-US"/>
        </w:rPr>
        <w:t xml:space="preserve">T R </w:t>
      </w:r>
      <w:proofErr w:type="gramStart"/>
      <w:r w:rsidRPr="00C32540">
        <w:rPr>
          <w:rFonts w:ascii="Arial" w:hAnsi="Arial" w:cs="Arial"/>
          <w:b/>
          <w:sz w:val="25"/>
          <w:szCs w:val="25"/>
          <w:lang w:val="en-US"/>
        </w:rPr>
        <w:t>A</w:t>
      </w:r>
      <w:proofErr w:type="gramEnd"/>
      <w:r w:rsidRPr="00C32540">
        <w:rPr>
          <w:rFonts w:ascii="Arial" w:hAnsi="Arial" w:cs="Arial"/>
          <w:b/>
          <w:sz w:val="25"/>
          <w:szCs w:val="25"/>
          <w:lang w:val="en-US"/>
        </w:rPr>
        <w:t xml:space="preserve"> N S I T O R I O</w:t>
      </w:r>
    </w:p>
    <w:p w:rsidR="00F33393" w:rsidRPr="00C32540" w:rsidRDefault="00F33393" w:rsidP="00F33393">
      <w:pPr>
        <w:spacing w:line="240" w:lineRule="auto"/>
        <w:jc w:val="both"/>
        <w:rPr>
          <w:rFonts w:ascii="Arial" w:hAnsi="Arial" w:cs="Arial"/>
          <w:sz w:val="25"/>
          <w:szCs w:val="25"/>
          <w:lang w:val="en-US"/>
        </w:rPr>
      </w:pPr>
    </w:p>
    <w:p w:rsidR="00F33393" w:rsidRPr="00F33393" w:rsidRDefault="00F33393" w:rsidP="00F33393">
      <w:pPr>
        <w:spacing w:line="240" w:lineRule="auto"/>
        <w:jc w:val="both"/>
        <w:rPr>
          <w:rFonts w:ascii="Arial" w:hAnsi="Arial" w:cs="Arial"/>
          <w:sz w:val="25"/>
          <w:szCs w:val="25"/>
        </w:rPr>
      </w:pPr>
      <w:r w:rsidRPr="00F33393">
        <w:rPr>
          <w:rFonts w:ascii="Arial" w:hAnsi="Arial" w:cs="Arial"/>
          <w:b/>
          <w:sz w:val="25"/>
          <w:szCs w:val="25"/>
        </w:rPr>
        <w:t xml:space="preserve">ARTÍCULO </w:t>
      </w:r>
      <w:proofErr w:type="gramStart"/>
      <w:r w:rsidRPr="00F33393">
        <w:rPr>
          <w:rFonts w:ascii="Arial" w:hAnsi="Arial" w:cs="Arial"/>
          <w:b/>
          <w:sz w:val="25"/>
          <w:szCs w:val="25"/>
        </w:rPr>
        <w:t>ÚNICO.-</w:t>
      </w:r>
      <w:proofErr w:type="gramEnd"/>
      <w:r>
        <w:rPr>
          <w:rFonts w:ascii="Arial" w:hAnsi="Arial" w:cs="Arial"/>
          <w:sz w:val="25"/>
          <w:szCs w:val="25"/>
        </w:rPr>
        <w:t xml:space="preserve"> </w:t>
      </w:r>
      <w:r w:rsidRPr="00F33393">
        <w:rPr>
          <w:rFonts w:ascii="Arial" w:hAnsi="Arial" w:cs="Arial"/>
          <w:sz w:val="25"/>
          <w:szCs w:val="25"/>
        </w:rPr>
        <w:t>El presente Decreto entrará en vigor al día siguiente de su publicación en el Periódico Oficial del Estado.</w:t>
      </w:r>
    </w:p>
    <w:p w:rsidR="00F33393" w:rsidRPr="00F33393" w:rsidRDefault="00F33393" w:rsidP="00F33393">
      <w:pPr>
        <w:rPr>
          <w:rFonts w:ascii="Arial" w:hAnsi="Arial" w:cs="Arial"/>
          <w:sz w:val="25"/>
          <w:szCs w:val="25"/>
        </w:rPr>
      </w:pPr>
    </w:p>
    <w:p w:rsidR="00F33393" w:rsidRPr="00F33393" w:rsidRDefault="00F33393" w:rsidP="00F33393">
      <w:pPr>
        <w:rPr>
          <w:rFonts w:ascii="Arial" w:hAnsi="Arial" w:cs="Arial"/>
          <w:sz w:val="25"/>
          <w:szCs w:val="25"/>
        </w:rPr>
      </w:pPr>
    </w:p>
    <w:p w:rsidR="00370F2A" w:rsidRPr="00F33393" w:rsidRDefault="00370F2A" w:rsidP="00370F2A">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F33393">
        <w:rPr>
          <w:rFonts w:ascii="Arial" w:eastAsia="Times New Roman" w:hAnsi="Arial" w:cs="Arial"/>
          <w:b/>
          <w:snapToGrid w:val="0"/>
          <w:sz w:val="25"/>
          <w:szCs w:val="25"/>
          <w:lang w:val="es-ES_tradnl" w:eastAsia="es-ES"/>
        </w:rPr>
        <w:t>DADO en la Ciudad de Saltillo, Coahuila de Zaragoza, a los veintiséis días del mes de junio del año dos mil diecinueve.</w:t>
      </w:r>
    </w:p>
    <w:p w:rsidR="00370F2A" w:rsidRPr="00F33393" w:rsidRDefault="00370F2A" w:rsidP="00370F2A">
      <w:pPr>
        <w:tabs>
          <w:tab w:val="left" w:pos="8749"/>
        </w:tabs>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370F2A">
      <w:pPr>
        <w:tabs>
          <w:tab w:val="left" w:pos="8749"/>
        </w:tabs>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370F2A">
      <w:pPr>
        <w:tabs>
          <w:tab w:val="left" w:pos="8749"/>
        </w:tabs>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370F2A">
      <w:pPr>
        <w:tabs>
          <w:tab w:val="left" w:pos="8749"/>
        </w:tabs>
        <w:spacing w:after="0" w:line="240" w:lineRule="auto"/>
        <w:jc w:val="center"/>
        <w:rPr>
          <w:rFonts w:ascii="Arial" w:eastAsia="Times New Roman" w:hAnsi="Arial" w:cs="Arial"/>
          <w:b/>
          <w:snapToGrid w:val="0"/>
          <w:sz w:val="25"/>
          <w:szCs w:val="25"/>
          <w:lang w:val="es-ES_tradnl" w:eastAsia="es-ES"/>
        </w:rPr>
      </w:pPr>
      <w:r w:rsidRPr="00F33393">
        <w:rPr>
          <w:rFonts w:ascii="Arial" w:eastAsia="Times New Roman" w:hAnsi="Arial" w:cs="Arial"/>
          <w:b/>
          <w:snapToGrid w:val="0"/>
          <w:sz w:val="25"/>
          <w:szCs w:val="25"/>
          <w:lang w:val="es-ES_tradnl" w:eastAsia="es-ES"/>
        </w:rPr>
        <w:t>DIPUTADO PRESIDENTE</w:t>
      </w:r>
    </w:p>
    <w:p w:rsidR="00370F2A" w:rsidRPr="00F33393" w:rsidRDefault="00370F2A" w:rsidP="00370F2A">
      <w:pPr>
        <w:tabs>
          <w:tab w:val="left" w:pos="8749"/>
        </w:tabs>
        <w:spacing w:after="0" w:line="240" w:lineRule="auto"/>
        <w:jc w:val="center"/>
        <w:rPr>
          <w:rFonts w:ascii="Arial" w:eastAsia="Times New Roman" w:hAnsi="Arial" w:cs="Arial"/>
          <w:b/>
          <w:snapToGrid w:val="0"/>
          <w:sz w:val="25"/>
          <w:szCs w:val="25"/>
          <w:lang w:val="es-ES_tradnl" w:eastAsia="es-ES"/>
        </w:rPr>
      </w:pPr>
    </w:p>
    <w:p w:rsidR="00370F2A" w:rsidRPr="00F33393" w:rsidRDefault="00370F2A" w:rsidP="00370F2A">
      <w:pPr>
        <w:tabs>
          <w:tab w:val="left" w:pos="8749"/>
        </w:tabs>
        <w:spacing w:after="0" w:line="240" w:lineRule="auto"/>
        <w:jc w:val="center"/>
        <w:rPr>
          <w:rFonts w:ascii="Arial" w:eastAsia="Times New Roman" w:hAnsi="Arial" w:cs="Arial"/>
          <w:b/>
          <w:snapToGrid w:val="0"/>
          <w:sz w:val="25"/>
          <w:szCs w:val="25"/>
          <w:lang w:val="es-ES_tradnl" w:eastAsia="es-ES"/>
        </w:rPr>
      </w:pPr>
    </w:p>
    <w:p w:rsidR="00370F2A" w:rsidRPr="00F33393" w:rsidRDefault="00370F2A" w:rsidP="00370F2A">
      <w:pPr>
        <w:tabs>
          <w:tab w:val="left" w:pos="8749"/>
        </w:tabs>
        <w:spacing w:after="0" w:line="240" w:lineRule="auto"/>
        <w:jc w:val="center"/>
        <w:rPr>
          <w:rFonts w:ascii="Arial" w:eastAsia="Times New Roman" w:hAnsi="Arial" w:cs="Arial"/>
          <w:b/>
          <w:snapToGrid w:val="0"/>
          <w:sz w:val="25"/>
          <w:szCs w:val="25"/>
          <w:lang w:val="es-ES_tradnl" w:eastAsia="es-ES"/>
        </w:rPr>
      </w:pPr>
    </w:p>
    <w:p w:rsidR="00370F2A" w:rsidRPr="00F33393" w:rsidRDefault="00370F2A" w:rsidP="00370F2A">
      <w:pPr>
        <w:tabs>
          <w:tab w:val="left" w:pos="8749"/>
        </w:tabs>
        <w:spacing w:after="0" w:line="240" w:lineRule="auto"/>
        <w:jc w:val="center"/>
        <w:rPr>
          <w:rFonts w:ascii="Arial" w:eastAsia="Times New Roman" w:hAnsi="Arial" w:cs="Arial"/>
          <w:b/>
          <w:snapToGrid w:val="0"/>
          <w:sz w:val="25"/>
          <w:szCs w:val="25"/>
          <w:lang w:val="es-ES_tradnl" w:eastAsia="es-ES"/>
        </w:rPr>
      </w:pPr>
    </w:p>
    <w:p w:rsidR="00370F2A" w:rsidRPr="00F33393" w:rsidRDefault="00370F2A" w:rsidP="00370F2A">
      <w:pPr>
        <w:tabs>
          <w:tab w:val="left" w:pos="8749"/>
        </w:tabs>
        <w:spacing w:after="0" w:line="240" w:lineRule="auto"/>
        <w:jc w:val="center"/>
        <w:rPr>
          <w:rFonts w:ascii="Arial" w:eastAsia="Times New Roman" w:hAnsi="Arial" w:cs="Arial"/>
          <w:b/>
          <w:snapToGrid w:val="0"/>
          <w:sz w:val="25"/>
          <w:szCs w:val="25"/>
          <w:lang w:val="es-ES_tradnl" w:eastAsia="es-ES"/>
        </w:rPr>
      </w:pPr>
    </w:p>
    <w:p w:rsidR="00370F2A" w:rsidRPr="00F33393" w:rsidRDefault="00370F2A" w:rsidP="00370F2A">
      <w:pPr>
        <w:tabs>
          <w:tab w:val="left" w:pos="8749"/>
        </w:tabs>
        <w:spacing w:after="0" w:line="240" w:lineRule="auto"/>
        <w:jc w:val="center"/>
        <w:rPr>
          <w:rFonts w:ascii="Arial" w:eastAsia="Times New Roman" w:hAnsi="Arial" w:cs="Arial"/>
          <w:b/>
          <w:snapToGrid w:val="0"/>
          <w:sz w:val="25"/>
          <w:szCs w:val="25"/>
          <w:lang w:val="es-ES_tradnl" w:eastAsia="es-ES"/>
        </w:rPr>
      </w:pPr>
      <w:r w:rsidRPr="00F33393">
        <w:rPr>
          <w:rFonts w:ascii="Arial" w:eastAsia="Times New Roman" w:hAnsi="Arial" w:cs="Arial"/>
          <w:b/>
          <w:snapToGrid w:val="0"/>
          <w:sz w:val="25"/>
          <w:szCs w:val="25"/>
          <w:lang w:val="es-ES_tradnl" w:eastAsia="es-ES"/>
        </w:rPr>
        <w:t>JAIME BUENO ZERTUCHE</w:t>
      </w:r>
    </w:p>
    <w:p w:rsidR="00370F2A" w:rsidRPr="00F33393" w:rsidRDefault="00370F2A" w:rsidP="00370F2A">
      <w:pPr>
        <w:tabs>
          <w:tab w:val="left" w:pos="8749"/>
        </w:tabs>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370F2A">
      <w:pPr>
        <w:tabs>
          <w:tab w:val="left" w:pos="8749"/>
        </w:tabs>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370F2A">
      <w:pPr>
        <w:tabs>
          <w:tab w:val="left" w:pos="8749"/>
        </w:tabs>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370F2A">
      <w:pPr>
        <w:tabs>
          <w:tab w:val="left" w:pos="8749"/>
        </w:tabs>
        <w:spacing w:after="0" w:line="240" w:lineRule="auto"/>
        <w:jc w:val="both"/>
        <w:rPr>
          <w:rFonts w:ascii="Arial" w:eastAsia="Times New Roman" w:hAnsi="Arial" w:cs="Arial"/>
          <w:b/>
          <w:snapToGrid w:val="0"/>
          <w:sz w:val="25"/>
          <w:szCs w:val="25"/>
          <w:lang w:val="es-ES_tradnl" w:eastAsia="es-ES"/>
        </w:rPr>
      </w:pPr>
      <w:r w:rsidRPr="00F33393">
        <w:rPr>
          <w:rFonts w:ascii="Arial" w:eastAsia="Times New Roman" w:hAnsi="Arial" w:cs="Arial"/>
          <w:b/>
          <w:snapToGrid w:val="0"/>
          <w:sz w:val="25"/>
          <w:szCs w:val="25"/>
          <w:lang w:val="es-ES_tradnl" w:eastAsia="es-ES"/>
        </w:rPr>
        <w:t xml:space="preserve">              </w:t>
      </w:r>
      <w:r w:rsidR="00AA56F3">
        <w:rPr>
          <w:rFonts w:ascii="Arial" w:eastAsia="Times New Roman" w:hAnsi="Arial" w:cs="Arial"/>
          <w:b/>
          <w:snapToGrid w:val="0"/>
          <w:sz w:val="25"/>
          <w:szCs w:val="25"/>
          <w:lang w:val="es-ES_tradnl" w:eastAsia="es-ES"/>
        </w:rPr>
        <w:t xml:space="preserve"> </w:t>
      </w:r>
      <w:r w:rsidRPr="00F33393">
        <w:rPr>
          <w:rFonts w:ascii="Arial" w:eastAsia="Times New Roman" w:hAnsi="Arial" w:cs="Arial"/>
          <w:b/>
          <w:snapToGrid w:val="0"/>
          <w:sz w:val="25"/>
          <w:szCs w:val="25"/>
          <w:lang w:val="es-ES_tradnl" w:eastAsia="es-ES"/>
        </w:rPr>
        <w:t>DIPUTADA SECRETARIA</w:t>
      </w:r>
      <w:r w:rsidR="00AA56F3">
        <w:rPr>
          <w:rFonts w:ascii="Arial" w:eastAsia="Times New Roman" w:hAnsi="Arial" w:cs="Arial"/>
          <w:b/>
          <w:snapToGrid w:val="0"/>
          <w:sz w:val="25"/>
          <w:szCs w:val="25"/>
          <w:lang w:val="es-ES_tradnl" w:eastAsia="es-ES"/>
        </w:rPr>
        <w:t xml:space="preserve">                               </w:t>
      </w:r>
      <w:r w:rsidRPr="00F33393">
        <w:rPr>
          <w:rFonts w:ascii="Arial" w:eastAsia="Times New Roman" w:hAnsi="Arial" w:cs="Arial"/>
          <w:b/>
          <w:snapToGrid w:val="0"/>
          <w:sz w:val="25"/>
          <w:szCs w:val="25"/>
          <w:lang w:val="es-ES_tradnl" w:eastAsia="es-ES"/>
        </w:rPr>
        <w:t>DIPUTADO SECRETARIO</w:t>
      </w:r>
    </w:p>
    <w:p w:rsidR="00370F2A" w:rsidRPr="00F33393" w:rsidRDefault="00370F2A" w:rsidP="00370F2A">
      <w:pPr>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370F2A">
      <w:pPr>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370F2A">
      <w:pPr>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370F2A">
      <w:pPr>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370F2A">
      <w:pPr>
        <w:spacing w:after="0" w:line="240" w:lineRule="auto"/>
        <w:jc w:val="both"/>
        <w:rPr>
          <w:rFonts w:ascii="Arial" w:eastAsia="Times New Roman" w:hAnsi="Arial" w:cs="Arial"/>
          <w:b/>
          <w:snapToGrid w:val="0"/>
          <w:sz w:val="25"/>
          <w:szCs w:val="25"/>
          <w:lang w:val="es-ES_tradnl" w:eastAsia="es-ES"/>
        </w:rPr>
      </w:pPr>
    </w:p>
    <w:p w:rsidR="00370F2A" w:rsidRPr="00F33393" w:rsidRDefault="00370F2A" w:rsidP="00370F2A">
      <w:pPr>
        <w:spacing w:after="0" w:line="240" w:lineRule="auto"/>
        <w:jc w:val="both"/>
        <w:rPr>
          <w:rFonts w:ascii="Arial" w:hAnsi="Arial" w:cs="Arial"/>
          <w:sz w:val="25"/>
          <w:szCs w:val="25"/>
        </w:rPr>
      </w:pPr>
      <w:r w:rsidRPr="00F33393">
        <w:rPr>
          <w:rFonts w:ascii="Arial" w:eastAsia="Times New Roman" w:hAnsi="Arial" w:cs="Arial"/>
          <w:b/>
          <w:snapToGrid w:val="0"/>
          <w:sz w:val="25"/>
          <w:szCs w:val="25"/>
          <w:lang w:val="es-ES_tradnl" w:eastAsia="es-ES"/>
        </w:rPr>
        <w:t>ZULMMA VERENICE GUERRERO CÁZARES       EDGAR GERARDO SÁNCHEZ GARZA</w:t>
      </w:r>
    </w:p>
    <w:p w:rsidR="00370F2A" w:rsidRPr="00F33393" w:rsidRDefault="00370F2A" w:rsidP="00370F2A">
      <w:pPr>
        <w:rPr>
          <w:rFonts w:ascii="Arial" w:hAnsi="Arial" w:cs="Arial"/>
          <w:sz w:val="25"/>
          <w:szCs w:val="25"/>
        </w:rPr>
      </w:pPr>
      <w:bookmarkStart w:id="0" w:name="_GoBack"/>
      <w:bookmarkEnd w:id="0"/>
    </w:p>
    <w:sectPr w:rsidR="00370F2A" w:rsidRPr="00F33393" w:rsidSect="00D11513">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298" w:rsidRDefault="00B00298" w:rsidP="00C32540">
      <w:pPr>
        <w:spacing w:after="0" w:line="240" w:lineRule="auto"/>
      </w:pPr>
      <w:r>
        <w:separator/>
      </w:r>
    </w:p>
  </w:endnote>
  <w:endnote w:type="continuationSeparator" w:id="0">
    <w:p w:rsidR="00B00298" w:rsidRDefault="00B00298" w:rsidP="00C3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298" w:rsidRDefault="00B00298" w:rsidP="00C32540">
      <w:pPr>
        <w:spacing w:after="0" w:line="240" w:lineRule="auto"/>
      </w:pPr>
      <w:r>
        <w:separator/>
      </w:r>
    </w:p>
  </w:footnote>
  <w:footnote w:type="continuationSeparator" w:id="0">
    <w:p w:rsidR="00B00298" w:rsidRDefault="00B00298" w:rsidP="00C32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32540" w:rsidRPr="00C32540" w:rsidTr="00CC7E29">
      <w:trPr>
        <w:jc w:val="center"/>
      </w:trPr>
      <w:tc>
        <w:tcPr>
          <w:tcW w:w="1253" w:type="dxa"/>
        </w:tcPr>
        <w:p w:rsidR="00C32540" w:rsidRPr="00C32540" w:rsidRDefault="00C32540" w:rsidP="00C32540">
          <w:pPr>
            <w:spacing w:after="0" w:line="240" w:lineRule="auto"/>
            <w:jc w:val="center"/>
            <w:rPr>
              <w:rFonts w:ascii="Arial" w:eastAsia="Times New Roman" w:hAnsi="Arial" w:cs="Times New Roman"/>
              <w:b/>
              <w:bCs/>
              <w:sz w:val="12"/>
              <w:szCs w:val="20"/>
              <w:lang w:eastAsia="es-ES"/>
            </w:rPr>
          </w:pPr>
        </w:p>
        <w:p w:rsidR="00C32540" w:rsidRPr="00C32540" w:rsidRDefault="00C32540" w:rsidP="00C32540">
          <w:pPr>
            <w:spacing w:after="0" w:line="240" w:lineRule="auto"/>
            <w:jc w:val="center"/>
            <w:rPr>
              <w:rFonts w:ascii="Arial" w:eastAsia="Times New Roman" w:hAnsi="Arial" w:cs="Times New Roman"/>
              <w:b/>
              <w:bCs/>
              <w:sz w:val="12"/>
              <w:szCs w:val="20"/>
              <w:lang w:eastAsia="es-ES"/>
            </w:rPr>
          </w:pPr>
        </w:p>
        <w:p w:rsidR="00C32540" w:rsidRPr="00C32540" w:rsidRDefault="00C32540" w:rsidP="00C32540">
          <w:pPr>
            <w:spacing w:after="0" w:line="240" w:lineRule="auto"/>
            <w:jc w:val="center"/>
            <w:rPr>
              <w:rFonts w:ascii="Arial" w:eastAsia="Times New Roman" w:hAnsi="Arial" w:cs="Times New Roman"/>
              <w:b/>
              <w:bCs/>
              <w:sz w:val="12"/>
              <w:szCs w:val="20"/>
              <w:lang w:eastAsia="es-ES"/>
            </w:rPr>
          </w:pPr>
        </w:p>
        <w:p w:rsidR="00C32540" w:rsidRPr="00C32540" w:rsidRDefault="00C32540" w:rsidP="00C32540">
          <w:pPr>
            <w:spacing w:after="0" w:line="240" w:lineRule="auto"/>
            <w:jc w:val="center"/>
            <w:rPr>
              <w:rFonts w:ascii="Arial" w:eastAsia="Times New Roman" w:hAnsi="Arial" w:cs="Times New Roman"/>
              <w:b/>
              <w:bCs/>
              <w:sz w:val="12"/>
              <w:szCs w:val="20"/>
              <w:lang w:eastAsia="es-ES"/>
            </w:rPr>
          </w:pPr>
        </w:p>
        <w:p w:rsidR="00C32540" w:rsidRPr="00C32540" w:rsidRDefault="00C32540" w:rsidP="00C32540">
          <w:pPr>
            <w:spacing w:after="0" w:line="240" w:lineRule="auto"/>
            <w:jc w:val="center"/>
            <w:rPr>
              <w:rFonts w:ascii="Arial" w:eastAsia="Times New Roman" w:hAnsi="Arial" w:cs="Times New Roman"/>
              <w:b/>
              <w:bCs/>
              <w:sz w:val="12"/>
              <w:szCs w:val="20"/>
              <w:lang w:eastAsia="es-ES"/>
            </w:rPr>
          </w:pPr>
        </w:p>
        <w:p w:rsidR="00C32540" w:rsidRPr="00C32540" w:rsidRDefault="00C32540" w:rsidP="00C32540">
          <w:pPr>
            <w:spacing w:after="0" w:line="240" w:lineRule="auto"/>
            <w:jc w:val="center"/>
            <w:rPr>
              <w:rFonts w:ascii="Arial" w:eastAsia="Times New Roman" w:hAnsi="Arial" w:cs="Times New Roman"/>
              <w:b/>
              <w:bCs/>
              <w:sz w:val="12"/>
              <w:szCs w:val="20"/>
              <w:lang w:eastAsia="es-ES"/>
            </w:rPr>
          </w:pPr>
        </w:p>
        <w:p w:rsidR="00C32540" w:rsidRPr="00C32540" w:rsidRDefault="00C32540" w:rsidP="00C32540">
          <w:pPr>
            <w:spacing w:after="0" w:line="240" w:lineRule="auto"/>
            <w:jc w:val="center"/>
            <w:rPr>
              <w:rFonts w:ascii="Arial" w:eastAsia="Times New Roman" w:hAnsi="Arial" w:cs="Times New Roman"/>
              <w:b/>
              <w:bCs/>
              <w:sz w:val="12"/>
              <w:szCs w:val="20"/>
              <w:lang w:eastAsia="es-ES"/>
            </w:rPr>
          </w:pPr>
        </w:p>
        <w:p w:rsidR="00C32540" w:rsidRPr="00C32540" w:rsidRDefault="00C32540" w:rsidP="00C32540">
          <w:pPr>
            <w:spacing w:after="0" w:line="240" w:lineRule="auto"/>
            <w:jc w:val="center"/>
            <w:rPr>
              <w:rFonts w:ascii="Arial" w:eastAsia="Times New Roman" w:hAnsi="Arial" w:cs="Times New Roman"/>
              <w:b/>
              <w:bCs/>
              <w:sz w:val="12"/>
              <w:szCs w:val="20"/>
              <w:lang w:eastAsia="es-ES"/>
            </w:rPr>
          </w:pPr>
        </w:p>
        <w:p w:rsidR="00C32540" w:rsidRPr="00C32540" w:rsidRDefault="00C32540" w:rsidP="00C32540">
          <w:pPr>
            <w:spacing w:after="0" w:line="240" w:lineRule="auto"/>
            <w:jc w:val="center"/>
            <w:rPr>
              <w:rFonts w:ascii="Arial" w:eastAsia="Times New Roman" w:hAnsi="Arial" w:cs="Times New Roman"/>
              <w:b/>
              <w:bCs/>
              <w:sz w:val="12"/>
              <w:szCs w:val="20"/>
              <w:lang w:eastAsia="es-ES"/>
            </w:rPr>
          </w:pPr>
        </w:p>
        <w:p w:rsidR="00C32540" w:rsidRPr="00C32540" w:rsidRDefault="00C32540" w:rsidP="00C32540">
          <w:pPr>
            <w:spacing w:after="0" w:line="240" w:lineRule="auto"/>
            <w:jc w:val="center"/>
            <w:rPr>
              <w:rFonts w:ascii="Arial" w:eastAsia="Times New Roman" w:hAnsi="Arial" w:cs="Times New Roman"/>
              <w:b/>
              <w:bCs/>
              <w:sz w:val="12"/>
              <w:szCs w:val="20"/>
              <w:lang w:eastAsia="es-ES"/>
            </w:rPr>
          </w:pPr>
        </w:p>
        <w:p w:rsidR="00C32540" w:rsidRPr="00C32540" w:rsidRDefault="00C32540" w:rsidP="00C32540">
          <w:pPr>
            <w:spacing w:after="0" w:line="240" w:lineRule="auto"/>
            <w:jc w:val="center"/>
            <w:rPr>
              <w:rFonts w:ascii="Arial" w:eastAsia="Times New Roman" w:hAnsi="Arial" w:cs="Times New Roman"/>
              <w:b/>
              <w:bCs/>
              <w:sz w:val="12"/>
              <w:szCs w:val="20"/>
              <w:lang w:eastAsia="es-ES"/>
            </w:rPr>
          </w:pPr>
        </w:p>
        <w:p w:rsidR="00C32540" w:rsidRPr="00C32540" w:rsidRDefault="00C32540" w:rsidP="00C32540">
          <w:pPr>
            <w:spacing w:after="0" w:line="240" w:lineRule="auto"/>
            <w:jc w:val="center"/>
            <w:rPr>
              <w:rFonts w:ascii="Arial" w:eastAsia="Times New Roman" w:hAnsi="Arial" w:cs="Times New Roman"/>
              <w:b/>
              <w:bCs/>
              <w:sz w:val="12"/>
              <w:szCs w:val="20"/>
              <w:lang w:eastAsia="es-ES"/>
            </w:rPr>
          </w:pPr>
        </w:p>
      </w:tc>
      <w:tc>
        <w:tcPr>
          <w:tcW w:w="8623" w:type="dxa"/>
        </w:tcPr>
        <w:p w:rsidR="00C32540" w:rsidRPr="00C32540" w:rsidRDefault="00C32540" w:rsidP="00C32540">
          <w:pPr>
            <w:spacing w:after="0" w:line="240" w:lineRule="auto"/>
            <w:jc w:val="center"/>
            <w:rPr>
              <w:rFonts w:ascii="Arial" w:eastAsia="Times New Roman" w:hAnsi="Arial" w:cs="Times New Roman"/>
              <w:b/>
              <w:bCs/>
              <w:sz w:val="24"/>
              <w:szCs w:val="20"/>
              <w:lang w:eastAsia="es-ES"/>
            </w:rPr>
          </w:pPr>
          <w:r w:rsidRPr="00C32540">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256CDAF2" wp14:editId="5C1842B7">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C32540">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9C4474A" wp14:editId="69EFAF6E">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540" w:rsidRPr="00C32540" w:rsidRDefault="00C32540" w:rsidP="00C32540">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C32540">
            <w:rPr>
              <w:rFonts w:ascii="Times New Roman" w:eastAsia="Times New Roman" w:hAnsi="Times New Roman" w:cs="Arial"/>
              <w:bCs/>
              <w:smallCaps/>
              <w:spacing w:val="20"/>
              <w:sz w:val="32"/>
              <w:szCs w:val="32"/>
              <w:lang w:eastAsia="es-ES"/>
            </w:rPr>
            <w:t>Congreso del Estado Independiente,</w:t>
          </w:r>
        </w:p>
        <w:p w:rsidR="00C32540" w:rsidRPr="00C32540" w:rsidRDefault="00C32540" w:rsidP="00C32540">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32540">
            <w:rPr>
              <w:rFonts w:ascii="Times New Roman" w:eastAsia="Times New Roman" w:hAnsi="Times New Roman" w:cs="Arial"/>
              <w:bCs/>
              <w:smallCaps/>
              <w:spacing w:val="20"/>
              <w:sz w:val="32"/>
              <w:szCs w:val="32"/>
              <w:lang w:eastAsia="es-ES"/>
            </w:rPr>
            <w:t>Libre y Soberano de Coahuila de Zaragoza</w:t>
          </w:r>
        </w:p>
        <w:p w:rsidR="00C32540" w:rsidRPr="00C32540" w:rsidRDefault="00C32540" w:rsidP="00C32540">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C32540" w:rsidRPr="00C32540" w:rsidRDefault="00C32540" w:rsidP="00C32540">
          <w:pPr>
            <w:spacing w:after="0" w:line="240" w:lineRule="auto"/>
            <w:jc w:val="center"/>
            <w:rPr>
              <w:rFonts w:ascii="Calibri" w:eastAsia="Times New Roman" w:hAnsi="Calibri" w:cs="Arial"/>
              <w:b/>
              <w:sz w:val="16"/>
              <w:szCs w:val="20"/>
              <w:lang w:eastAsia="es-ES"/>
            </w:rPr>
          </w:pPr>
          <w:r w:rsidRPr="00C32540">
            <w:rPr>
              <w:rFonts w:ascii="Calibri" w:eastAsia="Times New Roman" w:hAnsi="Calibri" w:cs="Arial"/>
              <w:b/>
              <w:sz w:val="16"/>
              <w:szCs w:val="20"/>
              <w:lang w:eastAsia="es-ES"/>
            </w:rPr>
            <w:t>“</w:t>
          </w:r>
          <w:r w:rsidRPr="00C32540">
            <w:rPr>
              <w:rFonts w:ascii="Calibri" w:eastAsia="Times New Roman" w:hAnsi="Calibri" w:cs="Arial"/>
              <w:b/>
              <w:bCs/>
              <w:sz w:val="16"/>
              <w:szCs w:val="16"/>
              <w:bdr w:val="none" w:sz="0" w:space="0" w:color="auto" w:frame="1"/>
              <w:shd w:val="clear" w:color="auto" w:fill="FFFFFF"/>
              <w:lang w:eastAsia="es-ES"/>
            </w:rPr>
            <w:t>2019, Año del respeto y protección de los derechos humanos en el Estado de Coahuila de Zaragoza</w:t>
          </w:r>
          <w:r w:rsidRPr="00C32540">
            <w:rPr>
              <w:rFonts w:ascii="Calibri" w:eastAsia="Times New Roman" w:hAnsi="Calibri" w:cs="Arial"/>
              <w:b/>
              <w:sz w:val="16"/>
              <w:szCs w:val="20"/>
              <w:lang w:eastAsia="es-ES"/>
            </w:rPr>
            <w:t>”</w:t>
          </w:r>
        </w:p>
        <w:p w:rsidR="00C32540" w:rsidRPr="00C32540" w:rsidRDefault="00C32540" w:rsidP="00C32540">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C32540" w:rsidRPr="00C32540" w:rsidRDefault="00C32540" w:rsidP="00C32540">
          <w:pPr>
            <w:spacing w:after="0" w:line="240" w:lineRule="auto"/>
            <w:jc w:val="center"/>
            <w:rPr>
              <w:rFonts w:ascii="Arial" w:eastAsia="Times New Roman" w:hAnsi="Arial" w:cs="Times New Roman"/>
              <w:b/>
              <w:bCs/>
              <w:sz w:val="12"/>
              <w:szCs w:val="20"/>
              <w:lang w:eastAsia="es-ES"/>
            </w:rPr>
          </w:pPr>
        </w:p>
        <w:p w:rsidR="00C32540" w:rsidRPr="00C32540" w:rsidRDefault="00C32540" w:rsidP="00C32540">
          <w:pPr>
            <w:spacing w:after="0" w:line="240" w:lineRule="auto"/>
            <w:jc w:val="center"/>
            <w:rPr>
              <w:rFonts w:ascii="Arial" w:eastAsia="Times New Roman" w:hAnsi="Arial" w:cs="Times New Roman"/>
              <w:b/>
              <w:bCs/>
              <w:sz w:val="12"/>
              <w:szCs w:val="20"/>
              <w:lang w:eastAsia="es-ES"/>
            </w:rPr>
          </w:pPr>
        </w:p>
        <w:p w:rsidR="00C32540" w:rsidRPr="00C32540" w:rsidRDefault="00C32540" w:rsidP="00C32540">
          <w:pPr>
            <w:spacing w:after="0" w:line="240" w:lineRule="auto"/>
            <w:jc w:val="center"/>
            <w:rPr>
              <w:rFonts w:ascii="Arial" w:eastAsia="Times New Roman" w:hAnsi="Arial" w:cs="Times New Roman"/>
              <w:b/>
              <w:bCs/>
              <w:sz w:val="12"/>
              <w:szCs w:val="20"/>
              <w:lang w:eastAsia="es-ES"/>
            </w:rPr>
          </w:pPr>
        </w:p>
      </w:tc>
    </w:tr>
  </w:tbl>
  <w:p w:rsidR="00C32540" w:rsidRDefault="00C3254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F489D"/>
    <w:multiLevelType w:val="hybridMultilevel"/>
    <w:tmpl w:val="A8C871C0"/>
    <w:lvl w:ilvl="0" w:tplc="10A25E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2A"/>
    <w:rsid w:val="000653EC"/>
    <w:rsid w:val="0028073E"/>
    <w:rsid w:val="00364624"/>
    <w:rsid w:val="00370F2A"/>
    <w:rsid w:val="004562E7"/>
    <w:rsid w:val="009B2588"/>
    <w:rsid w:val="00AA56F3"/>
    <w:rsid w:val="00B00298"/>
    <w:rsid w:val="00C32540"/>
    <w:rsid w:val="00F33393"/>
    <w:rsid w:val="00F735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C70FA-36EE-4389-9AF5-B7E608E4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F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3393"/>
    <w:pPr>
      <w:spacing w:after="0" w:line="240" w:lineRule="auto"/>
    </w:pPr>
    <w:rPr>
      <w:rFonts w:ascii="Calibri" w:eastAsia="Calibri" w:hAnsi="Calibri" w:cs="Times New Roman"/>
    </w:rPr>
  </w:style>
  <w:style w:type="paragraph" w:styleId="Prrafodelista">
    <w:name w:val="List Paragraph"/>
    <w:basedOn w:val="Normal"/>
    <w:uiPriority w:val="34"/>
    <w:qFormat/>
    <w:rsid w:val="00F33393"/>
    <w:pPr>
      <w:widowControl w:val="0"/>
      <w:spacing w:after="0" w:line="240" w:lineRule="auto"/>
      <w:ind w:left="720"/>
      <w:contextualSpacing/>
      <w:jc w:val="both"/>
    </w:pPr>
    <w:rPr>
      <w:rFonts w:ascii="Arial" w:eastAsia="Times New Roman" w:hAnsi="Arial" w:cs="Times New Roman"/>
      <w:b/>
      <w:snapToGrid w:val="0"/>
      <w:sz w:val="20"/>
      <w:szCs w:val="20"/>
      <w:lang w:eastAsia="es-ES"/>
    </w:rPr>
  </w:style>
  <w:style w:type="paragraph" w:styleId="Textodeglobo">
    <w:name w:val="Balloon Text"/>
    <w:basedOn w:val="Normal"/>
    <w:link w:val="TextodegloboCar"/>
    <w:uiPriority w:val="99"/>
    <w:semiHidden/>
    <w:unhideWhenUsed/>
    <w:rsid w:val="002807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73E"/>
    <w:rPr>
      <w:rFonts w:ascii="Segoe UI" w:hAnsi="Segoe UI" w:cs="Segoe UI"/>
      <w:sz w:val="18"/>
      <w:szCs w:val="18"/>
    </w:rPr>
  </w:style>
  <w:style w:type="paragraph" w:styleId="Encabezado">
    <w:name w:val="header"/>
    <w:basedOn w:val="Normal"/>
    <w:link w:val="EncabezadoCar"/>
    <w:uiPriority w:val="99"/>
    <w:unhideWhenUsed/>
    <w:rsid w:val="00C325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40"/>
  </w:style>
  <w:style w:type="paragraph" w:styleId="Piedepgina">
    <w:name w:val="footer"/>
    <w:basedOn w:val="Normal"/>
    <w:link w:val="PiedepginaCar"/>
    <w:uiPriority w:val="99"/>
    <w:unhideWhenUsed/>
    <w:rsid w:val="00C325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4223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2019-06-26T17:51:00Z</cp:lastPrinted>
  <dcterms:created xsi:type="dcterms:W3CDTF">2019-07-01T21:06:00Z</dcterms:created>
  <dcterms:modified xsi:type="dcterms:W3CDTF">2019-07-01T21:06:00Z</dcterms:modified>
</cp:coreProperties>
</file>