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QUE EL CONGRESO DEL ESTADO INDEPENDIENTE, LIBRE Y SOBERANO DE COAHUILA DE ZARAGOZA;</w:t>
      </w: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widowControl w:val="0"/>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DECRETA:</w:t>
      </w:r>
    </w:p>
    <w:p w:rsidR="003A6EC0" w:rsidRPr="003A6EC0" w:rsidRDefault="003A6EC0" w:rsidP="003A6EC0">
      <w:pPr>
        <w:widowControl w:val="0"/>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widowControl w:val="0"/>
        <w:spacing w:after="0" w:line="240" w:lineRule="auto"/>
        <w:jc w:val="both"/>
        <w:rPr>
          <w:rFonts w:ascii="Arial" w:eastAsia="Times New Roman" w:hAnsi="Arial" w:cs="Arial"/>
          <w:b/>
          <w:snapToGrid w:val="0"/>
          <w:sz w:val="24"/>
          <w:szCs w:val="24"/>
          <w:lang w:val="es-ES_tradnl" w:eastAsia="es-ES"/>
        </w:rPr>
      </w:pPr>
      <w:r>
        <w:rPr>
          <w:rFonts w:ascii="Arial" w:eastAsia="Times New Roman" w:hAnsi="Arial" w:cs="Arial"/>
          <w:b/>
          <w:snapToGrid w:val="0"/>
          <w:sz w:val="24"/>
          <w:szCs w:val="24"/>
          <w:lang w:val="es-ES_tradnl" w:eastAsia="es-ES"/>
        </w:rPr>
        <w:t xml:space="preserve">NÚMERO </w:t>
      </w:r>
      <w:r w:rsidR="009631E2">
        <w:rPr>
          <w:rFonts w:ascii="Arial" w:eastAsia="Times New Roman" w:hAnsi="Arial" w:cs="Arial"/>
          <w:b/>
          <w:snapToGrid w:val="0"/>
          <w:sz w:val="24"/>
          <w:szCs w:val="24"/>
          <w:lang w:val="es-ES_tradnl" w:eastAsia="es-ES"/>
        </w:rPr>
        <w:t>322</w:t>
      </w:r>
      <w:r w:rsidRPr="003A6EC0">
        <w:rPr>
          <w:rFonts w:ascii="Arial" w:eastAsia="Times New Roman" w:hAnsi="Arial" w:cs="Arial"/>
          <w:b/>
          <w:snapToGrid w:val="0"/>
          <w:sz w:val="24"/>
          <w:szCs w:val="24"/>
          <w:lang w:val="es-ES_tradnl" w:eastAsia="es-ES"/>
        </w:rPr>
        <w:t xml:space="preserve">.- </w:t>
      </w:r>
    </w:p>
    <w:p w:rsidR="003A6EC0" w:rsidRDefault="003A6EC0" w:rsidP="003A6EC0">
      <w:pPr>
        <w:spacing w:after="0"/>
        <w:jc w:val="both"/>
        <w:rPr>
          <w:rFonts w:ascii="Arial" w:hAnsi="Arial" w:cs="Arial"/>
          <w:b/>
          <w:sz w:val="24"/>
          <w:szCs w:val="24"/>
        </w:rPr>
      </w:pPr>
    </w:p>
    <w:p w:rsidR="003A6EC0" w:rsidRPr="00FC449C" w:rsidRDefault="003A6EC0" w:rsidP="003A6EC0">
      <w:pPr>
        <w:spacing w:after="0"/>
        <w:jc w:val="both"/>
        <w:rPr>
          <w:rFonts w:ascii="Arial" w:hAnsi="Arial" w:cs="Arial"/>
          <w:sz w:val="24"/>
          <w:szCs w:val="24"/>
        </w:rPr>
      </w:pPr>
      <w:r>
        <w:rPr>
          <w:rFonts w:ascii="Arial" w:hAnsi="Arial" w:cs="Arial"/>
          <w:b/>
          <w:sz w:val="24"/>
          <w:szCs w:val="24"/>
        </w:rPr>
        <w:t>ARTÍCULO PRIMERO</w:t>
      </w:r>
      <w:r w:rsidR="009631E2">
        <w:rPr>
          <w:rFonts w:ascii="Arial" w:hAnsi="Arial" w:cs="Arial"/>
          <w:b/>
          <w:sz w:val="24"/>
          <w:szCs w:val="24"/>
        </w:rPr>
        <w:t>.</w:t>
      </w:r>
      <w:r w:rsidRPr="00FC449C">
        <w:rPr>
          <w:rFonts w:ascii="Arial" w:hAnsi="Arial" w:cs="Arial"/>
          <w:b/>
          <w:sz w:val="24"/>
          <w:szCs w:val="24"/>
        </w:rPr>
        <w:t>-</w:t>
      </w:r>
      <w:r w:rsidRPr="00FC449C">
        <w:rPr>
          <w:rFonts w:ascii="Arial" w:hAnsi="Arial" w:cs="Arial"/>
          <w:sz w:val="24"/>
          <w:szCs w:val="24"/>
        </w:rPr>
        <w:t xml:space="preserve"> Se autoriza al Gobierno del Estado de Coahuila de Zaragoza, para que enajene a título gratuito, un lote de terreno con una superficie de </w:t>
      </w:r>
      <w:r w:rsidRPr="00195F33">
        <w:rPr>
          <w:rFonts w:ascii="Arial" w:hAnsi="Arial" w:cs="Arial"/>
          <w:sz w:val="24"/>
          <w:szCs w:val="24"/>
        </w:rPr>
        <w:t>10,000.00 M2.,</w:t>
      </w:r>
      <w:r w:rsidRPr="00FC449C">
        <w:rPr>
          <w:rFonts w:ascii="Arial" w:hAnsi="Arial" w:cs="Arial"/>
          <w:sz w:val="24"/>
          <w:szCs w:val="24"/>
        </w:rPr>
        <w:t xml:space="preserve"> ubicado en el Municipio de </w:t>
      </w:r>
      <w:r>
        <w:rPr>
          <w:rFonts w:ascii="Arial" w:hAnsi="Arial" w:cs="Arial"/>
          <w:sz w:val="24"/>
          <w:szCs w:val="24"/>
        </w:rPr>
        <w:t>Allende</w:t>
      </w:r>
      <w:r w:rsidRPr="00FC449C">
        <w:rPr>
          <w:rFonts w:ascii="Arial" w:hAnsi="Arial" w:cs="Arial"/>
          <w:sz w:val="24"/>
          <w:szCs w:val="24"/>
        </w:rPr>
        <w:t xml:space="preserve">, Coahuila de Zaragoza, a favor del Gobierno Federal a través de la Secretaría </w:t>
      </w:r>
      <w:r>
        <w:rPr>
          <w:rFonts w:ascii="Arial" w:hAnsi="Arial" w:cs="Arial"/>
          <w:sz w:val="24"/>
          <w:szCs w:val="24"/>
        </w:rPr>
        <w:t xml:space="preserve">de la Defensa Nacional (SEDENA), en virtud que el Decreto número </w:t>
      </w:r>
      <w:r w:rsidRPr="001F359A">
        <w:rPr>
          <w:rFonts w:ascii="Arial" w:hAnsi="Arial" w:cs="Arial"/>
          <w:sz w:val="24"/>
          <w:szCs w:val="24"/>
        </w:rPr>
        <w:t>62</w:t>
      </w:r>
      <w:r>
        <w:rPr>
          <w:rFonts w:ascii="Arial" w:hAnsi="Arial" w:cs="Arial"/>
          <w:sz w:val="24"/>
          <w:szCs w:val="24"/>
        </w:rPr>
        <w:t>2</w:t>
      </w:r>
      <w:r w:rsidRPr="001F359A">
        <w:rPr>
          <w:rFonts w:ascii="Arial" w:hAnsi="Arial" w:cs="Arial"/>
          <w:sz w:val="24"/>
          <w:szCs w:val="24"/>
        </w:rPr>
        <w:t xml:space="preserve"> publicado en el Periódico Oficial de fecha 17 de enero del 2017,</w:t>
      </w:r>
      <w:r>
        <w:rPr>
          <w:rFonts w:ascii="Arial" w:hAnsi="Arial" w:cs="Arial"/>
          <w:sz w:val="24"/>
          <w:szCs w:val="24"/>
        </w:rPr>
        <w:t xml:space="preserve"> quedo sin vigencia.</w:t>
      </w:r>
    </w:p>
    <w:p w:rsidR="003A6EC0" w:rsidRPr="00FC449C" w:rsidRDefault="003A6EC0" w:rsidP="003A6EC0">
      <w:pPr>
        <w:spacing w:after="0"/>
        <w:jc w:val="both"/>
        <w:rPr>
          <w:rFonts w:ascii="Arial" w:hAnsi="Arial" w:cs="Arial"/>
          <w:sz w:val="24"/>
          <w:szCs w:val="24"/>
        </w:rPr>
      </w:pPr>
      <w:bookmarkStart w:id="0" w:name="_GoBack"/>
      <w:bookmarkEnd w:id="0"/>
    </w:p>
    <w:p w:rsidR="003A6EC0" w:rsidRDefault="003A6EC0" w:rsidP="003A6EC0">
      <w:pPr>
        <w:spacing w:after="0"/>
        <w:jc w:val="both"/>
        <w:rPr>
          <w:rFonts w:ascii="Arial" w:hAnsi="Arial" w:cs="Arial"/>
          <w:sz w:val="24"/>
          <w:szCs w:val="24"/>
          <w:lang w:val="es-ES"/>
        </w:rPr>
      </w:pPr>
      <w:r w:rsidRPr="00FC449C">
        <w:rPr>
          <w:rFonts w:ascii="Arial" w:hAnsi="Arial" w:cs="Arial"/>
          <w:sz w:val="24"/>
          <w:szCs w:val="24"/>
        </w:rPr>
        <w:t xml:space="preserve">El predio antes mencionado se identifica </w:t>
      </w:r>
      <w:r>
        <w:rPr>
          <w:rFonts w:ascii="Arial" w:hAnsi="Arial" w:cs="Arial"/>
          <w:sz w:val="24"/>
          <w:szCs w:val="24"/>
        </w:rPr>
        <w:t xml:space="preserve">como fracción de terreno </w:t>
      </w:r>
      <w:r>
        <w:rPr>
          <w:rFonts w:ascii="Arial" w:hAnsi="Arial" w:cs="Arial"/>
          <w:sz w:val="24"/>
          <w:szCs w:val="24"/>
          <w:lang w:val="es-ES"/>
        </w:rPr>
        <w:t>rústico ubicado en la Carretera Federal N°57, “México-Piedras Negras”, kilómetro 53, a la altura del tramo conocido como “La Rivereña”, colindando con el ejido “Palomas”, en el municipio de Allende, Coahuila de Zaragoza, el cual se identifica con el siguiente:</w:t>
      </w:r>
    </w:p>
    <w:p w:rsidR="003A6EC0" w:rsidRDefault="003A6EC0" w:rsidP="003A6EC0">
      <w:pPr>
        <w:spacing w:after="0"/>
        <w:jc w:val="both"/>
        <w:rPr>
          <w:rFonts w:ascii="Arial" w:hAnsi="Arial" w:cs="Arial"/>
          <w:sz w:val="24"/>
          <w:szCs w:val="24"/>
          <w:lang w:val="es-ES"/>
        </w:rPr>
      </w:pPr>
    </w:p>
    <w:p w:rsidR="003A6EC0" w:rsidRPr="00EB31FA" w:rsidRDefault="003A6EC0" w:rsidP="003A6EC0">
      <w:pPr>
        <w:spacing w:after="0"/>
        <w:jc w:val="center"/>
        <w:rPr>
          <w:rFonts w:ascii="Arial" w:hAnsi="Arial" w:cs="Arial"/>
          <w:b/>
          <w:sz w:val="24"/>
          <w:szCs w:val="24"/>
          <w:lang w:val="es-ES"/>
        </w:rPr>
      </w:pPr>
      <w:r w:rsidRPr="00EB31FA">
        <w:rPr>
          <w:rFonts w:ascii="Arial" w:hAnsi="Arial" w:cs="Arial"/>
          <w:b/>
          <w:sz w:val="24"/>
          <w:szCs w:val="24"/>
          <w:lang w:val="es-ES"/>
        </w:rPr>
        <w:t>CUADRO DE CONSTRUCCIÓN</w:t>
      </w:r>
    </w:p>
    <w:p w:rsidR="003A6EC0" w:rsidRDefault="003A6EC0" w:rsidP="003A6EC0">
      <w:pPr>
        <w:spacing w:after="0"/>
        <w:jc w:val="center"/>
        <w:rPr>
          <w:rFonts w:ascii="Arial" w:hAnsi="Arial" w:cs="Arial"/>
          <w:sz w:val="24"/>
          <w:szCs w:val="24"/>
        </w:rPr>
      </w:pPr>
      <w:r w:rsidRPr="00EB31FA">
        <w:rPr>
          <w:rFonts w:ascii="Arial" w:hAnsi="Arial" w:cs="Arial"/>
          <w:b/>
          <w:sz w:val="24"/>
          <w:szCs w:val="24"/>
          <w:lang w:val="es-ES"/>
        </w:rPr>
        <w:t>SUPERFICIE DE 10,000.00 M2.</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5"/>
        <w:gridCol w:w="700"/>
        <w:gridCol w:w="2052"/>
        <w:gridCol w:w="1414"/>
        <w:gridCol w:w="656"/>
        <w:gridCol w:w="2175"/>
        <w:gridCol w:w="2240"/>
      </w:tblGrid>
      <w:tr w:rsidR="003A6EC0" w:rsidRPr="00F10479" w:rsidTr="00F777B3">
        <w:trPr>
          <w:jc w:val="center"/>
        </w:trPr>
        <w:tc>
          <w:tcPr>
            <w:tcW w:w="1488" w:type="dxa"/>
            <w:gridSpan w:val="2"/>
            <w:shd w:val="clear" w:color="auto" w:fill="BFBFBF"/>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LADO</w:t>
            </w:r>
          </w:p>
        </w:tc>
        <w:tc>
          <w:tcPr>
            <w:tcW w:w="2128" w:type="dxa"/>
            <w:vMerge w:val="restart"/>
            <w:shd w:val="clear" w:color="auto" w:fill="BFBFBF"/>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RUMBO</w:t>
            </w:r>
          </w:p>
        </w:tc>
        <w:tc>
          <w:tcPr>
            <w:tcW w:w="1414" w:type="dxa"/>
            <w:vMerge w:val="restart"/>
            <w:shd w:val="clear" w:color="auto" w:fill="BFBFBF"/>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 xml:space="preserve">DISTANCIA </w:t>
            </w:r>
          </w:p>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M2.</w:t>
            </w:r>
          </w:p>
        </w:tc>
        <w:tc>
          <w:tcPr>
            <w:tcW w:w="723" w:type="dxa"/>
            <w:vMerge w:val="restart"/>
            <w:shd w:val="clear" w:color="auto" w:fill="BFBFBF"/>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V</w:t>
            </w:r>
          </w:p>
        </w:tc>
        <w:tc>
          <w:tcPr>
            <w:tcW w:w="4668" w:type="dxa"/>
            <w:gridSpan w:val="2"/>
            <w:shd w:val="clear" w:color="auto" w:fill="BFBFBF"/>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COORDENADAS</w:t>
            </w:r>
          </w:p>
        </w:tc>
      </w:tr>
      <w:tr w:rsidR="003A6EC0" w:rsidRPr="00F10479" w:rsidTr="00F777B3">
        <w:trPr>
          <w:jc w:val="center"/>
        </w:trPr>
        <w:tc>
          <w:tcPr>
            <w:tcW w:w="744" w:type="dxa"/>
            <w:shd w:val="clear" w:color="auto" w:fill="A6A6A6"/>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EST</w:t>
            </w:r>
          </w:p>
        </w:tc>
        <w:tc>
          <w:tcPr>
            <w:tcW w:w="744" w:type="dxa"/>
            <w:shd w:val="clear" w:color="auto" w:fill="A6A6A6"/>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PV</w:t>
            </w:r>
          </w:p>
        </w:tc>
        <w:tc>
          <w:tcPr>
            <w:tcW w:w="2128" w:type="dxa"/>
            <w:vMerge/>
            <w:shd w:val="clear" w:color="auto" w:fill="BFBFBF"/>
          </w:tcPr>
          <w:p w:rsidR="003A6EC0" w:rsidRPr="00F10479" w:rsidRDefault="003A6EC0" w:rsidP="00F777B3">
            <w:pPr>
              <w:spacing w:after="0" w:line="240" w:lineRule="auto"/>
              <w:jc w:val="both"/>
              <w:rPr>
                <w:rFonts w:ascii="Arial" w:eastAsia="Times New Roman" w:hAnsi="Arial" w:cs="Arial"/>
              </w:rPr>
            </w:pPr>
          </w:p>
        </w:tc>
        <w:tc>
          <w:tcPr>
            <w:tcW w:w="1414" w:type="dxa"/>
            <w:vMerge/>
            <w:shd w:val="clear" w:color="auto" w:fill="BFBFBF"/>
          </w:tcPr>
          <w:p w:rsidR="003A6EC0" w:rsidRPr="00F10479" w:rsidRDefault="003A6EC0" w:rsidP="00F777B3">
            <w:pPr>
              <w:spacing w:after="0" w:line="240" w:lineRule="auto"/>
              <w:jc w:val="both"/>
              <w:rPr>
                <w:rFonts w:ascii="Arial" w:eastAsia="Times New Roman" w:hAnsi="Arial" w:cs="Arial"/>
              </w:rPr>
            </w:pPr>
          </w:p>
        </w:tc>
        <w:tc>
          <w:tcPr>
            <w:tcW w:w="723" w:type="dxa"/>
            <w:vMerge/>
            <w:shd w:val="clear" w:color="auto" w:fill="BFBFBF"/>
          </w:tcPr>
          <w:p w:rsidR="003A6EC0" w:rsidRPr="00F10479" w:rsidRDefault="003A6EC0" w:rsidP="00F777B3">
            <w:pPr>
              <w:spacing w:after="0" w:line="240" w:lineRule="auto"/>
              <w:jc w:val="both"/>
              <w:rPr>
                <w:rFonts w:ascii="Arial" w:eastAsia="Times New Roman" w:hAnsi="Arial" w:cs="Arial"/>
              </w:rPr>
            </w:pPr>
          </w:p>
        </w:tc>
        <w:tc>
          <w:tcPr>
            <w:tcW w:w="2273" w:type="dxa"/>
            <w:shd w:val="clear" w:color="auto" w:fill="BFBFBF"/>
          </w:tcPr>
          <w:p w:rsidR="003A6EC0" w:rsidRPr="00F10479" w:rsidRDefault="003A6EC0" w:rsidP="00F777B3">
            <w:pPr>
              <w:spacing w:after="0" w:line="240" w:lineRule="auto"/>
              <w:jc w:val="center"/>
              <w:rPr>
                <w:rFonts w:ascii="Arial" w:eastAsia="Times New Roman" w:hAnsi="Arial" w:cs="Arial"/>
                <w:b/>
              </w:rPr>
            </w:pPr>
            <w:r>
              <w:rPr>
                <w:rFonts w:ascii="Arial" w:eastAsia="Times New Roman" w:hAnsi="Arial" w:cs="Arial"/>
                <w:b/>
              </w:rPr>
              <w:t>X</w:t>
            </w:r>
          </w:p>
        </w:tc>
        <w:tc>
          <w:tcPr>
            <w:tcW w:w="2395" w:type="dxa"/>
            <w:shd w:val="clear" w:color="auto" w:fill="BFBFBF"/>
          </w:tcPr>
          <w:p w:rsidR="003A6EC0" w:rsidRPr="00F10479" w:rsidRDefault="003A6EC0" w:rsidP="00F777B3">
            <w:pPr>
              <w:spacing w:after="0" w:line="240" w:lineRule="auto"/>
              <w:jc w:val="center"/>
              <w:rPr>
                <w:rFonts w:ascii="Arial" w:eastAsia="Times New Roman" w:hAnsi="Arial" w:cs="Arial"/>
                <w:b/>
              </w:rPr>
            </w:pPr>
            <w:r>
              <w:rPr>
                <w:rFonts w:ascii="Arial" w:eastAsia="Times New Roman" w:hAnsi="Arial" w:cs="Arial"/>
                <w:b/>
              </w:rPr>
              <w:t>Y</w:t>
            </w:r>
          </w:p>
        </w:tc>
      </w:tr>
      <w:tr w:rsidR="003A6EC0" w:rsidRPr="00F10479" w:rsidTr="00F777B3">
        <w:trPr>
          <w:jc w:val="center"/>
        </w:trPr>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p>
        </w:tc>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p>
        </w:tc>
        <w:tc>
          <w:tcPr>
            <w:tcW w:w="2128" w:type="dxa"/>
            <w:shd w:val="clear" w:color="auto" w:fill="auto"/>
          </w:tcPr>
          <w:p w:rsidR="003A6EC0" w:rsidRPr="00F10479" w:rsidRDefault="003A6EC0" w:rsidP="00F777B3">
            <w:pPr>
              <w:spacing w:after="0" w:line="240" w:lineRule="auto"/>
              <w:jc w:val="center"/>
              <w:rPr>
                <w:rFonts w:ascii="Arial" w:eastAsia="Times New Roman" w:hAnsi="Arial" w:cs="Arial"/>
                <w:b/>
              </w:rPr>
            </w:pPr>
          </w:p>
        </w:tc>
        <w:tc>
          <w:tcPr>
            <w:tcW w:w="1414" w:type="dxa"/>
            <w:shd w:val="clear" w:color="auto" w:fill="auto"/>
          </w:tcPr>
          <w:p w:rsidR="003A6EC0" w:rsidRPr="00F10479" w:rsidRDefault="003A6EC0" w:rsidP="00F777B3">
            <w:pPr>
              <w:spacing w:after="0" w:line="240" w:lineRule="auto"/>
              <w:jc w:val="center"/>
              <w:rPr>
                <w:rFonts w:ascii="Arial" w:eastAsia="Times New Roman" w:hAnsi="Arial" w:cs="Arial"/>
                <w:b/>
              </w:rPr>
            </w:pPr>
          </w:p>
        </w:tc>
        <w:tc>
          <w:tcPr>
            <w:tcW w:w="72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w:t>
            </w:r>
          </w:p>
        </w:tc>
        <w:tc>
          <w:tcPr>
            <w:tcW w:w="227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3,133,522.3311</w:t>
            </w:r>
          </w:p>
        </w:tc>
        <w:tc>
          <w:tcPr>
            <w:tcW w:w="2395"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315,901.3096</w:t>
            </w:r>
          </w:p>
        </w:tc>
      </w:tr>
      <w:tr w:rsidR="003A6EC0" w:rsidRPr="00F10479" w:rsidTr="00F777B3">
        <w:trPr>
          <w:jc w:val="center"/>
        </w:trPr>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w:t>
            </w:r>
          </w:p>
        </w:tc>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2</w:t>
            </w:r>
          </w:p>
        </w:tc>
        <w:tc>
          <w:tcPr>
            <w:tcW w:w="2128"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S 09°11’47.96”</w:t>
            </w:r>
            <w:r>
              <w:rPr>
                <w:rFonts w:ascii="Arial" w:eastAsia="Times New Roman" w:hAnsi="Arial" w:cs="Arial"/>
                <w:b/>
              </w:rPr>
              <w:t>E</w:t>
            </w:r>
          </w:p>
        </w:tc>
        <w:tc>
          <w:tcPr>
            <w:tcW w:w="141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106.367</w:t>
            </w:r>
          </w:p>
        </w:tc>
        <w:tc>
          <w:tcPr>
            <w:tcW w:w="72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2</w:t>
            </w:r>
          </w:p>
        </w:tc>
        <w:tc>
          <w:tcPr>
            <w:tcW w:w="2273"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3,133,417.3311</w:t>
            </w:r>
          </w:p>
        </w:tc>
        <w:tc>
          <w:tcPr>
            <w:tcW w:w="2395"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315,918.3096</w:t>
            </w:r>
          </w:p>
        </w:tc>
      </w:tr>
      <w:tr w:rsidR="003A6EC0" w:rsidRPr="00F10479" w:rsidTr="00F777B3">
        <w:trPr>
          <w:jc w:val="center"/>
        </w:trPr>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2</w:t>
            </w:r>
          </w:p>
        </w:tc>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3</w:t>
            </w:r>
          </w:p>
        </w:tc>
        <w:tc>
          <w:tcPr>
            <w:tcW w:w="2128"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S 70°06’53.41”</w:t>
            </w:r>
            <w:r>
              <w:rPr>
                <w:rFonts w:ascii="Arial" w:eastAsia="Times New Roman" w:hAnsi="Arial" w:cs="Arial"/>
                <w:b/>
              </w:rPr>
              <w:t>W</w:t>
            </w:r>
          </w:p>
        </w:tc>
        <w:tc>
          <w:tcPr>
            <w:tcW w:w="141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99.960</w:t>
            </w:r>
          </w:p>
        </w:tc>
        <w:tc>
          <w:tcPr>
            <w:tcW w:w="72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3</w:t>
            </w:r>
          </w:p>
        </w:tc>
        <w:tc>
          <w:tcPr>
            <w:tcW w:w="2273"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3,133,383.3311</w:t>
            </w:r>
          </w:p>
        </w:tc>
        <w:tc>
          <w:tcPr>
            <w:tcW w:w="2395"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315,824.3096</w:t>
            </w:r>
          </w:p>
        </w:tc>
      </w:tr>
      <w:tr w:rsidR="003A6EC0" w:rsidRPr="00F10479" w:rsidTr="00F777B3">
        <w:trPr>
          <w:jc w:val="center"/>
        </w:trPr>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3</w:t>
            </w:r>
          </w:p>
        </w:tc>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4</w:t>
            </w:r>
          </w:p>
        </w:tc>
        <w:tc>
          <w:tcPr>
            <w:tcW w:w="2128"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N 08°58’21.45”</w:t>
            </w:r>
            <w:r>
              <w:rPr>
                <w:rFonts w:ascii="Arial" w:eastAsia="Times New Roman" w:hAnsi="Arial" w:cs="Arial"/>
                <w:b/>
              </w:rPr>
              <w:t>W</w:t>
            </w:r>
          </w:p>
        </w:tc>
        <w:tc>
          <w:tcPr>
            <w:tcW w:w="141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96.177</w:t>
            </w:r>
          </w:p>
        </w:tc>
        <w:tc>
          <w:tcPr>
            <w:tcW w:w="72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4</w:t>
            </w:r>
          </w:p>
        </w:tc>
        <w:tc>
          <w:tcPr>
            <w:tcW w:w="2273"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3,133,478.3311</w:t>
            </w:r>
          </w:p>
        </w:tc>
        <w:tc>
          <w:tcPr>
            <w:tcW w:w="2395"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315,809.3096</w:t>
            </w:r>
          </w:p>
        </w:tc>
      </w:tr>
      <w:tr w:rsidR="003A6EC0" w:rsidRPr="00F10479" w:rsidTr="00F777B3">
        <w:trPr>
          <w:jc w:val="center"/>
        </w:trPr>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4</w:t>
            </w:r>
          </w:p>
        </w:tc>
        <w:tc>
          <w:tcPr>
            <w:tcW w:w="74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w:t>
            </w:r>
          </w:p>
        </w:tc>
        <w:tc>
          <w:tcPr>
            <w:tcW w:w="2128"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N 64°26’24.15”</w:t>
            </w:r>
            <w:r>
              <w:rPr>
                <w:rFonts w:ascii="Arial" w:eastAsia="Times New Roman" w:hAnsi="Arial" w:cs="Arial"/>
                <w:b/>
              </w:rPr>
              <w:t>E</w:t>
            </w:r>
          </w:p>
        </w:tc>
        <w:tc>
          <w:tcPr>
            <w:tcW w:w="1414"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101.980</w:t>
            </w:r>
          </w:p>
        </w:tc>
        <w:tc>
          <w:tcPr>
            <w:tcW w:w="723" w:type="dxa"/>
            <w:shd w:val="clear" w:color="auto" w:fill="auto"/>
          </w:tcPr>
          <w:p w:rsidR="003A6EC0" w:rsidRPr="00F10479" w:rsidRDefault="003A6EC0" w:rsidP="00F777B3">
            <w:pPr>
              <w:spacing w:after="0" w:line="240" w:lineRule="auto"/>
              <w:jc w:val="center"/>
              <w:rPr>
                <w:rFonts w:ascii="Arial" w:eastAsia="Times New Roman" w:hAnsi="Arial" w:cs="Arial"/>
                <w:b/>
              </w:rPr>
            </w:pPr>
            <w:r w:rsidRPr="00F10479">
              <w:rPr>
                <w:rFonts w:ascii="Arial" w:eastAsia="Times New Roman" w:hAnsi="Arial" w:cs="Arial"/>
                <w:b/>
              </w:rPr>
              <w:t>1</w:t>
            </w:r>
          </w:p>
        </w:tc>
        <w:tc>
          <w:tcPr>
            <w:tcW w:w="2273"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3,133,522.3311</w:t>
            </w:r>
          </w:p>
        </w:tc>
        <w:tc>
          <w:tcPr>
            <w:tcW w:w="2395" w:type="dxa"/>
            <w:shd w:val="clear" w:color="auto" w:fill="auto"/>
          </w:tcPr>
          <w:p w:rsidR="003A6EC0" w:rsidRPr="00F10479" w:rsidRDefault="003A6EC0" w:rsidP="00F777B3">
            <w:pPr>
              <w:spacing w:line="240" w:lineRule="auto"/>
              <w:jc w:val="center"/>
              <w:rPr>
                <w:rFonts w:ascii="Times New Roman" w:eastAsia="Times New Roman" w:hAnsi="Times New Roman"/>
                <w:b/>
              </w:rPr>
            </w:pPr>
            <w:r w:rsidRPr="00F10479">
              <w:rPr>
                <w:rFonts w:ascii="Arial" w:eastAsia="Times New Roman" w:hAnsi="Arial" w:cs="Arial"/>
                <w:b/>
              </w:rPr>
              <w:t>315,901.3096</w:t>
            </w:r>
          </w:p>
        </w:tc>
      </w:tr>
    </w:tbl>
    <w:p w:rsidR="003A6EC0" w:rsidRDefault="003A6EC0" w:rsidP="003A6EC0">
      <w:pPr>
        <w:spacing w:after="0"/>
        <w:jc w:val="both"/>
        <w:rPr>
          <w:rFonts w:ascii="Arial" w:hAnsi="Arial" w:cs="Arial"/>
          <w:sz w:val="24"/>
          <w:szCs w:val="24"/>
        </w:rPr>
      </w:pPr>
    </w:p>
    <w:p w:rsidR="003A6EC0" w:rsidRDefault="003A6EC0" w:rsidP="003A6EC0">
      <w:pPr>
        <w:widowControl w:val="0"/>
        <w:spacing w:after="0"/>
        <w:jc w:val="both"/>
        <w:rPr>
          <w:rFonts w:ascii="Arial" w:hAnsi="Arial" w:cs="Arial"/>
          <w:sz w:val="24"/>
          <w:szCs w:val="24"/>
          <w:lang w:val="es-ES"/>
        </w:rPr>
      </w:pPr>
      <w:r>
        <w:rPr>
          <w:rFonts w:ascii="Arial" w:hAnsi="Arial" w:cs="Arial"/>
          <w:sz w:val="24"/>
          <w:szCs w:val="24"/>
          <w:lang w:val="es-ES"/>
        </w:rPr>
        <w:t>El Gobierno del Estado de Coahuila de Zaragoza, acredita la propiedad del predio con el Decreto Expropiatorio contenido en el Periódico Oficial del Gobierno del Estado N°93, Tomo CXXI, publicado el día viernes 21 de noviembre del 2014, inscrito en la Oficina de Piedras Negras del Registro Público del Estado, el 19 de diciembre del 2014, bajo la Partida 118, Libro 2, Sec. IX.</w:t>
      </w:r>
    </w:p>
    <w:p w:rsidR="003A6EC0" w:rsidRDefault="003A6EC0" w:rsidP="003A6EC0">
      <w:pPr>
        <w:widowControl w:val="0"/>
        <w:spacing w:after="0"/>
        <w:jc w:val="both"/>
        <w:rPr>
          <w:rFonts w:ascii="Arial" w:hAnsi="Arial" w:cs="Arial"/>
          <w:sz w:val="24"/>
          <w:szCs w:val="24"/>
          <w:lang w:val="es-ES"/>
        </w:rPr>
      </w:pPr>
    </w:p>
    <w:p w:rsidR="003A6EC0" w:rsidRPr="00FC449C" w:rsidRDefault="009631E2" w:rsidP="003A6EC0">
      <w:pPr>
        <w:spacing w:after="0"/>
        <w:jc w:val="both"/>
        <w:rPr>
          <w:rFonts w:ascii="Arial" w:hAnsi="Arial" w:cs="Arial"/>
          <w:sz w:val="24"/>
          <w:szCs w:val="24"/>
        </w:rPr>
      </w:pPr>
      <w:r>
        <w:rPr>
          <w:rFonts w:ascii="Arial" w:hAnsi="Arial" w:cs="Arial"/>
          <w:b/>
          <w:sz w:val="24"/>
          <w:szCs w:val="24"/>
        </w:rPr>
        <w:t>ARTÍCULO SEGUNDO.</w:t>
      </w:r>
      <w:r w:rsidR="003A6EC0" w:rsidRPr="00FC449C">
        <w:rPr>
          <w:rFonts w:ascii="Arial" w:hAnsi="Arial" w:cs="Arial"/>
          <w:b/>
          <w:sz w:val="24"/>
          <w:szCs w:val="24"/>
        </w:rPr>
        <w:t>-</w:t>
      </w:r>
      <w:r w:rsidR="003A6EC0" w:rsidRPr="00FC449C">
        <w:rPr>
          <w:rFonts w:ascii="Arial" w:hAnsi="Arial" w:cs="Arial"/>
          <w:sz w:val="24"/>
          <w:szCs w:val="24"/>
        </w:rPr>
        <w:t xml:space="preserve">  </w:t>
      </w:r>
      <w:r w:rsidR="003A6EC0">
        <w:rPr>
          <w:rFonts w:ascii="Arial" w:hAnsi="Arial" w:cs="Arial"/>
          <w:sz w:val="24"/>
          <w:szCs w:val="24"/>
        </w:rPr>
        <w:t>La enajenación</w:t>
      </w:r>
      <w:r w:rsidR="003A6EC0" w:rsidRPr="00FC449C">
        <w:rPr>
          <w:rFonts w:ascii="Arial" w:hAnsi="Arial" w:cs="Arial"/>
          <w:sz w:val="24"/>
          <w:szCs w:val="24"/>
        </w:rPr>
        <w:t xml:space="preserve"> a título gratuito</w:t>
      </w:r>
      <w:r w:rsidR="003A6EC0">
        <w:rPr>
          <w:rFonts w:ascii="Arial" w:hAnsi="Arial" w:cs="Arial"/>
          <w:sz w:val="24"/>
          <w:szCs w:val="24"/>
        </w:rPr>
        <w:t>, se realizará</w:t>
      </w:r>
      <w:r w:rsidR="003A6EC0" w:rsidRPr="00FC449C">
        <w:rPr>
          <w:rFonts w:ascii="Arial" w:hAnsi="Arial" w:cs="Arial"/>
          <w:sz w:val="24"/>
          <w:szCs w:val="24"/>
        </w:rPr>
        <w:t xml:space="preserve"> a favor del Gobierno Federal</w:t>
      </w:r>
      <w:r w:rsidR="003A6EC0">
        <w:rPr>
          <w:rFonts w:ascii="Arial" w:hAnsi="Arial" w:cs="Arial"/>
          <w:sz w:val="24"/>
          <w:szCs w:val="24"/>
        </w:rPr>
        <w:t>, por conducto de</w:t>
      </w:r>
      <w:r w:rsidR="003A6EC0" w:rsidRPr="00FC449C">
        <w:rPr>
          <w:rFonts w:ascii="Arial" w:hAnsi="Arial" w:cs="Arial"/>
          <w:sz w:val="24"/>
          <w:szCs w:val="24"/>
        </w:rPr>
        <w:t xml:space="preserve"> la Secretaría de la Defensa Nacional (SEDENA), </w:t>
      </w:r>
      <w:r w:rsidR="003A6EC0">
        <w:rPr>
          <w:rFonts w:ascii="Arial" w:hAnsi="Arial" w:cs="Arial"/>
          <w:sz w:val="24"/>
          <w:szCs w:val="24"/>
        </w:rPr>
        <w:t>a través de la Dirección General de Patrimonio Inmobiliario Federal, dependiente del Instituto de Administración y Avalúos de Bienes Nacionales, con la finalidad de que por conducto de la Secretaría de la Defensa Nacional, se</w:t>
      </w:r>
      <w:r w:rsidR="003A6EC0" w:rsidRPr="00FC449C">
        <w:rPr>
          <w:rFonts w:ascii="Arial" w:hAnsi="Arial" w:cs="Arial"/>
          <w:sz w:val="24"/>
          <w:szCs w:val="24"/>
        </w:rPr>
        <w:t xml:space="preserve"> destine única y exclusivamente para la construcción y funcionamiento de una Base de Operaciones Militares en la Región de los Cinco Manantiales de la Entidad.</w:t>
      </w:r>
    </w:p>
    <w:p w:rsidR="003A6EC0" w:rsidRPr="00FC449C" w:rsidRDefault="003A6EC0" w:rsidP="003A6EC0">
      <w:pPr>
        <w:spacing w:after="0"/>
        <w:jc w:val="both"/>
        <w:rPr>
          <w:rFonts w:ascii="Arial" w:hAnsi="Arial" w:cs="Arial"/>
          <w:sz w:val="24"/>
          <w:szCs w:val="24"/>
        </w:rPr>
      </w:pPr>
    </w:p>
    <w:p w:rsidR="003A6EC0" w:rsidRPr="00E33A9E" w:rsidRDefault="009631E2" w:rsidP="003A6EC0">
      <w:pPr>
        <w:spacing w:after="0"/>
        <w:jc w:val="both"/>
        <w:rPr>
          <w:rFonts w:ascii="Arial" w:hAnsi="Arial" w:cs="Arial"/>
          <w:sz w:val="24"/>
          <w:szCs w:val="24"/>
        </w:rPr>
      </w:pPr>
      <w:r>
        <w:rPr>
          <w:rFonts w:ascii="Arial" w:hAnsi="Arial" w:cs="Arial"/>
          <w:b/>
          <w:sz w:val="24"/>
          <w:szCs w:val="24"/>
        </w:rPr>
        <w:t>ARTÍCULO TERCERO.</w:t>
      </w:r>
      <w:r w:rsidR="003A6EC0" w:rsidRPr="00A84D2F">
        <w:rPr>
          <w:rFonts w:ascii="Arial" w:hAnsi="Arial" w:cs="Arial"/>
          <w:b/>
          <w:sz w:val="24"/>
          <w:szCs w:val="24"/>
        </w:rPr>
        <w:t>-</w:t>
      </w:r>
      <w:r w:rsidR="003A6EC0" w:rsidRPr="00A84D2F">
        <w:rPr>
          <w:rFonts w:ascii="Arial" w:hAnsi="Arial" w:cs="Arial"/>
          <w:sz w:val="24"/>
          <w:szCs w:val="24"/>
        </w:rPr>
        <w:t xml:space="preserve"> Se autoriza al Titular del Ejecutivo Estatal para que, por sí, o por medio del representante legal que designe, otorgue a favor del Gobierno Federal, el título de propiedad correspondiente, </w:t>
      </w:r>
      <w:r w:rsidR="003A6EC0" w:rsidRPr="00E33A9E">
        <w:rPr>
          <w:rFonts w:ascii="Arial" w:hAnsi="Arial" w:cs="Arial"/>
          <w:sz w:val="24"/>
          <w:szCs w:val="24"/>
        </w:rPr>
        <w:t>que deberá inscribirse en la Oficina del Registro Público de Piedras Negras, Coahuila de Zaragoza.</w:t>
      </w:r>
    </w:p>
    <w:p w:rsidR="003A6EC0" w:rsidRPr="00DA5941" w:rsidRDefault="003A6EC0" w:rsidP="003A6EC0">
      <w:pPr>
        <w:spacing w:after="0"/>
        <w:jc w:val="both"/>
        <w:rPr>
          <w:rFonts w:ascii="Arial" w:hAnsi="Arial" w:cs="Arial"/>
          <w:sz w:val="24"/>
          <w:szCs w:val="24"/>
          <w:highlight w:val="yellow"/>
        </w:rPr>
      </w:pPr>
    </w:p>
    <w:p w:rsidR="003A6EC0" w:rsidRPr="00234F18" w:rsidRDefault="009631E2" w:rsidP="003A6EC0">
      <w:pPr>
        <w:spacing w:after="0"/>
        <w:jc w:val="both"/>
        <w:rPr>
          <w:rFonts w:ascii="Arial" w:hAnsi="Arial" w:cs="Arial"/>
          <w:sz w:val="24"/>
          <w:szCs w:val="24"/>
        </w:rPr>
      </w:pPr>
      <w:r>
        <w:rPr>
          <w:rFonts w:ascii="Arial" w:hAnsi="Arial" w:cs="Arial"/>
          <w:b/>
          <w:sz w:val="24"/>
          <w:szCs w:val="24"/>
        </w:rPr>
        <w:t>ARTÍCULO CUARTO.</w:t>
      </w:r>
      <w:r w:rsidR="003A6EC0" w:rsidRPr="00234F18">
        <w:rPr>
          <w:rFonts w:ascii="Arial" w:hAnsi="Arial" w:cs="Arial"/>
          <w:b/>
          <w:sz w:val="24"/>
          <w:szCs w:val="24"/>
        </w:rPr>
        <w:t>-</w:t>
      </w:r>
      <w:r w:rsidR="003A6EC0" w:rsidRPr="00234F18">
        <w:rPr>
          <w:rFonts w:ascii="Arial" w:hAnsi="Arial" w:cs="Arial"/>
          <w:sz w:val="24"/>
          <w:szCs w:val="24"/>
        </w:rPr>
        <w:t xml:space="preserve"> Los gastos que se generen como consecuencia del proceso de Escrituración y registro del Título de Propiedad que para el efecto se expida, serán cubiertos totalmente por el Gobierno Federal.</w:t>
      </w:r>
    </w:p>
    <w:p w:rsidR="003A6EC0" w:rsidRPr="00DA5941" w:rsidRDefault="003A6EC0" w:rsidP="003A6EC0">
      <w:pPr>
        <w:spacing w:after="0"/>
        <w:jc w:val="both"/>
        <w:rPr>
          <w:rFonts w:ascii="Arial" w:hAnsi="Arial" w:cs="Arial"/>
          <w:sz w:val="24"/>
          <w:szCs w:val="24"/>
          <w:highlight w:val="yellow"/>
        </w:rPr>
      </w:pPr>
    </w:p>
    <w:p w:rsidR="003A6EC0" w:rsidRPr="007A2791" w:rsidRDefault="003A6EC0" w:rsidP="003A6EC0">
      <w:pPr>
        <w:spacing w:after="0"/>
        <w:jc w:val="both"/>
        <w:rPr>
          <w:rFonts w:ascii="Arial" w:hAnsi="Arial" w:cs="Arial"/>
          <w:sz w:val="24"/>
          <w:szCs w:val="24"/>
        </w:rPr>
      </w:pPr>
      <w:r w:rsidRPr="00234F18">
        <w:rPr>
          <w:rFonts w:ascii="Arial" w:hAnsi="Arial" w:cs="Arial"/>
          <w:b/>
          <w:sz w:val="24"/>
          <w:szCs w:val="24"/>
        </w:rPr>
        <w:t>ARTÍCULO QUINTO.-</w:t>
      </w:r>
      <w:r w:rsidRPr="00234F18">
        <w:rPr>
          <w:rFonts w:ascii="Arial" w:hAnsi="Arial" w:cs="Arial"/>
          <w:sz w:val="24"/>
          <w:szCs w:val="24"/>
        </w:rPr>
        <w:t xml:space="preserve"> En el supuesto de que no se formalice la operación que se autoriza en el presente Decreto, dentro de un término de veinticuatro meses, contados a partir de la fecha de publicación del presente Decreto o el donatario no cumpla con la construcción de su Base de Operaciones Militares en la Región de los Cinco Manantiales de la Entidad, quedarán sin efecto las disposiciones del mismo, requiriéndose, en su caso, de nueva autorización legislativa para proceder a la enajenación del inmueble a que se hace referencia en el Artículo Primero de este Documento, revirtiéndose de pleno derecho el inmueble al patrimonio del Gobierno del Estado.</w:t>
      </w:r>
    </w:p>
    <w:p w:rsidR="003A6EC0" w:rsidRDefault="003A6EC0" w:rsidP="003A6EC0">
      <w:pPr>
        <w:spacing w:after="0"/>
        <w:jc w:val="both"/>
        <w:rPr>
          <w:rFonts w:ascii="Arial" w:hAnsi="Arial" w:cs="Arial"/>
          <w:b/>
          <w:sz w:val="24"/>
          <w:szCs w:val="24"/>
        </w:rPr>
      </w:pPr>
    </w:p>
    <w:p w:rsidR="003A6EC0" w:rsidRDefault="003A6EC0" w:rsidP="003A6EC0">
      <w:pPr>
        <w:spacing w:line="360" w:lineRule="auto"/>
        <w:jc w:val="center"/>
        <w:rPr>
          <w:rFonts w:ascii="Arial" w:hAnsi="Arial" w:cs="Arial"/>
          <w:sz w:val="24"/>
          <w:szCs w:val="24"/>
          <w:lang w:val="pt-BR"/>
        </w:rPr>
      </w:pPr>
      <w:r>
        <w:rPr>
          <w:rFonts w:ascii="Arial" w:hAnsi="Arial" w:cs="Arial"/>
          <w:sz w:val="24"/>
          <w:szCs w:val="24"/>
          <w:lang w:val="es-ES"/>
        </w:rPr>
        <w:t xml:space="preserve"> </w:t>
      </w:r>
      <w:r>
        <w:rPr>
          <w:rFonts w:ascii="Arial" w:hAnsi="Arial" w:cs="Arial"/>
          <w:b/>
          <w:sz w:val="24"/>
          <w:szCs w:val="24"/>
          <w:lang w:val="pt-BR"/>
        </w:rPr>
        <w:t>T R A N S I T O R I O S</w:t>
      </w:r>
    </w:p>
    <w:p w:rsidR="003A6EC0" w:rsidRPr="006C0F51" w:rsidRDefault="003A6EC0" w:rsidP="003A6EC0">
      <w:pPr>
        <w:spacing w:before="100" w:beforeAutospacing="1" w:after="100" w:afterAutospacing="1"/>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PRIMERO.</w:t>
      </w:r>
      <w:r w:rsidR="009631E2">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 xml:space="preserve">El presente Decreto entrará en vigor </w:t>
      </w:r>
      <w:r>
        <w:rPr>
          <w:rFonts w:ascii="Arial" w:eastAsia="Times New Roman" w:hAnsi="Arial" w:cs="Arial"/>
          <w:sz w:val="24"/>
          <w:szCs w:val="24"/>
          <w:lang w:eastAsia="es-MX"/>
        </w:rPr>
        <w:t xml:space="preserve">al </w:t>
      </w:r>
      <w:r w:rsidRPr="006C0F51">
        <w:rPr>
          <w:rFonts w:ascii="Arial" w:eastAsia="Times New Roman" w:hAnsi="Arial" w:cs="Arial"/>
          <w:sz w:val="24"/>
          <w:szCs w:val="24"/>
          <w:lang w:eastAsia="es-MX"/>
        </w:rPr>
        <w:t xml:space="preserve">día </w:t>
      </w:r>
      <w:r>
        <w:rPr>
          <w:rFonts w:ascii="Arial" w:eastAsia="Times New Roman" w:hAnsi="Arial" w:cs="Arial"/>
          <w:sz w:val="24"/>
          <w:szCs w:val="24"/>
          <w:lang w:eastAsia="es-MX"/>
        </w:rPr>
        <w:t xml:space="preserve">siguiente </w:t>
      </w:r>
      <w:r w:rsidRPr="006C0F51">
        <w:rPr>
          <w:rFonts w:ascii="Arial" w:eastAsia="Times New Roman" w:hAnsi="Arial" w:cs="Arial"/>
          <w:sz w:val="24"/>
          <w:szCs w:val="24"/>
          <w:lang w:eastAsia="es-MX"/>
        </w:rPr>
        <w:t>de su publicación en el Periódico Oficial del Gobierno del Estado.</w:t>
      </w:r>
    </w:p>
    <w:p w:rsidR="003A6EC0" w:rsidRPr="006C0F51" w:rsidRDefault="003A6EC0" w:rsidP="003A6EC0">
      <w:pPr>
        <w:spacing w:before="100" w:beforeAutospacing="1" w:after="100" w:afterAutospacing="1"/>
        <w:jc w:val="both"/>
        <w:rPr>
          <w:rFonts w:ascii="Arial" w:eastAsia="Times New Roman" w:hAnsi="Arial" w:cs="Arial"/>
          <w:sz w:val="24"/>
          <w:szCs w:val="24"/>
          <w:lang w:eastAsia="es-MX"/>
        </w:rPr>
      </w:pPr>
      <w:r w:rsidRPr="006C0F51">
        <w:rPr>
          <w:rFonts w:ascii="Arial" w:eastAsia="Times New Roman" w:hAnsi="Arial" w:cs="Arial"/>
          <w:b/>
          <w:sz w:val="24"/>
          <w:szCs w:val="24"/>
          <w:lang w:eastAsia="es-MX"/>
        </w:rPr>
        <w:t>SEGUNDO.</w:t>
      </w:r>
      <w:r w:rsidR="009631E2">
        <w:rPr>
          <w:rFonts w:ascii="Arial" w:eastAsia="Times New Roman" w:hAnsi="Arial" w:cs="Arial"/>
          <w:b/>
          <w:sz w:val="24"/>
          <w:szCs w:val="24"/>
          <w:lang w:eastAsia="es-MX"/>
        </w:rPr>
        <w:t>-</w:t>
      </w:r>
      <w:r w:rsidRPr="006C0F51">
        <w:rPr>
          <w:rFonts w:ascii="Arial" w:eastAsia="Times New Roman" w:hAnsi="Arial" w:cs="Arial"/>
          <w:b/>
          <w:sz w:val="24"/>
          <w:szCs w:val="24"/>
          <w:lang w:eastAsia="es-MX"/>
        </w:rPr>
        <w:t xml:space="preserve"> </w:t>
      </w:r>
      <w:r w:rsidRPr="006C0F51">
        <w:rPr>
          <w:rFonts w:ascii="Arial" w:eastAsia="Times New Roman" w:hAnsi="Arial" w:cs="Arial"/>
          <w:sz w:val="24"/>
          <w:szCs w:val="24"/>
          <w:lang w:eastAsia="es-MX"/>
        </w:rPr>
        <w:t>Publíquese en el Periódico Oficial del Gobierno del Estado.</w:t>
      </w:r>
    </w:p>
    <w:p w:rsidR="00245157" w:rsidRDefault="003526B6"/>
    <w:p w:rsidR="003A6EC0" w:rsidRDefault="003A6EC0"/>
    <w:p w:rsidR="003A6EC0" w:rsidRDefault="003A6EC0"/>
    <w:p w:rsidR="003A6EC0" w:rsidRDefault="003A6EC0"/>
    <w:p w:rsidR="003A6EC0" w:rsidRPr="003A6EC0" w:rsidRDefault="003A6EC0" w:rsidP="003A6EC0">
      <w:pPr>
        <w:widowControl w:val="0"/>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DADO en la Ciudad de Saltillo, Coahuil</w:t>
      </w:r>
      <w:r w:rsidR="009631E2">
        <w:rPr>
          <w:rFonts w:ascii="Arial" w:eastAsia="Times New Roman" w:hAnsi="Arial" w:cs="Arial"/>
          <w:b/>
          <w:snapToGrid w:val="0"/>
          <w:sz w:val="24"/>
          <w:szCs w:val="24"/>
          <w:lang w:val="es-ES_tradnl" w:eastAsia="es-ES"/>
        </w:rPr>
        <w:t>a de Zaragoza, a los dieciocho días del mes de julio</w:t>
      </w:r>
      <w:r w:rsidRPr="003A6EC0">
        <w:rPr>
          <w:rFonts w:ascii="Arial" w:eastAsia="Times New Roman" w:hAnsi="Arial" w:cs="Arial"/>
          <w:b/>
          <w:snapToGrid w:val="0"/>
          <w:sz w:val="24"/>
          <w:szCs w:val="24"/>
          <w:lang w:val="es-ES_tradnl" w:eastAsia="es-ES"/>
        </w:rPr>
        <w:t xml:space="preserve"> del año dos mil diecinueve.</w:t>
      </w: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DIPUTADO PRESIDENTE</w:t>
      </w: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center"/>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JAIME BUENO ZERTUCHE</w:t>
      </w: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tabs>
          <w:tab w:val="left" w:pos="8749"/>
        </w:tabs>
        <w:spacing w:after="0" w:line="240" w:lineRule="auto"/>
        <w:jc w:val="both"/>
        <w:rPr>
          <w:rFonts w:ascii="Arial" w:eastAsia="Times New Roman" w:hAnsi="Arial" w:cs="Arial"/>
          <w:b/>
          <w:snapToGrid w:val="0"/>
          <w:sz w:val="24"/>
          <w:szCs w:val="24"/>
          <w:lang w:val="es-ES_tradnl" w:eastAsia="es-ES"/>
        </w:rPr>
      </w:pPr>
      <w:r w:rsidRPr="003A6EC0">
        <w:rPr>
          <w:rFonts w:ascii="Arial" w:eastAsia="Times New Roman" w:hAnsi="Arial" w:cs="Arial"/>
          <w:b/>
          <w:snapToGrid w:val="0"/>
          <w:sz w:val="24"/>
          <w:szCs w:val="24"/>
          <w:lang w:val="es-ES_tradnl" w:eastAsia="es-ES"/>
        </w:rPr>
        <w:t xml:space="preserve">  </w:t>
      </w:r>
      <w:r w:rsidR="00FA0800">
        <w:rPr>
          <w:rFonts w:ascii="Arial" w:eastAsia="Times New Roman" w:hAnsi="Arial" w:cs="Arial"/>
          <w:b/>
          <w:snapToGrid w:val="0"/>
          <w:sz w:val="24"/>
          <w:szCs w:val="24"/>
          <w:lang w:val="es-ES_tradnl" w:eastAsia="es-ES"/>
        </w:rPr>
        <w:t xml:space="preserve">            </w:t>
      </w:r>
      <w:r w:rsidR="009631E2">
        <w:rPr>
          <w:rFonts w:ascii="Arial" w:eastAsia="Times New Roman" w:hAnsi="Arial" w:cs="Arial"/>
          <w:b/>
          <w:snapToGrid w:val="0"/>
          <w:sz w:val="24"/>
          <w:szCs w:val="24"/>
          <w:lang w:val="es-ES_tradnl" w:eastAsia="es-ES"/>
        </w:rPr>
        <w:t>DIPUTADA SECRETARIA</w:t>
      </w:r>
      <w:r w:rsidRPr="003A6EC0">
        <w:rPr>
          <w:rFonts w:ascii="Arial" w:eastAsia="Times New Roman" w:hAnsi="Arial" w:cs="Arial"/>
          <w:b/>
          <w:snapToGrid w:val="0"/>
          <w:sz w:val="24"/>
          <w:szCs w:val="24"/>
          <w:lang w:val="es-ES_tradnl" w:eastAsia="es-ES"/>
        </w:rPr>
        <w:t xml:space="preserve">    </w:t>
      </w:r>
      <w:r w:rsidR="00FA0800">
        <w:rPr>
          <w:rFonts w:ascii="Arial" w:eastAsia="Times New Roman" w:hAnsi="Arial" w:cs="Arial"/>
          <w:b/>
          <w:snapToGrid w:val="0"/>
          <w:sz w:val="24"/>
          <w:szCs w:val="24"/>
          <w:lang w:val="es-ES_tradnl" w:eastAsia="es-ES"/>
        </w:rPr>
        <w:t xml:space="preserve">                                </w:t>
      </w:r>
      <w:r w:rsidRPr="003A6EC0">
        <w:rPr>
          <w:rFonts w:ascii="Arial" w:eastAsia="Times New Roman" w:hAnsi="Arial" w:cs="Arial"/>
          <w:b/>
          <w:snapToGrid w:val="0"/>
          <w:sz w:val="24"/>
          <w:szCs w:val="24"/>
          <w:lang w:val="es-ES_tradnl" w:eastAsia="es-ES"/>
        </w:rPr>
        <w:t>DIPUTADO SECRETARIO</w:t>
      </w: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3A6EC0" w:rsidP="003A6EC0">
      <w:pPr>
        <w:spacing w:after="0" w:line="240" w:lineRule="auto"/>
        <w:jc w:val="both"/>
        <w:rPr>
          <w:rFonts w:ascii="Arial" w:eastAsia="Times New Roman" w:hAnsi="Arial" w:cs="Arial"/>
          <w:b/>
          <w:snapToGrid w:val="0"/>
          <w:sz w:val="24"/>
          <w:szCs w:val="24"/>
          <w:lang w:val="es-ES_tradnl" w:eastAsia="es-ES"/>
        </w:rPr>
      </w:pPr>
    </w:p>
    <w:p w:rsidR="003A6EC0" w:rsidRPr="003A6EC0" w:rsidRDefault="009631E2" w:rsidP="003A6EC0">
      <w:pPr>
        <w:spacing w:after="0" w:line="240" w:lineRule="auto"/>
        <w:jc w:val="both"/>
        <w:rPr>
          <w:rFonts w:ascii="Arial" w:eastAsiaTheme="minorHAnsi" w:hAnsi="Arial" w:cs="Arial"/>
          <w:sz w:val="24"/>
          <w:szCs w:val="24"/>
        </w:rPr>
      </w:pPr>
      <w:r>
        <w:rPr>
          <w:rFonts w:ascii="Arial" w:eastAsia="Times New Roman" w:hAnsi="Arial" w:cs="Arial"/>
          <w:b/>
          <w:snapToGrid w:val="0"/>
          <w:sz w:val="24"/>
          <w:szCs w:val="24"/>
          <w:lang w:val="es-ES_tradnl" w:eastAsia="es-ES"/>
        </w:rPr>
        <w:t>ZULMMA VERENICE GUERRERO CÁZARES         EDGAR GERARDO SÁNCHEZ GARZA</w:t>
      </w:r>
    </w:p>
    <w:p w:rsidR="003A6EC0" w:rsidRPr="003A6EC0" w:rsidRDefault="003A6EC0" w:rsidP="003A6EC0">
      <w:pPr>
        <w:spacing w:after="160" w:line="259" w:lineRule="auto"/>
        <w:rPr>
          <w:rFonts w:ascii="Arial" w:eastAsiaTheme="minorHAnsi" w:hAnsi="Arial" w:cs="Arial"/>
          <w:sz w:val="24"/>
          <w:szCs w:val="24"/>
        </w:rPr>
      </w:pPr>
    </w:p>
    <w:p w:rsidR="003A6EC0" w:rsidRPr="003A6EC0" w:rsidRDefault="003A6EC0" w:rsidP="003A6EC0">
      <w:pPr>
        <w:spacing w:after="160" w:line="259" w:lineRule="auto"/>
        <w:rPr>
          <w:rFonts w:ascii="Arial" w:eastAsiaTheme="minorHAnsi" w:hAnsi="Arial" w:cs="Arial"/>
          <w:sz w:val="24"/>
          <w:szCs w:val="24"/>
        </w:rPr>
      </w:pPr>
    </w:p>
    <w:p w:rsidR="003A6EC0" w:rsidRDefault="003A6EC0"/>
    <w:p w:rsidR="003A6EC0" w:rsidRDefault="003A6EC0"/>
    <w:p w:rsidR="003A6EC0" w:rsidRDefault="003A6EC0"/>
    <w:sectPr w:rsidR="003A6EC0" w:rsidSect="003A6EC0">
      <w:headerReference w:type="default" r:id="rId6"/>
      <w:pgSz w:w="12240" w:h="15840"/>
      <w:pgMar w:top="2268"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26B6" w:rsidRDefault="003526B6" w:rsidP="00E00049">
      <w:pPr>
        <w:spacing w:after="0" w:line="240" w:lineRule="auto"/>
      </w:pPr>
      <w:r>
        <w:separator/>
      </w:r>
    </w:p>
  </w:endnote>
  <w:endnote w:type="continuationSeparator" w:id="0">
    <w:p w:rsidR="003526B6" w:rsidRDefault="003526B6" w:rsidP="00E000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26B6" w:rsidRDefault="003526B6" w:rsidP="00E00049">
      <w:pPr>
        <w:spacing w:after="0" w:line="240" w:lineRule="auto"/>
      </w:pPr>
      <w:r>
        <w:separator/>
      </w:r>
    </w:p>
  </w:footnote>
  <w:footnote w:type="continuationSeparator" w:id="0">
    <w:p w:rsidR="003526B6" w:rsidRDefault="003526B6" w:rsidP="00E0004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57" w:type="dxa"/>
      <w:jc w:val="center"/>
      <w:tblLook w:val="04A0" w:firstRow="1" w:lastRow="0" w:firstColumn="1" w:lastColumn="0" w:noHBand="0" w:noVBand="1"/>
    </w:tblPr>
    <w:tblGrid>
      <w:gridCol w:w="1253"/>
      <w:gridCol w:w="8623"/>
      <w:gridCol w:w="1181"/>
    </w:tblGrid>
    <w:tr w:rsidR="00E00049" w:rsidRPr="00E00049" w:rsidTr="0038701A">
      <w:trPr>
        <w:jc w:val="center"/>
      </w:trPr>
      <w:tc>
        <w:tcPr>
          <w:tcW w:w="1253" w:type="dxa"/>
        </w:tcPr>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tc>
      <w:tc>
        <w:tcPr>
          <w:tcW w:w="8623" w:type="dxa"/>
        </w:tcPr>
        <w:p w:rsidR="00E00049" w:rsidRPr="00E00049" w:rsidRDefault="00E00049" w:rsidP="00E00049">
          <w:pPr>
            <w:spacing w:after="0" w:line="240" w:lineRule="auto"/>
            <w:jc w:val="center"/>
            <w:rPr>
              <w:rFonts w:ascii="Arial" w:eastAsia="Times New Roman" w:hAnsi="Arial"/>
              <w:b/>
              <w:bCs/>
              <w:sz w:val="24"/>
              <w:szCs w:val="20"/>
              <w:lang w:eastAsia="es-ES"/>
            </w:rPr>
          </w:pPr>
          <w:r w:rsidRPr="00E00049">
            <w:rPr>
              <w:rFonts w:ascii="Arial" w:eastAsia="Times New Roman" w:hAnsi="Arial"/>
              <w:b/>
              <w:bCs/>
              <w:noProof/>
              <w:sz w:val="12"/>
              <w:szCs w:val="20"/>
              <w:lang w:eastAsia="es-MX"/>
            </w:rPr>
            <w:drawing>
              <wp:anchor distT="0" distB="0" distL="114300" distR="114300" simplePos="0" relativeHeight="251660288" behindDoc="0" locked="0" layoutInCell="1" allowOverlap="1" wp14:anchorId="7526AD0D" wp14:editId="67C9CFD2">
                <wp:simplePos x="0" y="0"/>
                <wp:positionH relativeFrom="column">
                  <wp:posOffset>4979670</wp:posOffset>
                </wp:positionH>
                <wp:positionV relativeFrom="paragraph">
                  <wp:posOffset>67310</wp:posOffset>
                </wp:positionV>
                <wp:extent cx="1180929" cy="877824"/>
                <wp:effectExtent l="0" t="0" r="635" b="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_CONGRES_COLO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80929" cy="877824"/>
                        </a:xfrm>
                        <a:prstGeom prst="rect">
                          <a:avLst/>
                        </a:prstGeom>
                      </pic:spPr>
                    </pic:pic>
                  </a:graphicData>
                </a:graphic>
                <wp14:sizeRelH relativeFrom="page">
                  <wp14:pctWidth>0</wp14:pctWidth>
                </wp14:sizeRelH>
                <wp14:sizeRelV relativeFrom="page">
                  <wp14:pctHeight>0</wp14:pctHeight>
                </wp14:sizeRelV>
              </wp:anchor>
            </w:drawing>
          </w:r>
          <w:r w:rsidRPr="00E00049">
            <w:rPr>
              <w:rFonts w:ascii="Arial" w:eastAsia="Times New Roman" w:hAnsi="Arial"/>
              <w:b/>
              <w:bCs/>
              <w:noProof/>
              <w:sz w:val="12"/>
              <w:szCs w:val="20"/>
              <w:lang w:eastAsia="es-MX"/>
            </w:rPr>
            <w:drawing>
              <wp:anchor distT="0" distB="0" distL="114300" distR="114300" simplePos="0" relativeHeight="251659264" behindDoc="0" locked="0" layoutInCell="1" allowOverlap="1" wp14:anchorId="44368E1F" wp14:editId="7BF70523">
                <wp:simplePos x="0" y="0"/>
                <wp:positionH relativeFrom="column">
                  <wp:posOffset>-700405</wp:posOffset>
                </wp:positionH>
                <wp:positionV relativeFrom="paragraph">
                  <wp:posOffset>54610</wp:posOffset>
                </wp:positionV>
                <wp:extent cx="902335" cy="886460"/>
                <wp:effectExtent l="0" t="0" r="0" b="0"/>
                <wp:wrapNone/>
                <wp:docPr id="2" name="Imagen 2" descr="Escudo de Coahuila de Zaragoza_BN_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Escudo de Coahuila de Zaragoza_BN_05"/>
                        <pic:cNvPicPr>
                          <a:picLocks noChangeAspect="1" noChangeArrowheads="1"/>
                        </pic:cNvPicPr>
                      </pic:nvPicPr>
                      <pic:blipFill>
                        <a:blip r:embed="rId2">
                          <a:clrChange>
                            <a:clrFrom>
                              <a:srgbClr val="F8F8F8"/>
                            </a:clrFrom>
                            <a:clrTo>
                              <a:srgbClr val="F8F8F8">
                                <a:alpha val="0"/>
                              </a:srgbClr>
                            </a:clrTo>
                          </a:clrChange>
                          <a:extLst>
                            <a:ext uri="{28A0092B-C50C-407E-A947-70E740481C1C}">
                              <a14:useLocalDpi xmlns:a14="http://schemas.microsoft.com/office/drawing/2010/main" val="0"/>
                            </a:ext>
                          </a:extLst>
                        </a:blip>
                        <a:srcRect/>
                        <a:stretch>
                          <a:fillRect/>
                        </a:stretch>
                      </pic:blipFill>
                      <pic:spPr bwMode="auto">
                        <a:xfrm>
                          <a:off x="0" y="0"/>
                          <a:ext cx="902335" cy="88646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E00049" w:rsidRPr="00E00049" w:rsidRDefault="00E00049" w:rsidP="00E00049">
          <w:pPr>
            <w:tabs>
              <w:tab w:val="center" w:pos="4252"/>
              <w:tab w:val="left" w:pos="5040"/>
              <w:tab w:val="right" w:pos="8504"/>
            </w:tabs>
            <w:spacing w:after="0" w:line="240" w:lineRule="auto"/>
            <w:jc w:val="center"/>
            <w:rPr>
              <w:rFonts w:ascii="Times New Roman" w:eastAsia="Times New Roman" w:hAnsi="Times New Roman" w:cs="Arial"/>
              <w:bCs/>
              <w:smallCaps/>
              <w:spacing w:val="20"/>
              <w:sz w:val="32"/>
              <w:szCs w:val="32"/>
              <w:lang w:eastAsia="es-ES"/>
            </w:rPr>
          </w:pPr>
          <w:r w:rsidRPr="00E00049">
            <w:rPr>
              <w:rFonts w:ascii="Times New Roman" w:eastAsia="Times New Roman" w:hAnsi="Times New Roman" w:cs="Arial"/>
              <w:bCs/>
              <w:smallCaps/>
              <w:spacing w:val="20"/>
              <w:sz w:val="32"/>
              <w:szCs w:val="32"/>
              <w:lang w:eastAsia="es-ES"/>
            </w:rPr>
            <w:t>Congreso del Estado Independiente,</w:t>
          </w:r>
        </w:p>
        <w:p w:rsidR="00E00049" w:rsidRPr="00E00049" w:rsidRDefault="00E00049" w:rsidP="00E00049">
          <w:pPr>
            <w:tabs>
              <w:tab w:val="center" w:pos="4252"/>
              <w:tab w:val="left" w:pos="5040"/>
              <w:tab w:val="right" w:pos="8504"/>
            </w:tabs>
            <w:spacing w:after="0" w:line="240" w:lineRule="auto"/>
            <w:ind w:right="-93"/>
            <w:jc w:val="center"/>
            <w:rPr>
              <w:rFonts w:ascii="Times New Roman" w:eastAsia="Times New Roman" w:hAnsi="Times New Roman" w:cs="Arial"/>
              <w:bCs/>
              <w:smallCaps/>
              <w:spacing w:val="20"/>
              <w:sz w:val="32"/>
              <w:szCs w:val="32"/>
              <w:lang w:eastAsia="es-ES"/>
            </w:rPr>
          </w:pPr>
          <w:r w:rsidRPr="00E00049">
            <w:rPr>
              <w:rFonts w:ascii="Times New Roman" w:eastAsia="Times New Roman" w:hAnsi="Times New Roman" w:cs="Arial"/>
              <w:bCs/>
              <w:smallCaps/>
              <w:spacing w:val="20"/>
              <w:sz w:val="32"/>
              <w:szCs w:val="32"/>
              <w:lang w:eastAsia="es-ES"/>
            </w:rPr>
            <w:t>Libre y Soberano de Coahuila de Zaragoza</w:t>
          </w:r>
        </w:p>
        <w:p w:rsidR="00E00049" w:rsidRPr="00E00049" w:rsidRDefault="00E00049" w:rsidP="00E00049">
          <w:pPr>
            <w:tabs>
              <w:tab w:val="left" w:pos="-1528"/>
              <w:tab w:val="center" w:pos="-1386"/>
              <w:tab w:val="right" w:pos="8504"/>
            </w:tabs>
            <w:spacing w:after="0" w:line="240" w:lineRule="auto"/>
            <w:jc w:val="center"/>
            <w:rPr>
              <w:rFonts w:ascii="Arial" w:eastAsia="Times New Roman" w:hAnsi="Arial" w:cs="Arial"/>
              <w:bCs/>
              <w:smallCaps/>
              <w:spacing w:val="20"/>
              <w:sz w:val="16"/>
              <w:szCs w:val="32"/>
              <w:lang w:eastAsia="es-ES"/>
            </w:rPr>
          </w:pPr>
        </w:p>
        <w:p w:rsidR="00E00049" w:rsidRPr="00E00049" w:rsidRDefault="00E00049" w:rsidP="00E00049">
          <w:pPr>
            <w:spacing w:after="0" w:line="240" w:lineRule="auto"/>
            <w:jc w:val="center"/>
            <w:rPr>
              <w:rFonts w:eastAsia="Times New Roman" w:cs="Arial"/>
              <w:b/>
              <w:sz w:val="16"/>
              <w:szCs w:val="20"/>
              <w:lang w:eastAsia="es-ES"/>
            </w:rPr>
          </w:pPr>
          <w:r w:rsidRPr="00E00049">
            <w:rPr>
              <w:rFonts w:eastAsia="Times New Roman" w:cs="Arial"/>
              <w:b/>
              <w:sz w:val="16"/>
              <w:szCs w:val="20"/>
              <w:lang w:eastAsia="es-ES"/>
            </w:rPr>
            <w:t>“</w:t>
          </w:r>
          <w:r w:rsidRPr="00E00049">
            <w:rPr>
              <w:rFonts w:eastAsia="Times New Roman" w:cs="Arial"/>
              <w:b/>
              <w:bCs/>
              <w:sz w:val="16"/>
              <w:szCs w:val="16"/>
              <w:bdr w:val="none" w:sz="0" w:space="0" w:color="auto" w:frame="1"/>
              <w:shd w:val="clear" w:color="auto" w:fill="FFFFFF"/>
              <w:lang w:eastAsia="es-ES"/>
            </w:rPr>
            <w:t>2019, Año del respeto y protección de los derechos humanos en el Estado de Coahuila de Zaragoza</w:t>
          </w:r>
          <w:r w:rsidRPr="00E00049">
            <w:rPr>
              <w:rFonts w:eastAsia="Times New Roman" w:cs="Arial"/>
              <w:b/>
              <w:sz w:val="16"/>
              <w:szCs w:val="20"/>
              <w:lang w:eastAsia="es-ES"/>
            </w:rPr>
            <w:t>”</w:t>
          </w:r>
        </w:p>
        <w:p w:rsidR="00E00049" w:rsidRPr="00E00049" w:rsidRDefault="00E00049" w:rsidP="00E00049">
          <w:pPr>
            <w:spacing w:after="0" w:line="240" w:lineRule="auto"/>
            <w:ind w:left="-434" w:right="-672"/>
            <w:jc w:val="center"/>
            <w:rPr>
              <w:rFonts w:ascii="Arial" w:eastAsia="Times New Roman" w:hAnsi="Arial"/>
              <w:b/>
              <w:bCs/>
              <w:sz w:val="12"/>
              <w:szCs w:val="20"/>
              <w:lang w:eastAsia="es-ES"/>
            </w:rPr>
          </w:pPr>
        </w:p>
      </w:tc>
      <w:tc>
        <w:tcPr>
          <w:tcW w:w="1181" w:type="dxa"/>
        </w:tcPr>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p w:rsidR="00E00049" w:rsidRPr="00E00049" w:rsidRDefault="00E00049" w:rsidP="00E00049">
          <w:pPr>
            <w:spacing w:after="0" w:line="240" w:lineRule="auto"/>
            <w:jc w:val="center"/>
            <w:rPr>
              <w:rFonts w:ascii="Arial" w:eastAsia="Times New Roman" w:hAnsi="Arial"/>
              <w:b/>
              <w:bCs/>
              <w:sz w:val="12"/>
              <w:szCs w:val="20"/>
              <w:lang w:eastAsia="es-ES"/>
            </w:rPr>
          </w:pPr>
        </w:p>
      </w:tc>
    </w:tr>
  </w:tbl>
  <w:p w:rsidR="00E00049" w:rsidRDefault="00E00049">
    <w:pPr>
      <w:pStyle w:val="Encabezado"/>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activeWritingStyle w:appName="MSWord" w:lang="pt-BR" w:vendorID="64" w:dllVersion="131078" w:nlCheck="1" w:checkStyle="0"/>
  <w:activeWritingStyle w:appName="MSWord" w:lang="es-MX" w:vendorID="64" w:dllVersion="131078" w:nlCheck="1" w:checkStyle="0"/>
  <w:activeWritingStyle w:appName="MSWord" w:lang="es-ES" w:vendorID="64" w:dllVersion="131078" w:nlCheck="1" w:checkStyle="1"/>
  <w:activeWritingStyle w:appName="MSWord" w:lang="es-ES_tradnl" w:vendorID="64" w:dllVersion="131078" w:nlCheck="1" w:checkStyle="1"/>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6EC0"/>
    <w:rsid w:val="00057EEC"/>
    <w:rsid w:val="000653EC"/>
    <w:rsid w:val="00121010"/>
    <w:rsid w:val="00195F33"/>
    <w:rsid w:val="003526B6"/>
    <w:rsid w:val="003A6EC0"/>
    <w:rsid w:val="004562E7"/>
    <w:rsid w:val="008C602C"/>
    <w:rsid w:val="009631E2"/>
    <w:rsid w:val="00E00049"/>
    <w:rsid w:val="00FA080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610267B-8E8D-46FB-A9DA-37C12E5532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A6EC0"/>
    <w:pPr>
      <w:spacing w:after="200" w:line="276" w:lineRule="auto"/>
    </w:pPr>
    <w:rPr>
      <w:rFonts w:ascii="Calibri" w:eastAsia="Calibri" w:hAnsi="Calibri" w:cs="Times New Roma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9631E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9631E2"/>
    <w:rPr>
      <w:rFonts w:ascii="Segoe UI" w:eastAsia="Calibri" w:hAnsi="Segoe UI" w:cs="Segoe UI"/>
      <w:sz w:val="18"/>
      <w:szCs w:val="18"/>
    </w:rPr>
  </w:style>
  <w:style w:type="paragraph" w:styleId="Encabezado">
    <w:name w:val="header"/>
    <w:basedOn w:val="Normal"/>
    <w:link w:val="EncabezadoCar"/>
    <w:uiPriority w:val="99"/>
    <w:unhideWhenUsed/>
    <w:rsid w:val="00E00049"/>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00049"/>
    <w:rPr>
      <w:rFonts w:ascii="Calibri" w:eastAsia="Calibri" w:hAnsi="Calibri" w:cs="Times New Roman"/>
    </w:rPr>
  </w:style>
  <w:style w:type="paragraph" w:styleId="Piedepgina">
    <w:name w:val="footer"/>
    <w:basedOn w:val="Normal"/>
    <w:link w:val="PiedepginaCar"/>
    <w:uiPriority w:val="99"/>
    <w:unhideWhenUsed/>
    <w:rsid w:val="00E00049"/>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00049"/>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604</Words>
  <Characters>3324</Characters>
  <Application>Microsoft Office Word</Application>
  <DocSecurity>0</DocSecurity>
  <Lines>27</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 de Windows</dc:creator>
  <cp:keywords/>
  <dc:description/>
  <cp:lastModifiedBy>Juan Lumbreras</cp:lastModifiedBy>
  <cp:revision>2</cp:revision>
  <cp:lastPrinted>2019-07-18T16:37:00Z</cp:lastPrinted>
  <dcterms:created xsi:type="dcterms:W3CDTF">2019-08-07T14:57:00Z</dcterms:created>
  <dcterms:modified xsi:type="dcterms:W3CDTF">2019-08-07T14:57:00Z</dcterms:modified>
</cp:coreProperties>
</file>