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QUE EL CONGRESO DEL ESTADO INDEPENDIENTE, LIBRE Y SOBERANO DE COAHUILA DE ZARAGOZA;</w:t>
      </w: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widowControl w:val="0"/>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DECRETA:</w:t>
      </w:r>
    </w:p>
    <w:p w:rsidR="004310D4" w:rsidRPr="00AD00F3" w:rsidRDefault="004310D4" w:rsidP="004310D4">
      <w:pPr>
        <w:widowControl w:val="0"/>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widowControl w:val="0"/>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 xml:space="preserve">NÚMERO </w:t>
      </w:r>
      <w:r w:rsidR="00C65232">
        <w:rPr>
          <w:rFonts w:ascii="Arial" w:eastAsia="Times New Roman" w:hAnsi="Arial" w:cs="Arial"/>
          <w:b/>
          <w:snapToGrid w:val="0"/>
          <w:sz w:val="25"/>
          <w:szCs w:val="25"/>
          <w:lang w:val="es-ES_tradnl" w:eastAsia="es-ES"/>
        </w:rPr>
        <w:t>329</w:t>
      </w:r>
      <w:r w:rsidRPr="00AD00F3">
        <w:rPr>
          <w:rFonts w:ascii="Arial" w:eastAsia="Times New Roman" w:hAnsi="Arial" w:cs="Arial"/>
          <w:b/>
          <w:snapToGrid w:val="0"/>
          <w:sz w:val="25"/>
          <w:szCs w:val="25"/>
          <w:lang w:val="es-ES_tradnl" w:eastAsia="es-ES"/>
        </w:rPr>
        <w:t xml:space="preserve">.- </w:t>
      </w:r>
    </w:p>
    <w:p w:rsidR="00DD2319" w:rsidRDefault="00DD2319" w:rsidP="00DD2319">
      <w:pPr>
        <w:pStyle w:val="Sinespaciado"/>
        <w:spacing w:line="360" w:lineRule="auto"/>
        <w:rPr>
          <w:rFonts w:ascii="Arial" w:hAnsi="Arial" w:cs="Arial"/>
          <w:b/>
          <w:sz w:val="24"/>
          <w:szCs w:val="24"/>
        </w:rPr>
      </w:pPr>
    </w:p>
    <w:p w:rsidR="00DD2319" w:rsidRDefault="00DD2319" w:rsidP="00DD2319">
      <w:pPr>
        <w:spacing w:after="0" w:line="360" w:lineRule="auto"/>
        <w:jc w:val="both"/>
        <w:rPr>
          <w:rFonts w:ascii="Arial" w:hAnsi="Arial" w:cs="Arial"/>
          <w:sz w:val="24"/>
          <w:szCs w:val="24"/>
        </w:rPr>
      </w:pPr>
      <w:r w:rsidRPr="00DD163A">
        <w:rPr>
          <w:rFonts w:ascii="Arial" w:hAnsi="Arial" w:cs="Arial"/>
          <w:b/>
          <w:sz w:val="24"/>
          <w:szCs w:val="24"/>
        </w:rPr>
        <w:t>ÚNICO.</w:t>
      </w:r>
      <w:r>
        <w:rPr>
          <w:rFonts w:ascii="Arial" w:hAnsi="Arial" w:cs="Arial"/>
          <w:b/>
          <w:sz w:val="24"/>
          <w:szCs w:val="24"/>
        </w:rPr>
        <w:t>-</w:t>
      </w:r>
      <w:r w:rsidRPr="00DD163A">
        <w:rPr>
          <w:rFonts w:ascii="Arial" w:hAnsi="Arial" w:cs="Arial"/>
          <w:sz w:val="24"/>
          <w:szCs w:val="24"/>
        </w:rPr>
        <w:t xml:space="preserve"> Se modifica el numeral 1 del artículo </w:t>
      </w:r>
      <w:r w:rsidRPr="006F3A95">
        <w:rPr>
          <w:rFonts w:ascii="Arial" w:hAnsi="Arial" w:cs="Arial"/>
          <w:sz w:val="24"/>
          <w:szCs w:val="24"/>
        </w:rPr>
        <w:t xml:space="preserve">92; el numeral 1 del artículo 167; los incisos a, b, c y d del numeral 1 del artículo </w:t>
      </w:r>
      <w:r w:rsidRPr="005B0CE3">
        <w:rPr>
          <w:rFonts w:ascii="Arial" w:hAnsi="Arial" w:cs="Arial"/>
          <w:sz w:val="24"/>
          <w:szCs w:val="24"/>
        </w:rPr>
        <w:t>169; el numeral 2 del artículo 179</w:t>
      </w:r>
      <w:r>
        <w:rPr>
          <w:rFonts w:ascii="Arial" w:hAnsi="Arial" w:cs="Arial"/>
          <w:sz w:val="24"/>
          <w:szCs w:val="24"/>
        </w:rPr>
        <w:t>, el numeral 2 del artículo 193</w:t>
      </w:r>
      <w:r w:rsidRPr="005B0CE3">
        <w:rPr>
          <w:rFonts w:ascii="Arial" w:hAnsi="Arial" w:cs="Arial"/>
          <w:sz w:val="24"/>
          <w:szCs w:val="24"/>
        </w:rPr>
        <w:t xml:space="preserve"> </w:t>
      </w:r>
      <w:r w:rsidRPr="00844E25">
        <w:rPr>
          <w:rFonts w:ascii="Arial" w:hAnsi="Arial" w:cs="Arial"/>
          <w:sz w:val="24"/>
          <w:szCs w:val="24"/>
        </w:rPr>
        <w:t xml:space="preserve">y </w:t>
      </w:r>
      <w:r>
        <w:rPr>
          <w:rFonts w:ascii="Arial" w:hAnsi="Arial" w:cs="Arial"/>
          <w:sz w:val="24"/>
          <w:szCs w:val="24"/>
        </w:rPr>
        <w:t>el inciso</w:t>
      </w:r>
      <w:r w:rsidRPr="00844E25">
        <w:rPr>
          <w:rFonts w:ascii="Arial" w:hAnsi="Arial" w:cs="Arial"/>
          <w:sz w:val="24"/>
          <w:szCs w:val="24"/>
        </w:rPr>
        <w:t xml:space="preserve"> cc </w:t>
      </w:r>
      <w:r>
        <w:rPr>
          <w:rFonts w:ascii="Arial" w:hAnsi="Arial" w:cs="Arial"/>
          <w:sz w:val="24"/>
          <w:szCs w:val="24"/>
        </w:rPr>
        <w:t xml:space="preserve">del artículo 344, </w:t>
      </w:r>
      <w:r w:rsidRPr="00844E25">
        <w:rPr>
          <w:rFonts w:ascii="Arial" w:hAnsi="Arial" w:cs="Arial"/>
          <w:sz w:val="24"/>
          <w:szCs w:val="24"/>
        </w:rPr>
        <w:t>del Código Electoral para el Estado de Coahuila de Zaragoza, para quedar como sigue:</w:t>
      </w:r>
    </w:p>
    <w:p w:rsidR="00DD2319" w:rsidRPr="00CD250E" w:rsidRDefault="00DD2319" w:rsidP="00DD2319">
      <w:pPr>
        <w:spacing w:after="0" w:line="360" w:lineRule="auto"/>
        <w:jc w:val="both"/>
        <w:rPr>
          <w:rFonts w:ascii="Arial" w:hAnsi="Arial" w:cs="Arial"/>
          <w:sz w:val="24"/>
          <w:szCs w:val="24"/>
        </w:rPr>
      </w:pPr>
    </w:p>
    <w:p w:rsidR="00DD2319" w:rsidRDefault="00DD2319" w:rsidP="00DD2319">
      <w:pPr>
        <w:spacing w:after="0"/>
        <w:ind w:left="-5"/>
        <w:rPr>
          <w:rFonts w:ascii="Arial" w:hAnsi="Arial" w:cs="Arial"/>
          <w:b/>
          <w:sz w:val="24"/>
          <w:szCs w:val="24"/>
        </w:rPr>
      </w:pPr>
      <w:r w:rsidRPr="00CD250E">
        <w:rPr>
          <w:rFonts w:ascii="Arial" w:hAnsi="Arial" w:cs="Arial"/>
          <w:b/>
          <w:sz w:val="24"/>
          <w:szCs w:val="24"/>
        </w:rPr>
        <w:t>Artículo 92.</w:t>
      </w:r>
    </w:p>
    <w:p w:rsidR="00DD2319" w:rsidRPr="00CD250E" w:rsidRDefault="00DD2319" w:rsidP="00DD2319">
      <w:pPr>
        <w:spacing w:after="0"/>
        <w:ind w:left="-5"/>
        <w:rPr>
          <w:rFonts w:ascii="Arial" w:hAnsi="Arial" w:cs="Arial"/>
          <w:b/>
          <w:sz w:val="24"/>
          <w:szCs w:val="24"/>
        </w:rPr>
      </w:pPr>
    </w:p>
    <w:p w:rsidR="00DD2319" w:rsidRPr="00CD250E" w:rsidRDefault="00DD2319" w:rsidP="00DD2319">
      <w:pPr>
        <w:numPr>
          <w:ilvl w:val="0"/>
          <w:numId w:val="2"/>
        </w:numPr>
        <w:spacing w:after="0" w:line="360" w:lineRule="auto"/>
        <w:jc w:val="both"/>
        <w:rPr>
          <w:rFonts w:ascii="Arial" w:hAnsi="Arial" w:cs="Arial"/>
          <w:sz w:val="24"/>
          <w:szCs w:val="24"/>
        </w:rPr>
      </w:pPr>
      <w:r w:rsidRPr="00E66915">
        <w:rPr>
          <w:rFonts w:ascii="Arial" w:hAnsi="Arial" w:cs="Arial"/>
          <w:sz w:val="24"/>
          <w:szCs w:val="24"/>
        </w:rPr>
        <w:t xml:space="preserve">El Consejo </w:t>
      </w:r>
      <w:r w:rsidRPr="001A5977">
        <w:rPr>
          <w:rFonts w:ascii="Arial" w:hAnsi="Arial" w:cs="Arial"/>
          <w:sz w:val="24"/>
          <w:szCs w:val="24"/>
        </w:rPr>
        <w:t>General del Instituto emitirá, treinta días antes del inicio de las precampañas,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w:t>
      </w:r>
      <w:r w:rsidRPr="00CD250E">
        <w:rPr>
          <w:rFonts w:ascii="Arial" w:hAnsi="Arial" w:cs="Arial"/>
          <w:sz w:val="24"/>
          <w:szCs w:val="24"/>
        </w:rPr>
        <w:t xml:space="preserve"> de gastos que pueden erogar y los formatos para ello.  </w:t>
      </w:r>
    </w:p>
    <w:p w:rsidR="00DD2319" w:rsidRPr="00CD250E" w:rsidRDefault="00DD2319" w:rsidP="00DD2319">
      <w:pPr>
        <w:spacing w:after="0"/>
        <w:ind w:left="-5"/>
        <w:rPr>
          <w:rFonts w:ascii="Arial" w:hAnsi="Arial" w:cs="Arial"/>
          <w:sz w:val="24"/>
          <w:szCs w:val="24"/>
        </w:rPr>
      </w:pPr>
      <w:r w:rsidRPr="00CD250E">
        <w:rPr>
          <w:rFonts w:ascii="Arial" w:hAnsi="Arial" w:cs="Arial"/>
          <w:sz w:val="24"/>
          <w:szCs w:val="24"/>
        </w:rPr>
        <w:tab/>
      </w:r>
      <w:r w:rsidRPr="00CD250E">
        <w:rPr>
          <w:rFonts w:ascii="Arial" w:hAnsi="Arial" w:cs="Arial"/>
          <w:sz w:val="24"/>
          <w:szCs w:val="24"/>
        </w:rPr>
        <w:tab/>
      </w:r>
      <w:r w:rsidRPr="00CD250E">
        <w:rPr>
          <w:rFonts w:ascii="Arial" w:hAnsi="Arial" w:cs="Arial"/>
          <w:sz w:val="24"/>
          <w:szCs w:val="24"/>
        </w:rPr>
        <w:tab/>
      </w:r>
      <w:r w:rsidRPr="00CD250E">
        <w:rPr>
          <w:rFonts w:ascii="Arial" w:hAnsi="Arial" w:cs="Arial"/>
          <w:sz w:val="24"/>
          <w:szCs w:val="24"/>
        </w:rPr>
        <w:tab/>
      </w:r>
      <w:r w:rsidRPr="00CD250E">
        <w:rPr>
          <w:rFonts w:ascii="Arial" w:hAnsi="Arial" w:cs="Arial"/>
          <w:sz w:val="24"/>
          <w:szCs w:val="24"/>
        </w:rPr>
        <w:tab/>
      </w:r>
    </w:p>
    <w:p w:rsidR="00DD2319" w:rsidRPr="001A5977" w:rsidRDefault="00DD2319" w:rsidP="00DD2319">
      <w:pPr>
        <w:pStyle w:val="Prrafodelista"/>
        <w:numPr>
          <w:ilvl w:val="0"/>
          <w:numId w:val="2"/>
        </w:numPr>
        <w:spacing w:after="0"/>
        <w:rPr>
          <w:rFonts w:ascii="Arial" w:hAnsi="Arial" w:cs="Arial"/>
          <w:sz w:val="24"/>
          <w:szCs w:val="24"/>
        </w:rPr>
      </w:pPr>
      <w:r w:rsidRPr="001A5977">
        <w:rPr>
          <w:rFonts w:ascii="Arial" w:hAnsi="Arial" w:cs="Arial"/>
          <w:sz w:val="24"/>
          <w:szCs w:val="24"/>
        </w:rPr>
        <w:t>…</w:t>
      </w:r>
    </w:p>
    <w:p w:rsidR="00DD2319" w:rsidRPr="00CD250E" w:rsidRDefault="00DD2319" w:rsidP="00DD2319">
      <w:pPr>
        <w:spacing w:after="0" w:line="360" w:lineRule="auto"/>
        <w:jc w:val="both"/>
        <w:rPr>
          <w:rFonts w:ascii="Arial" w:hAnsi="Arial" w:cs="Arial"/>
          <w:sz w:val="24"/>
          <w:szCs w:val="24"/>
        </w:rPr>
      </w:pPr>
    </w:p>
    <w:p w:rsidR="00DD2319" w:rsidRDefault="00DD2319" w:rsidP="00DD2319">
      <w:pPr>
        <w:spacing w:after="0"/>
        <w:jc w:val="both"/>
        <w:rPr>
          <w:rFonts w:ascii="Arial" w:hAnsi="Arial" w:cs="Arial"/>
          <w:b/>
          <w:sz w:val="24"/>
          <w:szCs w:val="24"/>
        </w:rPr>
      </w:pPr>
      <w:r w:rsidRPr="00CD250E">
        <w:rPr>
          <w:rFonts w:ascii="Arial" w:hAnsi="Arial" w:cs="Arial"/>
          <w:b/>
          <w:sz w:val="24"/>
          <w:szCs w:val="24"/>
        </w:rPr>
        <w:t>Artículo 167.</w:t>
      </w:r>
    </w:p>
    <w:p w:rsidR="00DD2319" w:rsidRPr="00CD250E" w:rsidRDefault="00DD2319" w:rsidP="00DD2319">
      <w:pPr>
        <w:spacing w:after="0"/>
        <w:jc w:val="both"/>
        <w:rPr>
          <w:rFonts w:ascii="Arial" w:hAnsi="Arial" w:cs="Arial"/>
          <w:b/>
          <w:sz w:val="24"/>
          <w:szCs w:val="24"/>
        </w:rPr>
      </w:pPr>
    </w:p>
    <w:p w:rsidR="00DD2319" w:rsidRDefault="00DD2319" w:rsidP="00DD2319">
      <w:pPr>
        <w:widowControl w:val="0"/>
        <w:numPr>
          <w:ilvl w:val="0"/>
          <w:numId w:val="1"/>
        </w:numPr>
        <w:suppressAutoHyphens/>
        <w:spacing w:after="0" w:line="360" w:lineRule="auto"/>
        <w:jc w:val="both"/>
        <w:rPr>
          <w:rFonts w:ascii="Arial" w:hAnsi="Arial" w:cs="Arial"/>
          <w:sz w:val="24"/>
          <w:szCs w:val="24"/>
        </w:rPr>
      </w:pPr>
      <w:r w:rsidRPr="00CD250E">
        <w:rPr>
          <w:rFonts w:ascii="Arial" w:hAnsi="Arial" w:cs="Arial"/>
          <w:sz w:val="24"/>
          <w:szCs w:val="24"/>
        </w:rPr>
        <w:t xml:space="preserve">El proceso electoral ordinario se inicia con la sesión que celebre el Consejo General del </w:t>
      </w:r>
      <w:r w:rsidRPr="00FD260E">
        <w:rPr>
          <w:rFonts w:ascii="Arial" w:hAnsi="Arial" w:cs="Arial"/>
          <w:sz w:val="24"/>
          <w:szCs w:val="24"/>
        </w:rPr>
        <w:t>Instituto el primer día del mes de enero del año correspondiente a la elección</w:t>
      </w:r>
      <w:r w:rsidRPr="00CD250E">
        <w:rPr>
          <w:rFonts w:ascii="Arial" w:hAnsi="Arial" w:cs="Arial"/>
          <w:sz w:val="24"/>
          <w:szCs w:val="24"/>
        </w:rPr>
        <w:t xml:space="preserve"> y concluye al resolverse el último de los medios de impugnación que se hayan interpuesto o cuando se tenga constancia de que no se presentó ninguno.</w:t>
      </w:r>
    </w:p>
    <w:p w:rsidR="00DD2319" w:rsidRPr="00FD260E" w:rsidRDefault="00DD2319" w:rsidP="00DD2319">
      <w:pPr>
        <w:widowControl w:val="0"/>
        <w:suppressAutoHyphens/>
        <w:spacing w:after="0" w:line="360" w:lineRule="auto"/>
        <w:ind w:left="720"/>
        <w:jc w:val="both"/>
        <w:rPr>
          <w:rFonts w:ascii="Arial" w:hAnsi="Arial" w:cs="Arial"/>
          <w:sz w:val="24"/>
          <w:szCs w:val="24"/>
        </w:rPr>
      </w:pPr>
    </w:p>
    <w:p w:rsidR="00DD2319" w:rsidRPr="005D1CEF" w:rsidRDefault="00DD2319" w:rsidP="00DD2319">
      <w:pPr>
        <w:widowControl w:val="0"/>
        <w:numPr>
          <w:ilvl w:val="0"/>
          <w:numId w:val="1"/>
        </w:numPr>
        <w:suppressAutoHyphens/>
        <w:spacing w:after="0" w:line="240" w:lineRule="auto"/>
        <w:ind w:hanging="294"/>
        <w:jc w:val="both"/>
        <w:rPr>
          <w:rFonts w:ascii="Arial" w:hAnsi="Arial" w:cs="Arial"/>
          <w:sz w:val="24"/>
          <w:szCs w:val="24"/>
        </w:rPr>
      </w:pPr>
      <w:r w:rsidRPr="005D1CEF">
        <w:rPr>
          <w:rFonts w:ascii="Arial" w:hAnsi="Arial" w:cs="Arial"/>
          <w:sz w:val="24"/>
          <w:szCs w:val="24"/>
        </w:rPr>
        <w:t>al 7. …</w:t>
      </w:r>
    </w:p>
    <w:p w:rsidR="00DD2319" w:rsidRDefault="00DD2319" w:rsidP="00DD2319">
      <w:pPr>
        <w:spacing w:after="0"/>
        <w:ind w:firstLine="708"/>
        <w:rPr>
          <w:rFonts w:ascii="Arial" w:hAnsi="Arial" w:cs="Arial"/>
          <w:b/>
          <w:sz w:val="24"/>
          <w:szCs w:val="24"/>
        </w:rPr>
      </w:pPr>
    </w:p>
    <w:p w:rsidR="00DD2319" w:rsidRPr="00CD250E" w:rsidRDefault="00DD2319" w:rsidP="00DD2319">
      <w:pPr>
        <w:spacing w:after="0"/>
        <w:ind w:firstLine="708"/>
        <w:rPr>
          <w:rFonts w:ascii="Arial" w:hAnsi="Arial" w:cs="Arial"/>
          <w:b/>
          <w:sz w:val="24"/>
          <w:szCs w:val="24"/>
        </w:rPr>
      </w:pPr>
    </w:p>
    <w:p w:rsidR="00DD2319" w:rsidRDefault="00DD2319" w:rsidP="00DD2319">
      <w:pPr>
        <w:widowControl w:val="0"/>
        <w:suppressAutoHyphens/>
        <w:spacing w:after="0"/>
        <w:rPr>
          <w:rFonts w:ascii="Arial" w:hAnsi="Arial" w:cs="Arial"/>
          <w:b/>
          <w:sz w:val="24"/>
          <w:szCs w:val="24"/>
        </w:rPr>
      </w:pPr>
      <w:r w:rsidRPr="00E66915">
        <w:rPr>
          <w:rFonts w:ascii="Arial" w:hAnsi="Arial" w:cs="Arial"/>
          <w:b/>
          <w:sz w:val="24"/>
          <w:szCs w:val="24"/>
        </w:rPr>
        <w:t>Artículo 169.</w:t>
      </w:r>
    </w:p>
    <w:p w:rsidR="00DD2319" w:rsidRPr="00E66915" w:rsidRDefault="00DD2319" w:rsidP="00DD2319">
      <w:pPr>
        <w:widowControl w:val="0"/>
        <w:suppressAutoHyphens/>
        <w:spacing w:after="0"/>
        <w:rPr>
          <w:rFonts w:ascii="Arial" w:hAnsi="Arial" w:cs="Arial"/>
          <w:b/>
          <w:sz w:val="24"/>
          <w:szCs w:val="24"/>
        </w:rPr>
      </w:pPr>
    </w:p>
    <w:p w:rsidR="00DD2319" w:rsidRPr="001A5977" w:rsidRDefault="00DD2319" w:rsidP="00DD2319">
      <w:pPr>
        <w:widowControl w:val="0"/>
        <w:numPr>
          <w:ilvl w:val="0"/>
          <w:numId w:val="7"/>
        </w:numPr>
        <w:suppressAutoHyphens/>
        <w:spacing w:after="0" w:line="360" w:lineRule="auto"/>
        <w:ind w:left="709" w:hanging="425"/>
        <w:jc w:val="both"/>
        <w:rPr>
          <w:rFonts w:ascii="Arial" w:hAnsi="Arial" w:cs="Arial"/>
          <w:sz w:val="24"/>
          <w:szCs w:val="24"/>
        </w:rPr>
      </w:pPr>
      <w:r w:rsidRPr="001A5977">
        <w:rPr>
          <w:rFonts w:ascii="Arial" w:hAnsi="Arial" w:cs="Arial"/>
          <w:sz w:val="24"/>
          <w:szCs w:val="24"/>
        </w:rPr>
        <w:t>…</w:t>
      </w:r>
    </w:p>
    <w:p w:rsidR="00DD2319" w:rsidRPr="00E66915" w:rsidRDefault="00DD2319" w:rsidP="00DD2319">
      <w:pPr>
        <w:widowControl w:val="0"/>
        <w:suppressAutoHyphens/>
        <w:spacing w:after="0" w:line="360" w:lineRule="auto"/>
        <w:ind w:left="709" w:hanging="425"/>
        <w:rPr>
          <w:rFonts w:ascii="Arial" w:hAnsi="Arial" w:cs="Arial"/>
          <w:sz w:val="24"/>
          <w:szCs w:val="24"/>
        </w:rPr>
      </w:pPr>
    </w:p>
    <w:p w:rsidR="00DD2319" w:rsidRPr="005D1CEF" w:rsidRDefault="00DD2319" w:rsidP="00DD2319">
      <w:pPr>
        <w:widowControl w:val="0"/>
        <w:numPr>
          <w:ilvl w:val="0"/>
          <w:numId w:val="6"/>
        </w:numPr>
        <w:suppressAutoHyphens/>
        <w:spacing w:after="0" w:line="360" w:lineRule="auto"/>
        <w:ind w:hanging="284"/>
        <w:jc w:val="both"/>
        <w:rPr>
          <w:rFonts w:ascii="Arial" w:hAnsi="Arial" w:cs="Arial"/>
          <w:sz w:val="24"/>
          <w:szCs w:val="24"/>
        </w:rPr>
      </w:pPr>
      <w:r w:rsidRPr="005D1CEF">
        <w:rPr>
          <w:rFonts w:ascii="Arial" w:hAnsi="Arial" w:cs="Arial"/>
          <w:sz w:val="24"/>
          <w:szCs w:val="24"/>
        </w:rPr>
        <w:t>Las precampañas en el caso de que se renueve</w:t>
      </w:r>
      <w:r w:rsidRPr="0089754A">
        <w:rPr>
          <w:rFonts w:ascii="Arial" w:hAnsi="Arial" w:cs="Arial"/>
          <w:sz w:val="24"/>
          <w:szCs w:val="24"/>
        </w:rPr>
        <w:t>, en el mismo proceso electoral, el Poder Ejecutivo, Poder Legislativo y Ayuntamientos</w:t>
      </w:r>
      <w:r w:rsidRPr="005D1CEF">
        <w:rPr>
          <w:rFonts w:ascii="Arial" w:hAnsi="Arial" w:cs="Arial"/>
          <w:sz w:val="24"/>
          <w:szCs w:val="24"/>
        </w:rPr>
        <w:t>, iniciarán cuarenta días después de iniciado el proceso. No podrán durar más de cuarenta días.</w:t>
      </w:r>
    </w:p>
    <w:p w:rsidR="00DD2319" w:rsidRPr="005D1CEF" w:rsidRDefault="00DD2319" w:rsidP="00DD2319">
      <w:pPr>
        <w:widowControl w:val="0"/>
        <w:suppressAutoHyphens/>
        <w:spacing w:after="0" w:line="360" w:lineRule="auto"/>
        <w:ind w:left="993" w:hanging="284"/>
        <w:rPr>
          <w:rFonts w:ascii="Arial" w:hAnsi="Arial" w:cs="Arial"/>
          <w:sz w:val="24"/>
          <w:szCs w:val="24"/>
        </w:rPr>
      </w:pPr>
    </w:p>
    <w:p w:rsidR="00DD2319" w:rsidRPr="00F646B4" w:rsidRDefault="00DD2319" w:rsidP="00DD2319">
      <w:pPr>
        <w:widowControl w:val="0"/>
        <w:numPr>
          <w:ilvl w:val="0"/>
          <w:numId w:val="6"/>
        </w:numPr>
        <w:suppressAutoHyphens/>
        <w:spacing w:after="0" w:line="360" w:lineRule="auto"/>
        <w:ind w:hanging="284"/>
        <w:jc w:val="both"/>
        <w:rPr>
          <w:rFonts w:ascii="Arial" w:hAnsi="Arial" w:cs="Arial"/>
          <w:sz w:val="24"/>
          <w:szCs w:val="24"/>
        </w:rPr>
      </w:pPr>
      <w:r w:rsidRPr="00F646B4">
        <w:rPr>
          <w:rFonts w:ascii="Arial" w:hAnsi="Arial" w:cs="Arial"/>
          <w:sz w:val="24"/>
          <w:szCs w:val="24"/>
        </w:rPr>
        <w:t>Respecto a las precampañas en que se renueve, únicamente, el Poder Legislativo, darán inicio sesenta días después de iniciado el proceso. No podrán durar más de veinticinco días.</w:t>
      </w:r>
    </w:p>
    <w:p w:rsidR="00DD2319" w:rsidRPr="005D1CEF" w:rsidRDefault="00DD2319" w:rsidP="00DD2319">
      <w:pPr>
        <w:spacing w:after="0" w:line="360" w:lineRule="auto"/>
        <w:ind w:left="993" w:hanging="284"/>
        <w:rPr>
          <w:rFonts w:ascii="Arial" w:hAnsi="Arial" w:cs="Arial"/>
          <w:sz w:val="24"/>
          <w:szCs w:val="24"/>
        </w:rPr>
      </w:pPr>
    </w:p>
    <w:p w:rsidR="00DD2319" w:rsidRPr="005D1CEF" w:rsidRDefault="00DD2319" w:rsidP="00DD2319">
      <w:pPr>
        <w:widowControl w:val="0"/>
        <w:numPr>
          <w:ilvl w:val="0"/>
          <w:numId w:val="6"/>
        </w:numPr>
        <w:suppressAutoHyphens/>
        <w:spacing w:after="0" w:line="360" w:lineRule="auto"/>
        <w:ind w:hanging="284"/>
        <w:jc w:val="both"/>
        <w:rPr>
          <w:rFonts w:ascii="Arial" w:hAnsi="Arial" w:cs="Arial"/>
          <w:sz w:val="24"/>
          <w:szCs w:val="24"/>
        </w:rPr>
      </w:pPr>
      <w:r w:rsidRPr="005D1CEF">
        <w:rPr>
          <w:rFonts w:ascii="Arial" w:hAnsi="Arial" w:cs="Arial"/>
          <w:sz w:val="24"/>
          <w:szCs w:val="24"/>
        </w:rPr>
        <w:t>Respecto a las precampañas en que se renueve el Poder Ejecutivo en concurrencia con el Poder Legislativo, darán inicio cuarenta días después de iniciado el proceso. No podrán durar más de cuarenta días.</w:t>
      </w:r>
    </w:p>
    <w:p w:rsidR="00DD2319" w:rsidRPr="005D1CEF" w:rsidRDefault="00DD2319" w:rsidP="00DD2319">
      <w:pPr>
        <w:spacing w:after="0" w:line="360" w:lineRule="auto"/>
        <w:ind w:left="993" w:hanging="284"/>
        <w:rPr>
          <w:rFonts w:ascii="Arial" w:hAnsi="Arial" w:cs="Arial"/>
          <w:sz w:val="24"/>
          <w:szCs w:val="24"/>
        </w:rPr>
      </w:pPr>
    </w:p>
    <w:p w:rsidR="00DD2319" w:rsidRPr="005D1CEF" w:rsidRDefault="00DD2319" w:rsidP="00DD2319">
      <w:pPr>
        <w:widowControl w:val="0"/>
        <w:numPr>
          <w:ilvl w:val="0"/>
          <w:numId w:val="6"/>
        </w:numPr>
        <w:suppressAutoHyphens/>
        <w:spacing w:after="0" w:line="360" w:lineRule="auto"/>
        <w:ind w:hanging="284"/>
        <w:jc w:val="both"/>
        <w:rPr>
          <w:rFonts w:ascii="Arial" w:hAnsi="Arial" w:cs="Arial"/>
          <w:sz w:val="24"/>
          <w:szCs w:val="24"/>
        </w:rPr>
      </w:pPr>
      <w:r w:rsidRPr="005D1CEF">
        <w:rPr>
          <w:rFonts w:ascii="Arial" w:hAnsi="Arial" w:cs="Arial"/>
          <w:sz w:val="24"/>
          <w:szCs w:val="24"/>
        </w:rPr>
        <w:t>Respecto a las precampañas en las que se renueve el Poder Ejecutivo o Ayuntamientos en concurrencia con elecciones federales, darán inicio cuarenta días después de iniciado el proceso. No podrán durar más de cuarenta días.</w:t>
      </w:r>
    </w:p>
    <w:p w:rsidR="00DD2319" w:rsidRPr="00E66915" w:rsidRDefault="00DD2319" w:rsidP="00DD2319">
      <w:pPr>
        <w:widowControl w:val="0"/>
        <w:suppressAutoHyphens/>
        <w:spacing w:after="0" w:line="360" w:lineRule="auto"/>
        <w:ind w:left="993" w:hanging="284"/>
        <w:rPr>
          <w:rFonts w:ascii="Arial" w:hAnsi="Arial" w:cs="Arial"/>
          <w:sz w:val="24"/>
          <w:szCs w:val="24"/>
        </w:rPr>
      </w:pPr>
    </w:p>
    <w:p w:rsidR="00DD2319" w:rsidRPr="00E66915" w:rsidRDefault="00DD2319" w:rsidP="00DD2319">
      <w:pPr>
        <w:widowControl w:val="0"/>
        <w:suppressAutoHyphens/>
        <w:spacing w:after="0" w:line="360" w:lineRule="auto"/>
        <w:ind w:left="993" w:hanging="284"/>
        <w:jc w:val="both"/>
        <w:rPr>
          <w:rFonts w:ascii="Arial" w:hAnsi="Arial" w:cs="Arial"/>
          <w:sz w:val="24"/>
          <w:szCs w:val="24"/>
        </w:rPr>
      </w:pPr>
      <w:r w:rsidRPr="00E66915">
        <w:rPr>
          <w:rFonts w:ascii="Arial" w:hAnsi="Arial" w:cs="Arial"/>
          <w:sz w:val="24"/>
          <w:szCs w:val="24"/>
        </w:rPr>
        <w:t>e</w:t>
      </w:r>
      <w:r>
        <w:rPr>
          <w:rFonts w:ascii="Arial" w:hAnsi="Arial" w:cs="Arial"/>
          <w:sz w:val="24"/>
          <w:szCs w:val="24"/>
        </w:rPr>
        <w:t>)</w:t>
      </w:r>
      <w:r w:rsidRPr="00E66915">
        <w:rPr>
          <w:rFonts w:ascii="Arial" w:hAnsi="Arial" w:cs="Arial"/>
          <w:sz w:val="24"/>
          <w:szCs w:val="24"/>
        </w:rPr>
        <w:t xml:space="preserve"> y f)</w:t>
      </w:r>
      <w:r>
        <w:rPr>
          <w:rFonts w:ascii="Arial" w:hAnsi="Arial" w:cs="Arial"/>
          <w:b/>
          <w:sz w:val="24"/>
          <w:szCs w:val="24"/>
        </w:rPr>
        <w:t xml:space="preserve"> </w:t>
      </w:r>
      <w:r w:rsidRPr="001A5977">
        <w:rPr>
          <w:rFonts w:ascii="Arial" w:hAnsi="Arial" w:cs="Arial"/>
          <w:sz w:val="24"/>
          <w:szCs w:val="24"/>
        </w:rPr>
        <w:t>…</w:t>
      </w:r>
    </w:p>
    <w:p w:rsidR="00DD2319" w:rsidRPr="00E66915" w:rsidRDefault="00DD2319" w:rsidP="00DD2319">
      <w:pPr>
        <w:widowControl w:val="0"/>
        <w:suppressAutoHyphens/>
        <w:spacing w:after="0" w:line="360" w:lineRule="auto"/>
        <w:ind w:left="284" w:hanging="454"/>
        <w:rPr>
          <w:rFonts w:ascii="Arial" w:hAnsi="Arial" w:cs="Arial"/>
          <w:sz w:val="24"/>
          <w:szCs w:val="24"/>
        </w:rPr>
      </w:pPr>
    </w:p>
    <w:p w:rsidR="00DD2319" w:rsidRPr="00E66915" w:rsidRDefault="00DD2319" w:rsidP="00DD2319">
      <w:pPr>
        <w:widowControl w:val="0"/>
        <w:suppressAutoHyphens/>
        <w:spacing w:after="0" w:line="360" w:lineRule="auto"/>
        <w:ind w:left="284"/>
        <w:jc w:val="both"/>
        <w:rPr>
          <w:rFonts w:ascii="Arial" w:hAnsi="Arial" w:cs="Arial"/>
          <w:sz w:val="24"/>
          <w:szCs w:val="24"/>
        </w:rPr>
      </w:pPr>
      <w:r>
        <w:rPr>
          <w:rFonts w:ascii="Arial" w:hAnsi="Arial" w:cs="Arial"/>
          <w:sz w:val="24"/>
          <w:szCs w:val="24"/>
        </w:rPr>
        <w:t>2. a</w:t>
      </w:r>
      <w:r w:rsidRPr="00E66915">
        <w:rPr>
          <w:rFonts w:ascii="Arial" w:hAnsi="Arial" w:cs="Arial"/>
          <w:sz w:val="24"/>
          <w:szCs w:val="24"/>
        </w:rPr>
        <w:t xml:space="preserve">l 4. </w:t>
      </w:r>
      <w:r w:rsidRPr="001A5977">
        <w:rPr>
          <w:rFonts w:ascii="Arial" w:hAnsi="Arial" w:cs="Arial"/>
          <w:sz w:val="24"/>
          <w:szCs w:val="24"/>
        </w:rPr>
        <w:t>…</w:t>
      </w:r>
    </w:p>
    <w:p w:rsidR="00DD2319" w:rsidRDefault="00DD2319" w:rsidP="00DD2319">
      <w:pPr>
        <w:spacing w:after="0"/>
        <w:rPr>
          <w:rFonts w:ascii="Arial" w:hAnsi="Arial" w:cs="Arial"/>
          <w:b/>
          <w:sz w:val="24"/>
          <w:szCs w:val="24"/>
        </w:rPr>
      </w:pPr>
    </w:p>
    <w:p w:rsidR="00DD2319" w:rsidRPr="00CD250E" w:rsidRDefault="00DD2319" w:rsidP="00DD2319">
      <w:pPr>
        <w:spacing w:after="0"/>
        <w:rPr>
          <w:rFonts w:ascii="Arial" w:hAnsi="Arial" w:cs="Arial"/>
          <w:b/>
          <w:sz w:val="24"/>
          <w:szCs w:val="24"/>
        </w:rPr>
      </w:pPr>
    </w:p>
    <w:p w:rsidR="00DD2319" w:rsidRDefault="00DD2319" w:rsidP="00DD2319">
      <w:pPr>
        <w:widowControl w:val="0"/>
        <w:suppressAutoHyphens/>
        <w:spacing w:after="0"/>
        <w:rPr>
          <w:rFonts w:ascii="Arial" w:hAnsi="Arial" w:cs="Arial"/>
          <w:b/>
          <w:sz w:val="24"/>
          <w:szCs w:val="24"/>
        </w:rPr>
      </w:pPr>
      <w:r w:rsidRPr="00CD250E">
        <w:rPr>
          <w:rFonts w:ascii="Arial" w:hAnsi="Arial" w:cs="Arial"/>
          <w:b/>
          <w:sz w:val="24"/>
          <w:szCs w:val="24"/>
        </w:rPr>
        <w:t xml:space="preserve">Artículo 179. </w:t>
      </w:r>
    </w:p>
    <w:p w:rsidR="00DD2319" w:rsidRPr="00CD250E" w:rsidRDefault="00DD2319" w:rsidP="00DD2319">
      <w:pPr>
        <w:widowControl w:val="0"/>
        <w:suppressAutoHyphens/>
        <w:spacing w:after="0"/>
        <w:rPr>
          <w:rFonts w:ascii="Arial" w:hAnsi="Arial" w:cs="Arial"/>
          <w:b/>
          <w:sz w:val="24"/>
          <w:szCs w:val="24"/>
        </w:rPr>
      </w:pPr>
    </w:p>
    <w:p w:rsidR="00DD2319" w:rsidRPr="005D1CEF" w:rsidRDefault="00DD2319" w:rsidP="00DD2319">
      <w:pPr>
        <w:widowControl w:val="0"/>
        <w:numPr>
          <w:ilvl w:val="0"/>
          <w:numId w:val="3"/>
        </w:numPr>
        <w:suppressAutoHyphens/>
        <w:spacing w:after="0" w:line="240" w:lineRule="auto"/>
        <w:jc w:val="both"/>
        <w:rPr>
          <w:rFonts w:ascii="Arial" w:hAnsi="Arial" w:cs="Arial"/>
          <w:sz w:val="24"/>
          <w:szCs w:val="24"/>
        </w:rPr>
      </w:pPr>
      <w:r w:rsidRPr="005D1CEF">
        <w:rPr>
          <w:rFonts w:ascii="Arial" w:hAnsi="Arial" w:cs="Arial"/>
          <w:sz w:val="24"/>
          <w:szCs w:val="24"/>
        </w:rPr>
        <w:lastRenderedPageBreak/>
        <w:t>…</w:t>
      </w:r>
    </w:p>
    <w:p w:rsidR="00DD2319" w:rsidRDefault="00DD2319" w:rsidP="00DD2319">
      <w:pPr>
        <w:widowControl w:val="0"/>
        <w:suppressAutoHyphens/>
        <w:spacing w:after="0"/>
        <w:ind w:left="284" w:hanging="454"/>
        <w:rPr>
          <w:rFonts w:ascii="Arial" w:hAnsi="Arial" w:cs="Arial"/>
          <w:sz w:val="24"/>
          <w:szCs w:val="24"/>
        </w:rPr>
      </w:pPr>
    </w:p>
    <w:p w:rsidR="00DD2319" w:rsidRPr="00CD250E" w:rsidRDefault="00DD2319" w:rsidP="00DD2319">
      <w:pPr>
        <w:widowControl w:val="0"/>
        <w:suppressAutoHyphens/>
        <w:spacing w:after="0"/>
        <w:ind w:left="284" w:hanging="454"/>
        <w:rPr>
          <w:rFonts w:ascii="Arial" w:hAnsi="Arial" w:cs="Arial"/>
          <w:sz w:val="24"/>
          <w:szCs w:val="24"/>
        </w:rPr>
      </w:pPr>
    </w:p>
    <w:p w:rsidR="00DD2319" w:rsidRPr="00CD250E" w:rsidRDefault="00DD2319" w:rsidP="00DD2319">
      <w:pPr>
        <w:widowControl w:val="0"/>
        <w:numPr>
          <w:ilvl w:val="0"/>
          <w:numId w:val="3"/>
        </w:numPr>
        <w:suppressAutoHyphens/>
        <w:spacing w:after="0" w:line="360" w:lineRule="auto"/>
        <w:jc w:val="both"/>
        <w:rPr>
          <w:rFonts w:ascii="Arial" w:hAnsi="Arial" w:cs="Arial"/>
          <w:sz w:val="24"/>
          <w:szCs w:val="24"/>
        </w:rPr>
      </w:pPr>
      <w:r w:rsidRPr="00CD250E">
        <w:rPr>
          <w:rFonts w:ascii="Arial" w:hAnsi="Arial" w:cs="Arial"/>
          <w:sz w:val="24"/>
          <w:szCs w:val="24"/>
        </w:rPr>
        <w:t xml:space="preserve">La plataforma electoral deberá presentarse para su registro ante el Consejo General del Instituto, </w:t>
      </w:r>
      <w:r w:rsidRPr="00FD260E">
        <w:rPr>
          <w:rFonts w:ascii="Arial" w:hAnsi="Arial" w:cs="Arial"/>
          <w:sz w:val="24"/>
          <w:szCs w:val="24"/>
        </w:rPr>
        <w:t xml:space="preserve">a más tardar el quince de </w:t>
      </w:r>
      <w:r>
        <w:rPr>
          <w:rFonts w:ascii="Arial" w:hAnsi="Arial" w:cs="Arial"/>
          <w:sz w:val="24"/>
          <w:szCs w:val="24"/>
        </w:rPr>
        <w:t>enero</w:t>
      </w:r>
      <w:r w:rsidRPr="00FD260E">
        <w:rPr>
          <w:rFonts w:ascii="Arial" w:hAnsi="Arial" w:cs="Arial"/>
          <w:sz w:val="24"/>
          <w:szCs w:val="24"/>
        </w:rPr>
        <w:t xml:space="preserve"> del año de la elección.</w:t>
      </w:r>
      <w:r w:rsidRPr="00CD250E">
        <w:rPr>
          <w:rFonts w:ascii="Arial" w:hAnsi="Arial" w:cs="Arial"/>
          <w:sz w:val="24"/>
          <w:szCs w:val="24"/>
        </w:rPr>
        <w:t xml:space="preserve"> Del registro se expedirá constancia.</w:t>
      </w:r>
    </w:p>
    <w:p w:rsidR="00DD2319" w:rsidRDefault="00DD2319" w:rsidP="00DD2319">
      <w:pPr>
        <w:spacing w:after="0"/>
        <w:rPr>
          <w:rFonts w:ascii="Arial" w:hAnsi="Arial" w:cs="Arial"/>
          <w:b/>
          <w:sz w:val="24"/>
          <w:szCs w:val="24"/>
        </w:rPr>
      </w:pPr>
    </w:p>
    <w:p w:rsidR="00DD2319" w:rsidRPr="00D9513F" w:rsidRDefault="00DD2319" w:rsidP="00DD2319">
      <w:pPr>
        <w:rPr>
          <w:rFonts w:ascii="Arial" w:hAnsi="Arial" w:cs="Arial"/>
          <w:b/>
          <w:sz w:val="24"/>
          <w:szCs w:val="24"/>
        </w:rPr>
      </w:pPr>
      <w:r w:rsidRPr="00D9513F">
        <w:rPr>
          <w:rFonts w:ascii="Arial" w:hAnsi="Arial" w:cs="Arial"/>
          <w:b/>
          <w:sz w:val="24"/>
          <w:szCs w:val="24"/>
        </w:rPr>
        <w:t>Artículo 193.</w:t>
      </w:r>
    </w:p>
    <w:p w:rsidR="00DD2319" w:rsidRPr="00D9513F" w:rsidRDefault="00DD2319" w:rsidP="00DD2319">
      <w:pPr>
        <w:widowControl w:val="0"/>
        <w:numPr>
          <w:ilvl w:val="0"/>
          <w:numId w:val="8"/>
        </w:numPr>
        <w:suppressAutoHyphens/>
        <w:spacing w:after="0" w:line="240" w:lineRule="auto"/>
        <w:jc w:val="both"/>
        <w:rPr>
          <w:rFonts w:ascii="Arial" w:hAnsi="Arial" w:cs="Arial"/>
          <w:sz w:val="24"/>
          <w:szCs w:val="24"/>
        </w:rPr>
      </w:pPr>
      <w:r w:rsidRPr="00D9513F">
        <w:rPr>
          <w:rFonts w:ascii="Arial" w:hAnsi="Arial" w:cs="Arial"/>
          <w:sz w:val="24"/>
          <w:szCs w:val="24"/>
        </w:rPr>
        <w:t>....</w:t>
      </w:r>
    </w:p>
    <w:p w:rsidR="00DD2319" w:rsidRPr="00F646B4" w:rsidRDefault="00DD2319" w:rsidP="00DD2319">
      <w:pPr>
        <w:widowControl w:val="0"/>
        <w:suppressAutoHyphens/>
        <w:rPr>
          <w:rFonts w:ascii="Arial" w:hAnsi="Arial" w:cs="Arial"/>
          <w:sz w:val="24"/>
          <w:szCs w:val="24"/>
        </w:rPr>
      </w:pPr>
    </w:p>
    <w:p w:rsidR="00DD2319" w:rsidRPr="00F646B4" w:rsidRDefault="00DD2319" w:rsidP="00DD2319">
      <w:pPr>
        <w:widowControl w:val="0"/>
        <w:numPr>
          <w:ilvl w:val="0"/>
          <w:numId w:val="8"/>
        </w:numPr>
        <w:suppressAutoHyphens/>
        <w:spacing w:after="0" w:line="360" w:lineRule="auto"/>
        <w:ind w:hanging="357"/>
        <w:jc w:val="both"/>
        <w:rPr>
          <w:rFonts w:ascii="Arial" w:hAnsi="Arial" w:cs="Arial"/>
          <w:sz w:val="24"/>
          <w:szCs w:val="24"/>
        </w:rPr>
      </w:pPr>
      <w:r w:rsidRPr="00F646B4">
        <w:rPr>
          <w:rFonts w:ascii="Arial" w:hAnsi="Arial" w:cs="Arial"/>
          <w:sz w:val="24"/>
          <w:szCs w:val="24"/>
        </w:rPr>
        <w:t>Las campañas en que se renueve el Poder Legislativo, tendrán una duración de cuarenta días.</w:t>
      </w:r>
    </w:p>
    <w:p w:rsidR="00DD2319" w:rsidRPr="00D9513F" w:rsidRDefault="00DD2319" w:rsidP="00DD2319">
      <w:pPr>
        <w:rPr>
          <w:rFonts w:ascii="Arial" w:hAnsi="Arial" w:cs="Arial"/>
          <w:sz w:val="24"/>
          <w:szCs w:val="24"/>
        </w:rPr>
      </w:pPr>
    </w:p>
    <w:p w:rsidR="00DD2319" w:rsidRPr="00D9513F" w:rsidRDefault="00DD2319" w:rsidP="00DD2319">
      <w:pPr>
        <w:widowControl w:val="0"/>
        <w:numPr>
          <w:ilvl w:val="0"/>
          <w:numId w:val="8"/>
        </w:numPr>
        <w:suppressAutoHyphens/>
        <w:spacing w:after="0" w:line="240" w:lineRule="auto"/>
        <w:jc w:val="both"/>
        <w:rPr>
          <w:rFonts w:ascii="Arial Narrow" w:hAnsi="Arial Narrow" w:cs="Arial"/>
          <w:sz w:val="24"/>
          <w:szCs w:val="24"/>
        </w:rPr>
      </w:pPr>
      <w:r w:rsidRPr="00D9513F">
        <w:rPr>
          <w:rFonts w:ascii="Arial" w:hAnsi="Arial" w:cs="Arial"/>
          <w:sz w:val="24"/>
          <w:szCs w:val="24"/>
        </w:rPr>
        <w:t>a 6.</w:t>
      </w:r>
      <w:r w:rsidRPr="00D9513F">
        <w:rPr>
          <w:rFonts w:ascii="Arial Narrow" w:hAnsi="Arial Narrow" w:cs="Arial"/>
          <w:sz w:val="24"/>
          <w:szCs w:val="24"/>
        </w:rPr>
        <w:t xml:space="preserve"> ...</w:t>
      </w:r>
    </w:p>
    <w:p w:rsidR="00DD2319" w:rsidRPr="00CD250E" w:rsidRDefault="00DD2319" w:rsidP="00DD2319">
      <w:pPr>
        <w:spacing w:after="0"/>
        <w:rPr>
          <w:rFonts w:ascii="Arial" w:hAnsi="Arial" w:cs="Arial"/>
          <w:b/>
          <w:sz w:val="24"/>
          <w:szCs w:val="24"/>
        </w:rPr>
      </w:pPr>
    </w:p>
    <w:p w:rsidR="00DD2319" w:rsidRDefault="00DD2319" w:rsidP="00DD2319">
      <w:pPr>
        <w:spacing w:after="0"/>
        <w:rPr>
          <w:rFonts w:ascii="Arial" w:hAnsi="Arial" w:cs="Arial"/>
          <w:sz w:val="24"/>
          <w:szCs w:val="24"/>
        </w:rPr>
      </w:pPr>
      <w:r w:rsidRPr="00CD250E">
        <w:rPr>
          <w:rFonts w:ascii="Arial" w:hAnsi="Arial" w:cs="Arial"/>
          <w:b/>
          <w:sz w:val="24"/>
          <w:szCs w:val="24"/>
        </w:rPr>
        <w:t>Artículo 344.</w:t>
      </w:r>
      <w:r w:rsidRPr="00CD250E">
        <w:rPr>
          <w:rFonts w:ascii="Arial" w:hAnsi="Arial" w:cs="Arial"/>
          <w:sz w:val="24"/>
          <w:szCs w:val="24"/>
        </w:rPr>
        <w:t xml:space="preserve"> </w:t>
      </w:r>
    </w:p>
    <w:p w:rsidR="00DD2319" w:rsidRPr="00CD250E" w:rsidRDefault="00DD2319" w:rsidP="00DD2319">
      <w:pPr>
        <w:spacing w:after="0"/>
        <w:rPr>
          <w:rFonts w:ascii="Arial" w:hAnsi="Arial" w:cs="Arial"/>
          <w:sz w:val="24"/>
          <w:szCs w:val="24"/>
        </w:rPr>
      </w:pPr>
    </w:p>
    <w:p w:rsidR="00DD2319" w:rsidRPr="005D1CEF" w:rsidRDefault="00DD2319" w:rsidP="00DD2319">
      <w:pPr>
        <w:numPr>
          <w:ilvl w:val="0"/>
          <w:numId w:val="4"/>
        </w:numPr>
        <w:spacing w:after="0" w:line="240" w:lineRule="auto"/>
        <w:jc w:val="both"/>
        <w:rPr>
          <w:rFonts w:ascii="Arial" w:hAnsi="Arial" w:cs="Arial"/>
          <w:sz w:val="24"/>
          <w:szCs w:val="24"/>
        </w:rPr>
      </w:pPr>
      <w:r w:rsidRPr="005D1CEF">
        <w:rPr>
          <w:rFonts w:ascii="Arial" w:hAnsi="Arial" w:cs="Arial"/>
          <w:sz w:val="24"/>
          <w:szCs w:val="24"/>
        </w:rPr>
        <w:t xml:space="preserve">… </w:t>
      </w:r>
    </w:p>
    <w:p w:rsidR="00DD2319" w:rsidRPr="00CD250E" w:rsidRDefault="00DD2319" w:rsidP="00DD2319">
      <w:pPr>
        <w:spacing w:after="0"/>
        <w:rPr>
          <w:rFonts w:ascii="Arial" w:hAnsi="Arial" w:cs="Arial"/>
          <w:sz w:val="24"/>
          <w:szCs w:val="24"/>
        </w:rPr>
      </w:pPr>
      <w:r w:rsidRPr="00CD250E">
        <w:rPr>
          <w:rFonts w:ascii="Arial" w:hAnsi="Arial" w:cs="Arial"/>
          <w:sz w:val="24"/>
          <w:szCs w:val="24"/>
        </w:rPr>
        <w:t xml:space="preserve"> </w:t>
      </w:r>
    </w:p>
    <w:p w:rsidR="00DD2319" w:rsidRPr="00CD250E" w:rsidRDefault="00DD2319" w:rsidP="00DD2319">
      <w:pPr>
        <w:numPr>
          <w:ilvl w:val="0"/>
          <w:numId w:val="5"/>
        </w:numPr>
        <w:tabs>
          <w:tab w:val="left" w:pos="0"/>
        </w:tabs>
        <w:spacing w:after="0" w:line="240" w:lineRule="auto"/>
        <w:ind w:left="993"/>
        <w:jc w:val="both"/>
        <w:rPr>
          <w:rFonts w:ascii="Arial" w:hAnsi="Arial" w:cs="Arial"/>
          <w:sz w:val="24"/>
          <w:szCs w:val="24"/>
        </w:rPr>
      </w:pPr>
      <w:r>
        <w:rPr>
          <w:rFonts w:ascii="Arial" w:hAnsi="Arial" w:cs="Arial"/>
          <w:sz w:val="24"/>
          <w:szCs w:val="24"/>
        </w:rPr>
        <w:t>a</w:t>
      </w:r>
      <w:r w:rsidRPr="00CD250E">
        <w:rPr>
          <w:rFonts w:ascii="Arial" w:hAnsi="Arial" w:cs="Arial"/>
          <w:sz w:val="24"/>
          <w:szCs w:val="24"/>
        </w:rPr>
        <w:t xml:space="preserve">l </w:t>
      </w:r>
      <w:proofErr w:type="spellStart"/>
      <w:r w:rsidRPr="00CD250E">
        <w:rPr>
          <w:rFonts w:ascii="Arial" w:hAnsi="Arial" w:cs="Arial"/>
          <w:sz w:val="24"/>
          <w:szCs w:val="24"/>
        </w:rPr>
        <w:t>bb</w:t>
      </w:r>
      <w:proofErr w:type="spellEnd"/>
      <w:r w:rsidRPr="00CD250E">
        <w:rPr>
          <w:rFonts w:ascii="Arial" w:hAnsi="Arial" w:cs="Arial"/>
          <w:sz w:val="24"/>
          <w:szCs w:val="24"/>
        </w:rPr>
        <w:t xml:space="preserve">) </w:t>
      </w:r>
      <w:r w:rsidRPr="005D1CEF">
        <w:rPr>
          <w:rFonts w:ascii="Arial" w:hAnsi="Arial" w:cs="Arial"/>
          <w:sz w:val="24"/>
          <w:szCs w:val="24"/>
        </w:rPr>
        <w:t>…</w:t>
      </w:r>
    </w:p>
    <w:p w:rsidR="00DD2319" w:rsidRPr="00CD250E" w:rsidRDefault="00DD2319" w:rsidP="00DD2319">
      <w:pPr>
        <w:tabs>
          <w:tab w:val="left" w:pos="0"/>
        </w:tabs>
        <w:spacing w:after="0"/>
        <w:ind w:left="993" w:hanging="454"/>
        <w:rPr>
          <w:rFonts w:ascii="Arial" w:hAnsi="Arial" w:cs="Arial"/>
          <w:sz w:val="24"/>
          <w:szCs w:val="24"/>
        </w:rPr>
      </w:pPr>
    </w:p>
    <w:p w:rsidR="00DD2319" w:rsidRPr="00CD250E" w:rsidRDefault="00DD2319" w:rsidP="00DD2319">
      <w:pPr>
        <w:spacing w:after="0" w:line="360" w:lineRule="auto"/>
        <w:ind w:left="993" w:hanging="426"/>
        <w:jc w:val="both"/>
        <w:rPr>
          <w:rFonts w:ascii="Arial" w:hAnsi="Arial" w:cs="Arial"/>
          <w:sz w:val="24"/>
          <w:szCs w:val="24"/>
        </w:rPr>
      </w:pPr>
      <w:r w:rsidRPr="00CD250E">
        <w:rPr>
          <w:rFonts w:ascii="Arial" w:hAnsi="Arial" w:cs="Arial"/>
          <w:sz w:val="24"/>
          <w:szCs w:val="24"/>
        </w:rPr>
        <w:t>cc) Resolver respecto a los proyectos de dictamen, acuerdo o resolución que se sometan a su consideración por la presidencia del Consejo General, las Comisiones o el Secretario Ejecutivo del Instituto, en la esfera de su competencia;</w:t>
      </w:r>
      <w:r>
        <w:rPr>
          <w:rFonts w:ascii="Arial" w:hAnsi="Arial" w:cs="Arial"/>
          <w:sz w:val="24"/>
          <w:szCs w:val="24"/>
        </w:rPr>
        <w:t xml:space="preserve"> y</w:t>
      </w:r>
    </w:p>
    <w:p w:rsidR="00DD2319" w:rsidRDefault="00DD2319" w:rsidP="00DD2319">
      <w:pPr>
        <w:spacing w:after="0" w:line="360" w:lineRule="auto"/>
        <w:ind w:left="993" w:hanging="426"/>
        <w:jc w:val="both"/>
        <w:rPr>
          <w:rFonts w:ascii="Arial" w:hAnsi="Arial" w:cs="Arial"/>
          <w:sz w:val="24"/>
          <w:szCs w:val="24"/>
        </w:rPr>
      </w:pPr>
    </w:p>
    <w:p w:rsidR="00DD2319" w:rsidRPr="00093EBE" w:rsidRDefault="00DD2319" w:rsidP="00DD2319">
      <w:pPr>
        <w:spacing w:after="0" w:line="360" w:lineRule="auto"/>
        <w:ind w:left="993" w:hanging="426"/>
        <w:jc w:val="both"/>
        <w:rPr>
          <w:rFonts w:ascii="Arial" w:hAnsi="Arial" w:cs="Arial"/>
          <w:sz w:val="24"/>
          <w:szCs w:val="24"/>
          <w:lang w:val="en-US"/>
        </w:rPr>
      </w:pPr>
      <w:proofErr w:type="spellStart"/>
      <w:r w:rsidRPr="00093EBE">
        <w:rPr>
          <w:rFonts w:ascii="Arial" w:hAnsi="Arial" w:cs="Arial"/>
          <w:sz w:val="24"/>
          <w:szCs w:val="24"/>
          <w:lang w:val="en-US"/>
        </w:rPr>
        <w:t>dd</w:t>
      </w:r>
      <w:proofErr w:type="spellEnd"/>
      <w:r w:rsidRPr="00093EBE">
        <w:rPr>
          <w:rFonts w:ascii="Arial" w:hAnsi="Arial" w:cs="Arial"/>
          <w:sz w:val="24"/>
          <w:szCs w:val="24"/>
          <w:lang w:val="en-US"/>
        </w:rPr>
        <w:t>) …</w:t>
      </w:r>
    </w:p>
    <w:p w:rsidR="00DD2319" w:rsidRPr="00093EBE" w:rsidRDefault="00DD2319" w:rsidP="00DD2319">
      <w:pPr>
        <w:spacing w:after="0" w:line="360" w:lineRule="auto"/>
        <w:jc w:val="both"/>
        <w:rPr>
          <w:rFonts w:ascii="Arial" w:hAnsi="Arial" w:cs="Arial"/>
          <w:sz w:val="24"/>
          <w:szCs w:val="24"/>
          <w:lang w:val="en-US"/>
        </w:rPr>
      </w:pPr>
    </w:p>
    <w:p w:rsidR="00DD2319" w:rsidRPr="00093EBE" w:rsidRDefault="00DD2319" w:rsidP="00DD2319">
      <w:pPr>
        <w:spacing w:after="0" w:line="360" w:lineRule="auto"/>
        <w:jc w:val="both"/>
        <w:rPr>
          <w:rFonts w:ascii="Arial" w:hAnsi="Arial" w:cs="Arial"/>
          <w:sz w:val="24"/>
          <w:szCs w:val="24"/>
          <w:lang w:val="en-US"/>
        </w:rPr>
      </w:pPr>
    </w:p>
    <w:p w:rsidR="00DD2319" w:rsidRPr="00CD250E" w:rsidRDefault="00DD2319" w:rsidP="00DD2319">
      <w:pPr>
        <w:spacing w:after="0" w:line="360" w:lineRule="auto"/>
        <w:jc w:val="center"/>
        <w:rPr>
          <w:rFonts w:ascii="Arial" w:hAnsi="Arial" w:cs="Arial"/>
          <w:b/>
          <w:sz w:val="24"/>
          <w:szCs w:val="24"/>
          <w:lang w:val="en-US"/>
        </w:rPr>
      </w:pPr>
      <w:r w:rsidRPr="00CD250E">
        <w:rPr>
          <w:rFonts w:ascii="Arial" w:hAnsi="Arial" w:cs="Arial"/>
          <w:b/>
          <w:sz w:val="24"/>
          <w:szCs w:val="24"/>
          <w:lang w:val="en-US"/>
        </w:rPr>
        <w:t>T R A N S I T O R I O S</w:t>
      </w:r>
    </w:p>
    <w:p w:rsidR="00DD2319" w:rsidRPr="00CD250E" w:rsidRDefault="00DD2319" w:rsidP="00DD2319">
      <w:pPr>
        <w:spacing w:after="0" w:line="360" w:lineRule="auto"/>
        <w:jc w:val="both"/>
        <w:rPr>
          <w:rFonts w:ascii="Arial" w:hAnsi="Arial" w:cs="Arial"/>
          <w:b/>
          <w:sz w:val="24"/>
          <w:szCs w:val="24"/>
          <w:lang w:val="en-US"/>
        </w:rPr>
      </w:pPr>
    </w:p>
    <w:p w:rsidR="00DD2319" w:rsidRPr="00CD250E" w:rsidRDefault="00DD2319" w:rsidP="00DD2319">
      <w:pPr>
        <w:spacing w:after="0" w:line="360" w:lineRule="auto"/>
        <w:jc w:val="both"/>
        <w:rPr>
          <w:rFonts w:ascii="Arial" w:hAnsi="Arial" w:cs="Arial"/>
          <w:sz w:val="24"/>
          <w:szCs w:val="24"/>
        </w:rPr>
      </w:pPr>
      <w:r w:rsidRPr="00CD250E">
        <w:rPr>
          <w:rFonts w:ascii="Arial" w:hAnsi="Arial" w:cs="Arial"/>
          <w:b/>
          <w:sz w:val="24"/>
          <w:szCs w:val="24"/>
        </w:rPr>
        <w:t>PRIMERO.</w:t>
      </w:r>
      <w:r>
        <w:rPr>
          <w:rFonts w:ascii="Arial" w:hAnsi="Arial" w:cs="Arial"/>
          <w:b/>
          <w:sz w:val="24"/>
          <w:szCs w:val="24"/>
        </w:rPr>
        <w:t>-</w:t>
      </w:r>
      <w:r w:rsidRPr="00CD250E">
        <w:rPr>
          <w:rFonts w:ascii="Arial" w:hAnsi="Arial" w:cs="Arial"/>
          <w:b/>
          <w:sz w:val="24"/>
          <w:szCs w:val="24"/>
        </w:rPr>
        <w:t xml:space="preserve"> </w:t>
      </w:r>
      <w:r w:rsidRPr="00CD250E">
        <w:rPr>
          <w:rFonts w:ascii="Arial" w:hAnsi="Arial" w:cs="Arial"/>
          <w:sz w:val="24"/>
          <w:szCs w:val="24"/>
        </w:rPr>
        <w:t>El presente decreto entrará en vigor al día siguiente de su publicación en el Periódico Oficial del Gobierno del Estado.</w:t>
      </w:r>
    </w:p>
    <w:p w:rsidR="00DD2319" w:rsidRPr="00844E25" w:rsidRDefault="00DD2319" w:rsidP="00DD2319">
      <w:pPr>
        <w:jc w:val="both"/>
      </w:pPr>
    </w:p>
    <w:p w:rsidR="00DD2319" w:rsidRPr="00844E25" w:rsidRDefault="00DD2319" w:rsidP="00DD2319">
      <w:pPr>
        <w:spacing w:after="0" w:line="360" w:lineRule="auto"/>
        <w:jc w:val="both"/>
        <w:rPr>
          <w:rFonts w:ascii="Arial" w:hAnsi="Arial" w:cs="Arial"/>
          <w:sz w:val="24"/>
          <w:szCs w:val="24"/>
        </w:rPr>
      </w:pPr>
      <w:r w:rsidRPr="00CD250E">
        <w:rPr>
          <w:rFonts w:ascii="Arial" w:hAnsi="Arial" w:cs="Arial"/>
          <w:b/>
          <w:sz w:val="24"/>
          <w:szCs w:val="24"/>
        </w:rPr>
        <w:t>SEGUNDO.</w:t>
      </w:r>
      <w:r>
        <w:rPr>
          <w:rFonts w:ascii="Arial" w:hAnsi="Arial" w:cs="Arial"/>
          <w:b/>
          <w:sz w:val="24"/>
          <w:szCs w:val="24"/>
        </w:rPr>
        <w:t>-</w:t>
      </w:r>
      <w:r w:rsidRPr="00CD250E">
        <w:rPr>
          <w:rFonts w:ascii="Arial" w:hAnsi="Arial" w:cs="Arial"/>
          <w:b/>
          <w:sz w:val="24"/>
          <w:szCs w:val="24"/>
        </w:rPr>
        <w:t xml:space="preserve"> </w:t>
      </w:r>
      <w:r w:rsidRPr="00CD250E">
        <w:rPr>
          <w:rFonts w:ascii="Arial" w:hAnsi="Arial" w:cs="Arial"/>
          <w:sz w:val="24"/>
          <w:szCs w:val="24"/>
        </w:rPr>
        <w:t>Se derogan las disposiciones que se opongan al presente decreto.</w:t>
      </w:r>
    </w:p>
    <w:p w:rsidR="00DD2319" w:rsidRPr="00AD00F3" w:rsidRDefault="00DD2319" w:rsidP="004310D4">
      <w:pPr>
        <w:spacing w:after="0" w:line="240" w:lineRule="auto"/>
        <w:jc w:val="both"/>
        <w:rPr>
          <w:rFonts w:ascii="Arial" w:hAnsi="Arial" w:cs="Arial"/>
          <w:b/>
          <w:sz w:val="25"/>
          <w:szCs w:val="25"/>
        </w:rPr>
      </w:pPr>
    </w:p>
    <w:p w:rsidR="004310D4" w:rsidRPr="00AD00F3" w:rsidRDefault="004310D4" w:rsidP="004310D4">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DADO en la Ciudad de Saltillo, Coahuila de Zaragoza, a los dieciocho días del mes de julio del año dos mil diecinueve.</w:t>
      </w:r>
    </w:p>
    <w:p w:rsidR="004310D4" w:rsidRPr="00AD00F3" w:rsidRDefault="004310D4" w:rsidP="004310D4">
      <w:pPr>
        <w:tabs>
          <w:tab w:val="left" w:pos="8749"/>
        </w:tabs>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center"/>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DIPUTADO PRESIDENTE</w:t>
      </w:r>
    </w:p>
    <w:p w:rsidR="004310D4" w:rsidRPr="00AD00F3" w:rsidRDefault="004310D4" w:rsidP="004310D4">
      <w:pPr>
        <w:tabs>
          <w:tab w:val="left" w:pos="8749"/>
        </w:tabs>
        <w:spacing w:after="0" w:line="240" w:lineRule="auto"/>
        <w:jc w:val="center"/>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center"/>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center"/>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center"/>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center"/>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center"/>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JAIME BUENO ZERTUCHE</w:t>
      </w:r>
    </w:p>
    <w:p w:rsidR="004310D4" w:rsidRPr="00AD00F3" w:rsidRDefault="004310D4" w:rsidP="004310D4">
      <w:pPr>
        <w:tabs>
          <w:tab w:val="left" w:pos="8749"/>
        </w:tabs>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tabs>
          <w:tab w:val="left" w:pos="8749"/>
        </w:tabs>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DIPUTADO SECRETARIO</w:t>
      </w:r>
      <w:r w:rsidRPr="00AD00F3">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Pr="00AD00F3">
        <w:rPr>
          <w:rFonts w:ascii="Arial" w:eastAsia="Times New Roman" w:hAnsi="Arial" w:cs="Arial"/>
          <w:b/>
          <w:snapToGrid w:val="0"/>
          <w:sz w:val="25"/>
          <w:szCs w:val="25"/>
          <w:lang w:val="es-ES_tradnl" w:eastAsia="es-ES"/>
        </w:rPr>
        <w:t>DIPUTADO SECRETARIO</w:t>
      </w: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imes New Roman" w:hAnsi="Arial" w:cs="Arial"/>
          <w:b/>
          <w:snapToGrid w:val="0"/>
          <w:sz w:val="25"/>
          <w:szCs w:val="25"/>
          <w:lang w:val="es-ES_tradnl" w:eastAsia="es-ES"/>
        </w:rPr>
      </w:pPr>
    </w:p>
    <w:p w:rsidR="004310D4" w:rsidRPr="00AD00F3" w:rsidRDefault="004310D4" w:rsidP="004310D4">
      <w:pPr>
        <w:spacing w:after="0" w:line="240" w:lineRule="auto"/>
        <w:jc w:val="both"/>
        <w:rPr>
          <w:rFonts w:ascii="Arial" w:eastAsiaTheme="minorHAnsi" w:hAnsi="Arial" w:cs="Arial"/>
          <w:sz w:val="25"/>
          <w:szCs w:val="25"/>
        </w:rPr>
      </w:pPr>
      <w:r>
        <w:rPr>
          <w:rFonts w:ascii="Arial" w:eastAsia="Times New Roman" w:hAnsi="Arial" w:cs="Arial"/>
          <w:b/>
          <w:snapToGrid w:val="0"/>
          <w:sz w:val="25"/>
          <w:szCs w:val="25"/>
          <w:lang w:val="es-ES_tradnl" w:eastAsia="es-ES"/>
        </w:rPr>
        <w:t>JUAN CARLOS GUERRA LÓPEZ NEGRETE             JESÚS ANDRÉS LOYA CARDONA</w:t>
      </w:r>
    </w:p>
    <w:p w:rsidR="004310D4" w:rsidRPr="00AD00F3" w:rsidRDefault="004310D4" w:rsidP="004310D4">
      <w:pPr>
        <w:spacing w:after="0" w:line="240" w:lineRule="auto"/>
        <w:rPr>
          <w:rFonts w:ascii="Arial" w:eastAsiaTheme="minorHAnsi" w:hAnsi="Arial" w:cs="Arial"/>
          <w:sz w:val="25"/>
          <w:szCs w:val="25"/>
        </w:rPr>
      </w:pPr>
    </w:p>
    <w:p w:rsidR="004310D4" w:rsidRPr="00AD00F3" w:rsidRDefault="004310D4" w:rsidP="004310D4">
      <w:pPr>
        <w:spacing w:after="0" w:line="240" w:lineRule="auto"/>
        <w:rPr>
          <w:rFonts w:ascii="Arial" w:eastAsiaTheme="minorHAnsi" w:hAnsi="Arial" w:cs="Arial"/>
          <w:sz w:val="25"/>
          <w:szCs w:val="25"/>
        </w:rPr>
      </w:pPr>
    </w:p>
    <w:p w:rsidR="004310D4" w:rsidRPr="00AD00F3" w:rsidRDefault="004310D4" w:rsidP="004310D4">
      <w:pPr>
        <w:spacing w:after="0" w:line="240" w:lineRule="auto"/>
        <w:rPr>
          <w:rFonts w:ascii="Arial" w:hAnsi="Arial" w:cs="Arial"/>
          <w:sz w:val="25"/>
          <w:szCs w:val="25"/>
        </w:rPr>
      </w:pPr>
    </w:p>
    <w:p w:rsidR="004310D4" w:rsidRPr="00AD00F3" w:rsidRDefault="004310D4" w:rsidP="004310D4">
      <w:pPr>
        <w:spacing w:after="0" w:line="240" w:lineRule="auto"/>
        <w:rPr>
          <w:rFonts w:ascii="Arial" w:hAnsi="Arial" w:cs="Arial"/>
          <w:sz w:val="25"/>
          <w:szCs w:val="25"/>
        </w:rPr>
      </w:pPr>
    </w:p>
    <w:p w:rsidR="004310D4" w:rsidRPr="00AD00F3" w:rsidRDefault="004310D4" w:rsidP="004310D4">
      <w:pPr>
        <w:spacing w:after="0" w:line="240" w:lineRule="auto"/>
        <w:rPr>
          <w:rFonts w:ascii="Arial" w:hAnsi="Arial" w:cs="Arial"/>
          <w:sz w:val="25"/>
          <w:szCs w:val="25"/>
        </w:rPr>
      </w:pPr>
    </w:p>
    <w:p w:rsidR="004310D4" w:rsidRPr="00AD00F3" w:rsidRDefault="004310D4" w:rsidP="004310D4">
      <w:pPr>
        <w:spacing w:after="0" w:line="240" w:lineRule="auto"/>
        <w:rPr>
          <w:rFonts w:ascii="Arial" w:hAnsi="Arial" w:cs="Arial"/>
          <w:sz w:val="25"/>
          <w:szCs w:val="25"/>
        </w:rPr>
      </w:pPr>
    </w:p>
    <w:p w:rsidR="004310D4" w:rsidRPr="00AD00F3" w:rsidRDefault="004310D4" w:rsidP="004310D4">
      <w:pPr>
        <w:spacing w:after="0" w:line="240" w:lineRule="auto"/>
        <w:rPr>
          <w:rFonts w:ascii="Arial" w:hAnsi="Arial" w:cs="Arial"/>
          <w:sz w:val="25"/>
          <w:szCs w:val="25"/>
        </w:rPr>
      </w:pPr>
    </w:p>
    <w:p w:rsidR="004310D4" w:rsidRPr="00AD00F3" w:rsidRDefault="004310D4" w:rsidP="004310D4">
      <w:pPr>
        <w:rPr>
          <w:rFonts w:ascii="Arial" w:hAnsi="Arial" w:cs="Arial"/>
          <w:sz w:val="25"/>
          <w:szCs w:val="25"/>
        </w:rPr>
      </w:pPr>
    </w:p>
    <w:p w:rsidR="00245157" w:rsidRDefault="00193691">
      <w:bookmarkStart w:id="0" w:name="_GoBack"/>
      <w:bookmarkEnd w:id="0"/>
    </w:p>
    <w:sectPr w:rsidR="00245157" w:rsidSect="003A6EC0">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91" w:rsidRDefault="00193691" w:rsidP="00093EBE">
      <w:pPr>
        <w:spacing w:after="0" w:line="240" w:lineRule="auto"/>
      </w:pPr>
      <w:r>
        <w:separator/>
      </w:r>
    </w:p>
  </w:endnote>
  <w:endnote w:type="continuationSeparator" w:id="0">
    <w:p w:rsidR="00193691" w:rsidRDefault="00193691" w:rsidP="0009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91" w:rsidRDefault="00193691" w:rsidP="00093EBE">
      <w:pPr>
        <w:spacing w:after="0" w:line="240" w:lineRule="auto"/>
      </w:pPr>
      <w:r>
        <w:separator/>
      </w:r>
    </w:p>
  </w:footnote>
  <w:footnote w:type="continuationSeparator" w:id="0">
    <w:p w:rsidR="00193691" w:rsidRDefault="00193691" w:rsidP="0009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93EBE" w:rsidRPr="00093EBE" w:rsidTr="0038701A">
      <w:trPr>
        <w:jc w:val="center"/>
      </w:trPr>
      <w:tc>
        <w:tcPr>
          <w:tcW w:w="1253" w:type="dxa"/>
        </w:tcPr>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tc>
      <w:tc>
        <w:tcPr>
          <w:tcW w:w="8623" w:type="dxa"/>
        </w:tcPr>
        <w:p w:rsidR="00093EBE" w:rsidRPr="00093EBE" w:rsidRDefault="00093EBE" w:rsidP="00093EBE">
          <w:pPr>
            <w:spacing w:after="0" w:line="240" w:lineRule="auto"/>
            <w:jc w:val="center"/>
            <w:rPr>
              <w:rFonts w:ascii="Arial" w:eastAsia="Times New Roman" w:hAnsi="Arial"/>
              <w:b/>
              <w:bCs/>
              <w:sz w:val="24"/>
              <w:szCs w:val="20"/>
              <w:lang w:eastAsia="es-ES"/>
            </w:rPr>
          </w:pPr>
          <w:r w:rsidRPr="00093EBE">
            <w:rPr>
              <w:rFonts w:ascii="Arial" w:eastAsia="Times New Roman" w:hAnsi="Arial"/>
              <w:b/>
              <w:bCs/>
              <w:noProof/>
              <w:sz w:val="12"/>
              <w:szCs w:val="20"/>
              <w:lang w:eastAsia="es-MX"/>
            </w:rPr>
            <w:drawing>
              <wp:anchor distT="0" distB="0" distL="114300" distR="114300" simplePos="0" relativeHeight="251660288" behindDoc="0" locked="0" layoutInCell="1" allowOverlap="1" wp14:anchorId="6E6E4D90" wp14:editId="18A27A7C">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093EBE">
            <w:rPr>
              <w:rFonts w:ascii="Arial" w:eastAsia="Times New Roman" w:hAnsi="Arial"/>
              <w:b/>
              <w:bCs/>
              <w:noProof/>
              <w:sz w:val="12"/>
              <w:szCs w:val="20"/>
              <w:lang w:eastAsia="es-MX"/>
            </w:rPr>
            <w:drawing>
              <wp:anchor distT="0" distB="0" distL="114300" distR="114300" simplePos="0" relativeHeight="251659264" behindDoc="0" locked="0" layoutInCell="1" allowOverlap="1" wp14:anchorId="2C41B38D" wp14:editId="6F91ED27">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BE" w:rsidRPr="00093EBE" w:rsidRDefault="00093EBE" w:rsidP="00093EB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93EBE">
            <w:rPr>
              <w:rFonts w:ascii="Times New Roman" w:eastAsia="Times New Roman" w:hAnsi="Times New Roman" w:cs="Arial"/>
              <w:bCs/>
              <w:smallCaps/>
              <w:spacing w:val="20"/>
              <w:sz w:val="32"/>
              <w:szCs w:val="32"/>
              <w:lang w:eastAsia="es-ES"/>
            </w:rPr>
            <w:t>Congreso del Estado Independiente,</w:t>
          </w:r>
        </w:p>
        <w:p w:rsidR="00093EBE" w:rsidRPr="00093EBE" w:rsidRDefault="00093EBE" w:rsidP="00093EB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93EBE">
            <w:rPr>
              <w:rFonts w:ascii="Times New Roman" w:eastAsia="Times New Roman" w:hAnsi="Times New Roman" w:cs="Arial"/>
              <w:bCs/>
              <w:smallCaps/>
              <w:spacing w:val="20"/>
              <w:sz w:val="32"/>
              <w:szCs w:val="32"/>
              <w:lang w:eastAsia="es-ES"/>
            </w:rPr>
            <w:t>Libre y Soberano de Coahuila de Zaragoza</w:t>
          </w:r>
        </w:p>
        <w:p w:rsidR="00093EBE" w:rsidRPr="00093EBE" w:rsidRDefault="00093EBE" w:rsidP="00093EBE">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093EBE" w:rsidRPr="00093EBE" w:rsidRDefault="00093EBE" w:rsidP="00093EBE">
          <w:pPr>
            <w:spacing w:after="0" w:line="240" w:lineRule="auto"/>
            <w:jc w:val="center"/>
            <w:rPr>
              <w:rFonts w:eastAsia="Times New Roman" w:cs="Arial"/>
              <w:b/>
              <w:sz w:val="16"/>
              <w:szCs w:val="20"/>
              <w:lang w:eastAsia="es-ES"/>
            </w:rPr>
          </w:pPr>
          <w:r w:rsidRPr="00093EBE">
            <w:rPr>
              <w:rFonts w:eastAsia="Times New Roman" w:cs="Arial"/>
              <w:b/>
              <w:sz w:val="16"/>
              <w:szCs w:val="20"/>
              <w:lang w:eastAsia="es-ES"/>
            </w:rPr>
            <w:t>“</w:t>
          </w:r>
          <w:r w:rsidRPr="00093EBE">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093EBE">
            <w:rPr>
              <w:rFonts w:eastAsia="Times New Roman" w:cs="Arial"/>
              <w:b/>
              <w:sz w:val="16"/>
              <w:szCs w:val="20"/>
              <w:lang w:eastAsia="es-ES"/>
            </w:rPr>
            <w:t>”</w:t>
          </w:r>
        </w:p>
        <w:p w:rsidR="00093EBE" w:rsidRPr="00093EBE" w:rsidRDefault="00093EBE" w:rsidP="00093EBE">
          <w:pPr>
            <w:spacing w:after="0" w:line="240" w:lineRule="auto"/>
            <w:ind w:left="-434" w:right="-672"/>
            <w:jc w:val="center"/>
            <w:rPr>
              <w:rFonts w:ascii="Arial" w:eastAsia="Times New Roman" w:hAnsi="Arial"/>
              <w:b/>
              <w:bCs/>
              <w:sz w:val="12"/>
              <w:szCs w:val="20"/>
              <w:lang w:eastAsia="es-ES"/>
            </w:rPr>
          </w:pPr>
        </w:p>
      </w:tc>
      <w:tc>
        <w:tcPr>
          <w:tcW w:w="1181" w:type="dxa"/>
        </w:tcPr>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p w:rsidR="00093EBE" w:rsidRPr="00093EBE" w:rsidRDefault="00093EBE" w:rsidP="00093EBE">
          <w:pPr>
            <w:spacing w:after="0" w:line="240" w:lineRule="auto"/>
            <w:jc w:val="center"/>
            <w:rPr>
              <w:rFonts w:ascii="Arial" w:eastAsia="Times New Roman" w:hAnsi="Arial"/>
              <w:b/>
              <w:bCs/>
              <w:sz w:val="12"/>
              <w:szCs w:val="20"/>
              <w:lang w:eastAsia="es-ES"/>
            </w:rPr>
          </w:pPr>
        </w:p>
      </w:tc>
    </w:tr>
  </w:tbl>
  <w:p w:rsidR="00093EBE" w:rsidRDefault="00093E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DF7"/>
    <w:multiLevelType w:val="hybridMultilevel"/>
    <w:tmpl w:val="16B2F9A2"/>
    <w:lvl w:ilvl="0" w:tplc="84E00F12">
      <w:start w:val="1"/>
      <w:numFmt w:val="decimal"/>
      <w:lvlText w:val="%1."/>
      <w:lvlJc w:val="left"/>
      <w:pPr>
        <w:ind w:left="550" w:hanging="360"/>
      </w:pPr>
      <w:rPr>
        <w:rFonts w:ascii="Arial" w:hAnsi="Arial" w:cs="Arial" w:hint="default"/>
        <w:b w:val="0"/>
        <w:sz w:val="24"/>
        <w:szCs w:val="24"/>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 w15:restartNumberingAfterBreak="0">
    <w:nsid w:val="20633E4D"/>
    <w:multiLevelType w:val="hybridMultilevel"/>
    <w:tmpl w:val="A13E3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0D5480"/>
    <w:multiLevelType w:val="hybridMultilevel"/>
    <w:tmpl w:val="154088E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3E6D5F"/>
    <w:multiLevelType w:val="hybridMultilevel"/>
    <w:tmpl w:val="65447030"/>
    <w:lvl w:ilvl="0" w:tplc="83E20A6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 w15:restartNumberingAfterBreak="0">
    <w:nsid w:val="54837DA9"/>
    <w:multiLevelType w:val="hybridMultilevel"/>
    <w:tmpl w:val="13AAC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AF57D4"/>
    <w:multiLevelType w:val="hybridMultilevel"/>
    <w:tmpl w:val="84F07C5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 w15:restartNumberingAfterBreak="0">
    <w:nsid w:val="6B211661"/>
    <w:multiLevelType w:val="hybridMultilevel"/>
    <w:tmpl w:val="C94878A6"/>
    <w:lvl w:ilvl="0" w:tplc="080A0017">
      <w:start w:val="1"/>
      <w:numFmt w:val="lowerLetter"/>
      <w:lvlText w:val="%1)"/>
      <w:lvlJc w:val="left"/>
      <w:pPr>
        <w:ind w:left="993" w:hanging="360"/>
      </w:p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num w:numId="1">
    <w:abstractNumId w:val="1"/>
  </w:num>
  <w:num w:numId="2">
    <w:abstractNumId w:val="4"/>
  </w:num>
  <w:num w:numId="3">
    <w:abstractNumId w:val="0"/>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D4"/>
    <w:rsid w:val="000021D4"/>
    <w:rsid w:val="000653EC"/>
    <w:rsid w:val="00093EBE"/>
    <w:rsid w:val="00193691"/>
    <w:rsid w:val="004310D4"/>
    <w:rsid w:val="004562E7"/>
    <w:rsid w:val="00C65232"/>
    <w:rsid w:val="00DD2319"/>
    <w:rsid w:val="00E12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D393E-416A-4874-86EF-1C00F6DD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D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4310D4"/>
    <w:pPr>
      <w:spacing w:after="0" w:line="240" w:lineRule="auto"/>
    </w:pPr>
  </w:style>
  <w:style w:type="character" w:customStyle="1" w:styleId="SinespaciadoCar">
    <w:name w:val="Sin espaciado Car"/>
    <w:aliases w:val="Centrado Negritas Car,ABA PIE PAG Car"/>
    <w:link w:val="Sinespaciado"/>
    <w:uiPriority w:val="1"/>
    <w:rsid w:val="004310D4"/>
  </w:style>
  <w:style w:type="paragraph" w:styleId="Prrafodelista">
    <w:name w:val="List Paragraph"/>
    <w:basedOn w:val="Normal"/>
    <w:uiPriority w:val="34"/>
    <w:qFormat/>
    <w:rsid w:val="004310D4"/>
    <w:pPr>
      <w:spacing w:after="160" w:line="259"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093E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3EBE"/>
    <w:rPr>
      <w:rFonts w:ascii="Calibri" w:eastAsia="Calibri" w:hAnsi="Calibri" w:cs="Times New Roman"/>
    </w:rPr>
  </w:style>
  <w:style w:type="paragraph" w:styleId="Piedepgina">
    <w:name w:val="footer"/>
    <w:basedOn w:val="Normal"/>
    <w:link w:val="PiedepginaCar"/>
    <w:uiPriority w:val="99"/>
    <w:unhideWhenUsed/>
    <w:rsid w:val="00093E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2019-08-07T15:11:00Z</dcterms:created>
  <dcterms:modified xsi:type="dcterms:W3CDTF">2019-08-07T15:11:00Z</dcterms:modified>
</cp:coreProperties>
</file>