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QUE EL CONGRESO DEL ESTADO INDEPENDIENTE, LIBRE Y SOBERANO DE COAHUILA DE ZARAGOZA;</w:t>
      </w: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DECRETA:</w:t>
      </w:r>
    </w:p>
    <w:p w:rsidR="007662C3" w:rsidRPr="00AD00F3" w:rsidRDefault="007662C3" w:rsidP="007662C3">
      <w:pPr>
        <w:widowControl w:val="0"/>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NÚMERO </w:t>
      </w:r>
      <w:r w:rsidR="00E81069">
        <w:rPr>
          <w:rFonts w:ascii="Arial" w:eastAsia="Times New Roman" w:hAnsi="Arial" w:cs="Arial"/>
          <w:b/>
          <w:snapToGrid w:val="0"/>
          <w:sz w:val="25"/>
          <w:szCs w:val="25"/>
          <w:lang w:val="es-ES_tradnl" w:eastAsia="es-ES"/>
        </w:rPr>
        <w:t>332</w:t>
      </w:r>
      <w:r w:rsidRPr="00AD00F3">
        <w:rPr>
          <w:rFonts w:ascii="Arial" w:eastAsia="Times New Roman" w:hAnsi="Arial" w:cs="Arial"/>
          <w:b/>
          <w:snapToGrid w:val="0"/>
          <w:sz w:val="25"/>
          <w:szCs w:val="25"/>
          <w:lang w:val="es-ES_tradnl" w:eastAsia="es-ES"/>
        </w:rPr>
        <w:t xml:space="preserve">.- </w:t>
      </w:r>
    </w:p>
    <w:p w:rsidR="007662C3" w:rsidRDefault="007662C3" w:rsidP="007662C3">
      <w:pPr>
        <w:spacing w:after="0" w:line="240" w:lineRule="auto"/>
        <w:jc w:val="both"/>
        <w:rPr>
          <w:rFonts w:ascii="Arial" w:eastAsiaTheme="minorHAnsi" w:hAnsi="Arial" w:cs="Arial"/>
          <w:b/>
          <w:sz w:val="24"/>
          <w:szCs w:val="24"/>
        </w:rPr>
      </w:pPr>
    </w:p>
    <w:p w:rsidR="007662C3" w:rsidRDefault="007662C3" w:rsidP="007662C3">
      <w:pPr>
        <w:spacing w:after="0" w:line="240" w:lineRule="auto"/>
        <w:jc w:val="both"/>
        <w:rPr>
          <w:rFonts w:ascii="Arial" w:eastAsiaTheme="minorHAnsi" w:hAnsi="Arial" w:cs="Arial"/>
          <w:b/>
          <w:sz w:val="24"/>
          <w:szCs w:val="24"/>
        </w:rPr>
      </w:pPr>
    </w:p>
    <w:p w:rsidR="007662C3" w:rsidRPr="007662C3" w:rsidRDefault="007662C3" w:rsidP="007662C3">
      <w:pPr>
        <w:spacing w:after="0"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ARTÍCULO ÚNICO.-</w:t>
      </w:r>
      <w:r w:rsidRPr="007662C3">
        <w:rPr>
          <w:rFonts w:ascii="Arial" w:eastAsia="Times New Roman" w:hAnsi="Arial" w:cs="Arial"/>
          <w:b/>
          <w:sz w:val="24"/>
          <w:szCs w:val="24"/>
          <w:lang w:eastAsia="es-ES"/>
        </w:rPr>
        <w:t xml:space="preserve"> </w:t>
      </w:r>
      <w:r w:rsidRPr="007662C3">
        <w:rPr>
          <w:rFonts w:ascii="Arial" w:eastAsia="Times New Roman" w:hAnsi="Arial" w:cs="Arial"/>
          <w:sz w:val="24"/>
          <w:szCs w:val="24"/>
          <w:lang w:eastAsia="es-ES"/>
        </w:rPr>
        <w:t>Se modifica el artículo 90 en su inciso 2) y al 184 se le adiciona la fracción XVII, del Código Penal para el Estado de Coahuila de Zaragoza, para quedar como sigue:</w:t>
      </w:r>
      <w:r w:rsidRPr="007662C3">
        <w:rPr>
          <w:rFonts w:ascii="Arial" w:eastAsia="Times New Roman" w:hAnsi="Arial" w:cs="Arial"/>
          <w:b/>
          <w:sz w:val="24"/>
          <w:szCs w:val="24"/>
          <w:lang w:eastAsia="es-ES"/>
        </w:rPr>
        <w:t xml:space="preserve"> </w:t>
      </w:r>
    </w:p>
    <w:p w:rsidR="007662C3" w:rsidRPr="007662C3" w:rsidRDefault="007662C3" w:rsidP="007662C3">
      <w:pPr>
        <w:spacing w:after="0"/>
        <w:jc w:val="both"/>
        <w:rPr>
          <w:rFonts w:ascii="Arial" w:eastAsia="Times New Roman" w:hAnsi="Arial" w:cs="Arial"/>
          <w:b/>
          <w:sz w:val="24"/>
          <w:szCs w:val="24"/>
          <w:lang w:eastAsia="es-ES"/>
        </w:rPr>
      </w:pPr>
    </w:p>
    <w:p w:rsidR="007662C3" w:rsidRPr="007662C3" w:rsidRDefault="007662C3" w:rsidP="007662C3">
      <w:pPr>
        <w:spacing w:after="0" w:line="360" w:lineRule="auto"/>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Artículo 90 …</w:t>
      </w:r>
    </w:p>
    <w:p w:rsidR="007662C3" w:rsidRDefault="007662C3" w:rsidP="007662C3">
      <w:pPr>
        <w:spacing w:after="0" w:line="360" w:lineRule="auto"/>
        <w:jc w:val="both"/>
        <w:rPr>
          <w:rFonts w:ascii="Arial" w:eastAsia="Times New Roman" w:hAnsi="Arial" w:cs="Arial"/>
          <w:b/>
          <w:sz w:val="24"/>
          <w:szCs w:val="24"/>
          <w:lang w:eastAsia="es-ES"/>
        </w:rPr>
      </w:pPr>
    </w:p>
    <w:p w:rsidR="007662C3" w:rsidRPr="007662C3" w:rsidRDefault="007662C3" w:rsidP="007662C3">
      <w:pPr>
        <w:spacing w:after="0" w:line="360" w:lineRule="auto"/>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w:t>
      </w:r>
    </w:p>
    <w:p w:rsidR="007662C3" w:rsidRPr="007662C3" w:rsidRDefault="007662C3" w:rsidP="007662C3">
      <w:pPr>
        <w:spacing w:after="0" w:line="240" w:lineRule="auto"/>
      </w:pPr>
    </w:p>
    <w:p w:rsidR="007662C3" w:rsidRDefault="007662C3" w:rsidP="007662C3">
      <w:pPr>
        <w:spacing w:after="0" w:line="360" w:lineRule="auto"/>
        <w:jc w:val="both"/>
        <w:rPr>
          <w:rFonts w:ascii="Arial" w:eastAsia="Times New Roman" w:hAnsi="Arial" w:cs="Arial"/>
          <w:b/>
          <w:sz w:val="24"/>
          <w:szCs w:val="24"/>
          <w:lang w:eastAsia="es-ES"/>
        </w:rPr>
      </w:pPr>
    </w:p>
    <w:p w:rsidR="007662C3" w:rsidRPr="007662C3" w:rsidRDefault="007662C3" w:rsidP="007662C3">
      <w:pPr>
        <w:spacing w:after="0" w:line="360" w:lineRule="auto"/>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I. …</w:t>
      </w:r>
    </w:p>
    <w:p w:rsidR="007662C3" w:rsidRPr="007662C3" w:rsidRDefault="007662C3" w:rsidP="007662C3">
      <w:pPr>
        <w:spacing w:after="0" w:line="240" w:lineRule="auto"/>
      </w:pPr>
    </w:p>
    <w:p w:rsidR="007662C3" w:rsidRDefault="007662C3" w:rsidP="007662C3">
      <w:pPr>
        <w:spacing w:after="0" w:line="360" w:lineRule="auto"/>
        <w:jc w:val="both"/>
        <w:rPr>
          <w:rFonts w:ascii="Arial" w:eastAsia="Times New Roman" w:hAnsi="Arial" w:cs="Arial"/>
          <w:b/>
          <w:sz w:val="24"/>
          <w:szCs w:val="24"/>
          <w:lang w:eastAsia="es-ES"/>
        </w:rPr>
      </w:pPr>
    </w:p>
    <w:p w:rsidR="007662C3" w:rsidRDefault="007662C3" w:rsidP="007662C3">
      <w:pPr>
        <w:spacing w:after="0" w:line="360" w:lineRule="auto"/>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II. …</w:t>
      </w:r>
    </w:p>
    <w:p w:rsidR="007662C3" w:rsidRDefault="007662C3" w:rsidP="007662C3">
      <w:pPr>
        <w:spacing w:after="0" w:line="360" w:lineRule="auto"/>
        <w:jc w:val="both"/>
        <w:rPr>
          <w:rFonts w:ascii="Arial" w:eastAsia="Times New Roman" w:hAnsi="Arial" w:cs="Arial"/>
          <w:b/>
          <w:sz w:val="24"/>
          <w:szCs w:val="24"/>
          <w:lang w:eastAsia="es-ES"/>
        </w:rPr>
      </w:pPr>
    </w:p>
    <w:p w:rsidR="007662C3" w:rsidRPr="007662C3" w:rsidRDefault="007662C3" w:rsidP="007662C3">
      <w:pPr>
        <w:spacing w:after="0" w:line="360" w:lineRule="auto"/>
        <w:jc w:val="both"/>
        <w:rPr>
          <w:rFonts w:ascii="Arial" w:eastAsia="Times New Roman" w:hAnsi="Arial" w:cs="Arial"/>
          <w:b/>
          <w:sz w:val="10"/>
          <w:szCs w:val="10"/>
          <w:lang w:eastAsia="es-ES"/>
        </w:rPr>
      </w:pPr>
    </w:p>
    <w:p w:rsidR="007662C3" w:rsidRPr="007662C3" w:rsidRDefault="007662C3" w:rsidP="007662C3">
      <w:pPr>
        <w:numPr>
          <w:ilvl w:val="0"/>
          <w:numId w:val="1"/>
        </w:numPr>
        <w:spacing w:after="0" w:line="360" w:lineRule="auto"/>
        <w:contextualSpacing/>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w:t>
      </w:r>
    </w:p>
    <w:p w:rsidR="007662C3" w:rsidRDefault="007662C3" w:rsidP="007662C3">
      <w:pPr>
        <w:tabs>
          <w:tab w:val="left" w:pos="851"/>
        </w:tabs>
        <w:spacing w:after="0" w:line="360" w:lineRule="auto"/>
        <w:ind w:left="709" w:hanging="425"/>
        <w:jc w:val="both"/>
        <w:rPr>
          <w:rFonts w:ascii="Arial" w:eastAsia="Times New Roman" w:hAnsi="Arial" w:cs="Arial"/>
          <w:sz w:val="24"/>
          <w:szCs w:val="24"/>
          <w:lang w:eastAsia="es-ES"/>
        </w:rPr>
      </w:pPr>
    </w:p>
    <w:p w:rsidR="007662C3" w:rsidRPr="007662C3" w:rsidRDefault="007662C3" w:rsidP="007662C3">
      <w:pPr>
        <w:tabs>
          <w:tab w:val="left" w:pos="851"/>
        </w:tabs>
        <w:spacing w:after="0" w:line="360" w:lineRule="auto"/>
        <w:ind w:left="709" w:hanging="425"/>
        <w:jc w:val="both"/>
        <w:rPr>
          <w:rFonts w:ascii="Arial" w:eastAsia="Times New Roman" w:hAnsi="Arial" w:cs="Arial"/>
          <w:sz w:val="24"/>
          <w:szCs w:val="24"/>
          <w:lang w:eastAsia="es-ES"/>
        </w:rPr>
      </w:pPr>
    </w:p>
    <w:p w:rsidR="007662C3" w:rsidRPr="007662C3" w:rsidRDefault="007662C3" w:rsidP="007662C3">
      <w:pPr>
        <w:numPr>
          <w:ilvl w:val="0"/>
          <w:numId w:val="1"/>
        </w:numPr>
        <w:spacing w:after="0" w:line="360" w:lineRule="auto"/>
        <w:contextualSpacing/>
        <w:jc w:val="both"/>
        <w:rPr>
          <w:rFonts w:ascii="Arial" w:eastAsia="Times New Roman" w:hAnsi="Arial" w:cs="Arial"/>
          <w:sz w:val="24"/>
          <w:szCs w:val="24"/>
          <w:lang w:eastAsia="es-ES"/>
        </w:rPr>
      </w:pPr>
      <w:r w:rsidRPr="007662C3">
        <w:rPr>
          <w:rFonts w:ascii="Arial" w:eastAsia="Times New Roman" w:hAnsi="Arial" w:cs="Arial"/>
          <w:sz w:val="24"/>
          <w:szCs w:val="24"/>
          <w:lang w:eastAsia="es-ES"/>
        </w:rPr>
        <w:t>(Pena total unificada de prisión en delito único, delitos conexos o en concurso de delitos, en los que haya un delito grave)</w:t>
      </w:r>
    </w:p>
    <w:p w:rsidR="007662C3" w:rsidRDefault="007662C3" w:rsidP="007662C3">
      <w:pPr>
        <w:tabs>
          <w:tab w:val="left" w:pos="567"/>
        </w:tabs>
        <w:spacing w:after="0" w:line="360" w:lineRule="auto"/>
        <w:ind w:left="709"/>
        <w:jc w:val="both"/>
        <w:rPr>
          <w:rFonts w:ascii="Arial" w:eastAsia="Times New Roman" w:hAnsi="Arial" w:cs="Arial"/>
          <w:sz w:val="24"/>
          <w:szCs w:val="24"/>
          <w:lang w:eastAsia="es-ES"/>
        </w:rPr>
      </w:pPr>
    </w:p>
    <w:p w:rsidR="007662C3" w:rsidRPr="007662C3" w:rsidRDefault="007662C3" w:rsidP="007662C3">
      <w:pPr>
        <w:tabs>
          <w:tab w:val="left" w:pos="567"/>
        </w:tabs>
        <w:spacing w:after="0" w:line="360" w:lineRule="auto"/>
        <w:ind w:left="709"/>
        <w:jc w:val="both"/>
        <w:rPr>
          <w:rFonts w:ascii="Arial" w:eastAsia="Times New Roman" w:hAnsi="Arial" w:cs="Arial"/>
          <w:sz w:val="24"/>
          <w:szCs w:val="24"/>
          <w:lang w:eastAsia="es-ES"/>
        </w:rPr>
      </w:pPr>
    </w:p>
    <w:p w:rsidR="007662C3" w:rsidRPr="007662C3" w:rsidRDefault="007662C3" w:rsidP="007662C3">
      <w:pPr>
        <w:spacing w:after="0" w:line="360" w:lineRule="auto"/>
        <w:ind w:left="907"/>
        <w:jc w:val="both"/>
        <w:rPr>
          <w:rFonts w:ascii="Arial" w:eastAsia="Times New Roman" w:hAnsi="Arial" w:cs="Arial"/>
          <w:sz w:val="24"/>
          <w:szCs w:val="24"/>
          <w:lang w:eastAsia="es-ES"/>
        </w:rPr>
      </w:pPr>
      <w:r w:rsidRPr="007662C3">
        <w:rPr>
          <w:rFonts w:ascii="Arial" w:eastAsia="Times New Roman" w:hAnsi="Arial" w:cs="Arial"/>
          <w:sz w:val="24"/>
          <w:szCs w:val="24"/>
          <w:lang w:eastAsia="es-ES"/>
        </w:rPr>
        <w:lastRenderedPageBreak/>
        <w:t>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la duración de la pena total unificada de prisión por todos ellos nunca podrá exceder de cuarenta años, salvo cuando concurra un homicidio cometido con alguna de las calificativas previstas en las fracciones VIII, XIII, XIV, XV,  XVI o XVII del artículo 184 de este código, caso en el que la duración total unificada de la pena de prisión, podrá llegar hasta cuarenta y cinco años.</w:t>
      </w:r>
    </w:p>
    <w:p w:rsidR="007662C3" w:rsidRPr="007662C3" w:rsidRDefault="007662C3" w:rsidP="007662C3">
      <w:pPr>
        <w:spacing w:after="0" w:line="360" w:lineRule="auto"/>
        <w:ind w:left="907"/>
        <w:jc w:val="both"/>
        <w:rPr>
          <w:rFonts w:ascii="Arial" w:eastAsia="Times New Roman" w:hAnsi="Arial" w:cs="Arial"/>
          <w:sz w:val="24"/>
          <w:szCs w:val="24"/>
          <w:lang w:eastAsia="es-ES"/>
        </w:rPr>
      </w:pPr>
    </w:p>
    <w:p w:rsidR="007662C3" w:rsidRPr="007662C3" w:rsidRDefault="007662C3" w:rsidP="007662C3">
      <w:pPr>
        <w:spacing w:after="0" w:line="360" w:lineRule="auto"/>
        <w:ind w:left="907"/>
        <w:jc w:val="both"/>
        <w:rPr>
          <w:rFonts w:ascii="Arial" w:eastAsia="Times New Roman" w:hAnsi="Arial" w:cs="Arial"/>
          <w:sz w:val="24"/>
          <w:szCs w:val="24"/>
          <w:lang w:eastAsia="es-ES"/>
        </w:rPr>
      </w:pPr>
      <w:r w:rsidRPr="007662C3">
        <w:rPr>
          <w:rFonts w:ascii="Arial" w:eastAsia="Times New Roman" w:hAnsi="Arial" w:cs="Arial"/>
          <w:sz w:val="24"/>
          <w:szCs w:val="24"/>
          <w:lang w:eastAsia="es-ES"/>
        </w:rPr>
        <w:t>Se consideran como delitos graves a efecto de determinar el tiempo máximo de duración de la pena de prisión que deba sufrir la persona sentenciada, respecto de un delito único, o de delitos conexos o derivados unos de otros, o cometidos en concurso real, ideal o complejo de delitos, ya sea que fueron imputados en un mismo proceso o en procesos distintos: el homicidio simple doloso, el homicidio calificado, el homicidio en riña con carácter de provocador, el feminicidio, el parricidio, el matricidio, el filicidio, el homicidio con acuerdo previo e indeterminación del autor o cometido en corresponsabilidad de delito emergente; la violación o violación equiparada, la violación impropia; el robo con violencia que haya causado lesiones leves o de mayor gravedad, o cuando el robo con violencia haya causado lesiones de cualquier gravedad disparando un arma de fuego, o haya intervenido en el robo uno o más miembros de las instituciones de seguridad pública; o se haya cometido homicidio y/o robo contra una o más personas que viajaban en vehículo que era conducido en tramos despoblados o desprotegidos, por caminos o carreteras federales, estatales o municipales; la asociación delictuosa, con o sin agravantes; la extorsión simple, o cometida con una o más modalidades agravantes; la simulación de retenes oficiales y las operaciones con recursos de procedencia ilícita.</w:t>
      </w:r>
    </w:p>
    <w:p w:rsidR="007662C3" w:rsidRPr="007662C3" w:rsidRDefault="007662C3" w:rsidP="007662C3">
      <w:pPr>
        <w:spacing w:after="0" w:line="360" w:lineRule="auto"/>
        <w:ind w:left="907"/>
        <w:jc w:val="both"/>
        <w:rPr>
          <w:rFonts w:ascii="Arial" w:eastAsia="Times New Roman" w:hAnsi="Arial" w:cs="Arial"/>
          <w:sz w:val="24"/>
          <w:szCs w:val="24"/>
          <w:lang w:eastAsia="es-ES"/>
        </w:rPr>
      </w:pPr>
    </w:p>
    <w:p w:rsidR="007662C3" w:rsidRPr="007662C3" w:rsidRDefault="007662C3" w:rsidP="007662C3">
      <w:pPr>
        <w:numPr>
          <w:ilvl w:val="0"/>
          <w:numId w:val="1"/>
        </w:numPr>
        <w:spacing w:after="0" w:line="360" w:lineRule="auto"/>
        <w:contextualSpacing/>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w:t>
      </w:r>
    </w:p>
    <w:p w:rsidR="007662C3" w:rsidRPr="007662C3" w:rsidRDefault="007662C3" w:rsidP="007662C3">
      <w:pPr>
        <w:spacing w:after="0" w:line="360" w:lineRule="auto"/>
        <w:ind w:left="720"/>
        <w:contextualSpacing/>
        <w:jc w:val="both"/>
        <w:rPr>
          <w:rFonts w:ascii="Arial" w:eastAsia="Times New Roman" w:hAnsi="Arial" w:cs="Arial"/>
          <w:b/>
          <w:sz w:val="24"/>
          <w:szCs w:val="24"/>
          <w:lang w:eastAsia="es-ES"/>
        </w:rPr>
      </w:pPr>
    </w:p>
    <w:p w:rsidR="007662C3" w:rsidRPr="007662C3" w:rsidRDefault="007662C3" w:rsidP="007662C3">
      <w:pPr>
        <w:spacing w:after="0" w:line="360" w:lineRule="auto"/>
        <w:contextualSpacing/>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lastRenderedPageBreak/>
        <w:t>…</w:t>
      </w:r>
    </w:p>
    <w:p w:rsidR="007662C3" w:rsidRPr="007662C3" w:rsidRDefault="007662C3" w:rsidP="007662C3">
      <w:pPr>
        <w:spacing w:after="0" w:line="240" w:lineRule="auto"/>
      </w:pPr>
    </w:p>
    <w:p w:rsidR="007662C3" w:rsidRPr="007662C3" w:rsidRDefault="007662C3" w:rsidP="007662C3">
      <w:pPr>
        <w:spacing w:after="0" w:line="360" w:lineRule="auto"/>
        <w:contextualSpacing/>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w:t>
      </w:r>
    </w:p>
    <w:p w:rsidR="007662C3" w:rsidRPr="007662C3" w:rsidRDefault="007662C3" w:rsidP="007662C3">
      <w:pPr>
        <w:spacing w:after="0" w:line="360" w:lineRule="auto"/>
        <w:ind w:left="360"/>
        <w:jc w:val="both"/>
        <w:rPr>
          <w:rFonts w:ascii="Arial" w:eastAsia="Times New Roman" w:hAnsi="Arial" w:cs="Arial"/>
          <w:b/>
          <w:sz w:val="24"/>
          <w:szCs w:val="24"/>
          <w:lang w:eastAsia="es-ES"/>
        </w:rPr>
      </w:pPr>
    </w:p>
    <w:p w:rsidR="007662C3" w:rsidRPr="007662C3" w:rsidRDefault="007662C3" w:rsidP="007662C3">
      <w:pPr>
        <w:spacing w:after="160" w:line="360" w:lineRule="auto"/>
        <w:jc w:val="both"/>
        <w:rPr>
          <w:rFonts w:ascii="Arial" w:eastAsiaTheme="minorHAnsi" w:hAnsi="Arial" w:cs="Arial"/>
          <w:b/>
          <w:sz w:val="24"/>
          <w:szCs w:val="24"/>
        </w:rPr>
      </w:pPr>
      <w:r w:rsidRPr="007662C3">
        <w:rPr>
          <w:rFonts w:ascii="Arial" w:eastAsiaTheme="minorHAnsi" w:hAnsi="Arial" w:cs="Arial"/>
          <w:b/>
          <w:sz w:val="24"/>
          <w:szCs w:val="24"/>
        </w:rPr>
        <w:t>Artículo 184 (Homicidio calificado)</w:t>
      </w:r>
    </w:p>
    <w:p w:rsidR="007662C3" w:rsidRPr="007662C3" w:rsidRDefault="007662C3" w:rsidP="007662C3">
      <w:pPr>
        <w:spacing w:after="0" w:line="240" w:lineRule="auto"/>
      </w:pPr>
    </w:p>
    <w:p w:rsidR="007662C3" w:rsidRPr="007662C3" w:rsidRDefault="007662C3" w:rsidP="007662C3">
      <w:pPr>
        <w:spacing w:after="160" w:line="360" w:lineRule="auto"/>
        <w:jc w:val="both"/>
        <w:rPr>
          <w:rFonts w:ascii="Arial" w:eastAsiaTheme="minorHAnsi" w:hAnsi="Arial" w:cs="Arial"/>
          <w:b/>
          <w:sz w:val="24"/>
          <w:szCs w:val="24"/>
        </w:rPr>
      </w:pPr>
      <w:r w:rsidRPr="007662C3">
        <w:rPr>
          <w:rFonts w:ascii="Arial" w:eastAsiaTheme="minorHAnsi" w:hAnsi="Arial" w:cs="Arial"/>
          <w:b/>
          <w:sz w:val="24"/>
          <w:szCs w:val="24"/>
        </w:rPr>
        <w:t>…</w:t>
      </w:r>
    </w:p>
    <w:p w:rsidR="007662C3" w:rsidRPr="007662C3" w:rsidRDefault="007662C3" w:rsidP="007662C3">
      <w:pPr>
        <w:spacing w:after="0" w:line="240" w:lineRule="auto"/>
      </w:pPr>
    </w:p>
    <w:p w:rsidR="007662C3" w:rsidRPr="007662C3" w:rsidRDefault="007662C3" w:rsidP="007662C3">
      <w:pPr>
        <w:spacing w:after="160" w:line="360" w:lineRule="auto"/>
        <w:jc w:val="both"/>
        <w:rPr>
          <w:rFonts w:ascii="Arial" w:eastAsiaTheme="minorHAnsi" w:hAnsi="Arial" w:cs="Arial"/>
          <w:b/>
          <w:sz w:val="24"/>
          <w:szCs w:val="24"/>
        </w:rPr>
      </w:pPr>
      <w:r w:rsidRPr="007662C3">
        <w:rPr>
          <w:rFonts w:ascii="Arial" w:eastAsiaTheme="minorHAnsi" w:hAnsi="Arial" w:cs="Arial"/>
          <w:b/>
          <w:sz w:val="24"/>
          <w:szCs w:val="24"/>
        </w:rPr>
        <w:t>I a XVI. …</w:t>
      </w:r>
    </w:p>
    <w:p w:rsidR="007662C3" w:rsidRPr="007662C3" w:rsidRDefault="007662C3" w:rsidP="007662C3">
      <w:pPr>
        <w:spacing w:after="0" w:line="240" w:lineRule="auto"/>
      </w:pPr>
    </w:p>
    <w:p w:rsidR="007662C3" w:rsidRPr="007662C3" w:rsidRDefault="007662C3" w:rsidP="007662C3">
      <w:pPr>
        <w:spacing w:after="0" w:line="360" w:lineRule="auto"/>
        <w:jc w:val="both"/>
        <w:rPr>
          <w:rFonts w:ascii="Arial" w:eastAsia="Times New Roman" w:hAnsi="Arial" w:cs="Arial"/>
          <w:b/>
          <w:sz w:val="24"/>
          <w:szCs w:val="24"/>
          <w:lang w:eastAsia="es-ES"/>
        </w:rPr>
      </w:pPr>
      <w:r w:rsidRPr="007662C3">
        <w:rPr>
          <w:rFonts w:ascii="Arial" w:eastAsia="Times New Roman" w:hAnsi="Arial" w:cs="Arial"/>
          <w:b/>
          <w:sz w:val="24"/>
          <w:szCs w:val="24"/>
          <w:lang w:eastAsia="es-ES"/>
        </w:rPr>
        <w:t>XVII. (Contra servidores públicos en ejercicio de sus funciones)</w:t>
      </w:r>
    </w:p>
    <w:p w:rsidR="007662C3" w:rsidRPr="007662C3" w:rsidRDefault="007662C3" w:rsidP="007662C3">
      <w:pPr>
        <w:spacing w:after="0" w:line="360" w:lineRule="auto"/>
        <w:jc w:val="both"/>
        <w:rPr>
          <w:rFonts w:ascii="Arial" w:eastAsia="Times New Roman" w:hAnsi="Arial" w:cs="Arial"/>
          <w:sz w:val="24"/>
          <w:szCs w:val="24"/>
          <w:lang w:eastAsia="es-ES"/>
        </w:rPr>
      </w:pPr>
    </w:p>
    <w:p w:rsidR="007662C3" w:rsidRPr="007662C3" w:rsidRDefault="007662C3" w:rsidP="007662C3">
      <w:pPr>
        <w:spacing w:after="0" w:line="360" w:lineRule="auto"/>
        <w:jc w:val="both"/>
        <w:rPr>
          <w:rFonts w:ascii="Arial" w:eastAsia="Times New Roman" w:hAnsi="Arial" w:cs="Arial"/>
          <w:sz w:val="24"/>
          <w:szCs w:val="24"/>
          <w:lang w:eastAsia="es-ES"/>
        </w:rPr>
      </w:pPr>
      <w:r w:rsidRPr="007662C3">
        <w:rPr>
          <w:rFonts w:ascii="Arial" w:eastAsia="Times New Roman" w:hAnsi="Arial" w:cs="Arial"/>
          <w:sz w:val="24"/>
          <w:szCs w:val="24"/>
          <w:lang w:eastAsia="es-ES"/>
        </w:rPr>
        <w:t>Cuando el agente cometa el homicidio en contra de servidores públicos que desempeñen funciones de seguridad pública, de investigación de delitos, de procuración o administración de justicia en materia penal o de ejecución de penas, de su cónyuge o de sus parientes en línea recta o colateral hasta el cuarto grado o con quien viva en concubinato o compañero o compañera civil.</w:t>
      </w:r>
    </w:p>
    <w:p w:rsidR="007662C3" w:rsidRPr="007662C3" w:rsidRDefault="007662C3" w:rsidP="007662C3">
      <w:pPr>
        <w:spacing w:after="0" w:line="240" w:lineRule="auto"/>
        <w:rPr>
          <w:highlight w:val="yellow"/>
        </w:rPr>
      </w:pPr>
    </w:p>
    <w:p w:rsidR="007662C3" w:rsidRPr="00BA1B75" w:rsidRDefault="007662C3" w:rsidP="007662C3">
      <w:pPr>
        <w:spacing w:after="0" w:line="360" w:lineRule="auto"/>
        <w:jc w:val="both"/>
        <w:rPr>
          <w:rFonts w:ascii="Arial" w:eastAsia="Times New Roman" w:hAnsi="Arial" w:cs="Arial"/>
          <w:b/>
          <w:sz w:val="24"/>
          <w:szCs w:val="24"/>
          <w:lang w:val="en-US" w:eastAsia="es-ES"/>
        </w:rPr>
      </w:pPr>
      <w:r w:rsidRPr="00BA1B75">
        <w:rPr>
          <w:rFonts w:ascii="Arial" w:eastAsia="Times New Roman" w:hAnsi="Arial" w:cs="Arial"/>
          <w:b/>
          <w:sz w:val="24"/>
          <w:szCs w:val="24"/>
          <w:lang w:val="en-US" w:eastAsia="es-ES"/>
        </w:rPr>
        <w:t>…</w:t>
      </w:r>
    </w:p>
    <w:p w:rsidR="007662C3" w:rsidRPr="00BA1B75" w:rsidRDefault="007662C3" w:rsidP="007662C3">
      <w:pPr>
        <w:spacing w:after="0" w:line="360" w:lineRule="auto"/>
        <w:jc w:val="both"/>
        <w:rPr>
          <w:rFonts w:ascii="Arial" w:eastAsia="Times New Roman" w:hAnsi="Arial" w:cs="Arial"/>
          <w:b/>
          <w:sz w:val="24"/>
          <w:szCs w:val="24"/>
          <w:lang w:val="en-US" w:eastAsia="es-ES"/>
        </w:rPr>
      </w:pPr>
    </w:p>
    <w:p w:rsidR="007662C3" w:rsidRPr="00BA1B75" w:rsidRDefault="007662C3" w:rsidP="007662C3">
      <w:pPr>
        <w:spacing w:after="0" w:line="360" w:lineRule="auto"/>
        <w:jc w:val="both"/>
        <w:rPr>
          <w:rFonts w:ascii="Arial" w:eastAsia="Times New Roman" w:hAnsi="Arial" w:cs="Arial"/>
          <w:b/>
          <w:sz w:val="24"/>
          <w:szCs w:val="24"/>
          <w:lang w:val="en-US" w:eastAsia="es-ES"/>
        </w:rPr>
      </w:pPr>
      <w:r w:rsidRPr="00BA1B75">
        <w:rPr>
          <w:rFonts w:ascii="Arial" w:eastAsia="Times New Roman" w:hAnsi="Arial" w:cs="Arial"/>
          <w:b/>
          <w:sz w:val="24"/>
          <w:szCs w:val="24"/>
          <w:lang w:val="en-US" w:eastAsia="es-ES"/>
        </w:rPr>
        <w:t>…</w:t>
      </w:r>
    </w:p>
    <w:p w:rsidR="007662C3" w:rsidRPr="00BA1B75" w:rsidRDefault="007662C3" w:rsidP="007662C3">
      <w:pPr>
        <w:spacing w:after="0" w:line="360" w:lineRule="auto"/>
        <w:jc w:val="both"/>
        <w:rPr>
          <w:rFonts w:ascii="Arial" w:eastAsia="Times New Roman" w:hAnsi="Arial" w:cs="Arial"/>
          <w:b/>
          <w:sz w:val="24"/>
          <w:szCs w:val="24"/>
          <w:lang w:val="en-US" w:eastAsia="es-ES"/>
        </w:rPr>
      </w:pPr>
    </w:p>
    <w:p w:rsidR="007662C3" w:rsidRPr="00BA1B75" w:rsidRDefault="007662C3" w:rsidP="007662C3">
      <w:pPr>
        <w:spacing w:after="0" w:line="360" w:lineRule="auto"/>
        <w:jc w:val="both"/>
        <w:rPr>
          <w:rFonts w:ascii="Arial" w:eastAsia="Times New Roman" w:hAnsi="Arial" w:cs="Arial"/>
          <w:b/>
          <w:sz w:val="24"/>
          <w:szCs w:val="24"/>
          <w:lang w:val="en-US" w:eastAsia="es-ES"/>
        </w:rPr>
      </w:pPr>
      <w:r w:rsidRPr="00BA1B75">
        <w:rPr>
          <w:rFonts w:ascii="Arial" w:eastAsia="Times New Roman" w:hAnsi="Arial" w:cs="Arial"/>
          <w:b/>
          <w:sz w:val="24"/>
          <w:szCs w:val="24"/>
          <w:lang w:val="en-US" w:eastAsia="es-ES"/>
        </w:rPr>
        <w:t>…</w:t>
      </w:r>
    </w:p>
    <w:p w:rsidR="007662C3" w:rsidRPr="00BA1B75" w:rsidRDefault="007662C3" w:rsidP="007662C3">
      <w:pPr>
        <w:spacing w:after="0"/>
        <w:jc w:val="center"/>
        <w:rPr>
          <w:rFonts w:ascii="Arial" w:eastAsia="Times New Roman" w:hAnsi="Arial" w:cs="Arial"/>
          <w:b/>
          <w:sz w:val="24"/>
          <w:szCs w:val="24"/>
          <w:lang w:val="en-US" w:eastAsia="es-ES"/>
        </w:rPr>
      </w:pPr>
    </w:p>
    <w:p w:rsidR="007662C3" w:rsidRPr="007662C3" w:rsidRDefault="007662C3" w:rsidP="007662C3">
      <w:pPr>
        <w:keepNext/>
        <w:keepLines/>
        <w:spacing w:before="240" w:after="0"/>
        <w:jc w:val="center"/>
        <w:outlineLvl w:val="0"/>
        <w:rPr>
          <w:rFonts w:ascii="Arial" w:eastAsiaTheme="majorEastAsia" w:hAnsi="Arial" w:cs="Arial"/>
          <w:b/>
          <w:bCs/>
          <w:sz w:val="24"/>
          <w:szCs w:val="24"/>
          <w:lang w:val="en-US" w:eastAsia="es-ES"/>
        </w:rPr>
      </w:pPr>
      <w:r w:rsidRPr="007662C3">
        <w:rPr>
          <w:rFonts w:ascii="Arial" w:eastAsiaTheme="majorEastAsia" w:hAnsi="Arial" w:cs="Arial"/>
          <w:b/>
          <w:bCs/>
          <w:sz w:val="24"/>
          <w:szCs w:val="24"/>
          <w:lang w:val="en-US" w:eastAsia="es-ES"/>
        </w:rPr>
        <w:t xml:space="preserve">T R </w:t>
      </w:r>
      <w:proofErr w:type="gramStart"/>
      <w:r w:rsidRPr="007662C3">
        <w:rPr>
          <w:rFonts w:ascii="Arial" w:eastAsiaTheme="majorEastAsia" w:hAnsi="Arial" w:cs="Arial"/>
          <w:b/>
          <w:bCs/>
          <w:sz w:val="24"/>
          <w:szCs w:val="24"/>
          <w:lang w:val="en-US" w:eastAsia="es-ES"/>
        </w:rPr>
        <w:t>A</w:t>
      </w:r>
      <w:proofErr w:type="gramEnd"/>
      <w:r w:rsidRPr="007662C3">
        <w:rPr>
          <w:rFonts w:ascii="Arial" w:eastAsiaTheme="majorEastAsia" w:hAnsi="Arial" w:cs="Arial"/>
          <w:b/>
          <w:bCs/>
          <w:sz w:val="24"/>
          <w:szCs w:val="24"/>
          <w:lang w:val="en-US" w:eastAsia="es-ES"/>
        </w:rPr>
        <w:t xml:space="preserve"> N S I T O R I O S</w:t>
      </w:r>
    </w:p>
    <w:p w:rsidR="007662C3" w:rsidRPr="007662C3" w:rsidRDefault="007662C3" w:rsidP="007662C3">
      <w:pPr>
        <w:spacing w:after="0" w:line="240" w:lineRule="auto"/>
        <w:jc w:val="both"/>
        <w:rPr>
          <w:rFonts w:ascii="Arial" w:eastAsia="Times New Roman" w:hAnsi="Arial"/>
          <w:sz w:val="20"/>
          <w:szCs w:val="20"/>
          <w:lang w:val="en-US" w:eastAsia="es-ES"/>
        </w:rPr>
      </w:pPr>
    </w:p>
    <w:p w:rsidR="007662C3" w:rsidRPr="007662C3" w:rsidRDefault="007662C3" w:rsidP="007662C3">
      <w:pPr>
        <w:spacing w:after="0"/>
        <w:jc w:val="both"/>
        <w:rPr>
          <w:rFonts w:ascii="Arial" w:eastAsia="Times New Roman" w:hAnsi="Arial" w:cs="Arial"/>
          <w:sz w:val="24"/>
          <w:szCs w:val="24"/>
          <w:lang w:val="en-US" w:eastAsia="es-ES"/>
        </w:rPr>
      </w:pPr>
    </w:p>
    <w:p w:rsidR="007662C3" w:rsidRPr="007662C3" w:rsidRDefault="007662C3" w:rsidP="007662C3">
      <w:pPr>
        <w:widowControl w:val="0"/>
        <w:tabs>
          <w:tab w:val="left" w:pos="0"/>
        </w:tabs>
        <w:spacing w:after="0" w:line="360" w:lineRule="auto"/>
        <w:jc w:val="both"/>
        <w:rPr>
          <w:rFonts w:ascii="Arial" w:eastAsia="Times New Roman" w:hAnsi="Arial" w:cs="Arial"/>
          <w:sz w:val="24"/>
          <w:szCs w:val="24"/>
          <w:lang w:eastAsia="es-ES"/>
        </w:rPr>
      </w:pPr>
      <w:r w:rsidRPr="007662C3">
        <w:rPr>
          <w:rFonts w:ascii="Arial" w:eastAsia="Times New Roman" w:hAnsi="Arial" w:cs="Arial"/>
          <w:b/>
          <w:sz w:val="24"/>
          <w:szCs w:val="24"/>
          <w:lang w:eastAsia="es-ES"/>
        </w:rPr>
        <w:t xml:space="preserve">PRIMERO.- </w:t>
      </w:r>
      <w:r w:rsidRPr="007662C3">
        <w:rPr>
          <w:rFonts w:ascii="Arial" w:eastAsia="Times New Roman" w:hAnsi="Arial" w:cs="Arial"/>
          <w:sz w:val="24"/>
          <w:szCs w:val="24"/>
          <w:lang w:eastAsia="es-ES"/>
        </w:rPr>
        <w:t>El presente decreto entrará en vigor al día siguiente de su publicación en el Periódico Oficial del Gobierno del Estado de Coahuila de Zaragoza.</w:t>
      </w:r>
    </w:p>
    <w:p w:rsidR="007662C3" w:rsidRPr="007662C3" w:rsidRDefault="007662C3" w:rsidP="007662C3">
      <w:pPr>
        <w:widowControl w:val="0"/>
        <w:tabs>
          <w:tab w:val="left" w:pos="0"/>
        </w:tabs>
        <w:spacing w:after="0" w:line="360" w:lineRule="auto"/>
        <w:jc w:val="both"/>
        <w:rPr>
          <w:rFonts w:ascii="Arial" w:eastAsia="Times New Roman" w:hAnsi="Arial" w:cs="Arial"/>
          <w:b/>
          <w:sz w:val="24"/>
          <w:szCs w:val="24"/>
          <w:lang w:eastAsia="es-ES"/>
        </w:rPr>
      </w:pPr>
    </w:p>
    <w:p w:rsidR="007662C3" w:rsidRPr="007662C3" w:rsidRDefault="007662C3" w:rsidP="007662C3">
      <w:pPr>
        <w:widowControl w:val="0"/>
        <w:spacing w:after="0" w:line="360" w:lineRule="auto"/>
        <w:jc w:val="both"/>
        <w:rPr>
          <w:rFonts w:ascii="Arial" w:eastAsia="Times New Roman" w:hAnsi="Arial" w:cs="Arial"/>
          <w:sz w:val="24"/>
          <w:szCs w:val="24"/>
          <w:lang w:eastAsia="es-ES"/>
        </w:rPr>
      </w:pPr>
      <w:r w:rsidRPr="007662C3">
        <w:rPr>
          <w:rFonts w:ascii="Arial" w:eastAsia="Times New Roman" w:hAnsi="Arial" w:cs="Arial"/>
          <w:b/>
          <w:color w:val="000000"/>
          <w:sz w:val="24"/>
          <w:szCs w:val="24"/>
          <w:lang w:eastAsia="es-ES"/>
        </w:rPr>
        <w:lastRenderedPageBreak/>
        <w:t xml:space="preserve">SEGUNDO.- </w:t>
      </w:r>
      <w:r w:rsidRPr="007662C3">
        <w:rPr>
          <w:rFonts w:ascii="Arial" w:eastAsia="Times New Roman" w:hAnsi="Arial" w:cs="Arial"/>
          <w:color w:val="000000"/>
          <w:sz w:val="24"/>
          <w:szCs w:val="24"/>
          <w:lang w:eastAsia="es-ES"/>
        </w:rPr>
        <w:t>Se derogan todas las disposiciones que se opongan al presente decreto.</w:t>
      </w:r>
    </w:p>
    <w:p w:rsidR="007662C3" w:rsidRDefault="007662C3" w:rsidP="007662C3">
      <w:pPr>
        <w:spacing w:after="0" w:line="240" w:lineRule="auto"/>
        <w:jc w:val="both"/>
        <w:rPr>
          <w:rFonts w:ascii="Arial" w:hAnsi="Arial" w:cs="Arial"/>
          <w:b/>
          <w:sz w:val="25"/>
          <w:szCs w:val="25"/>
        </w:rPr>
      </w:pPr>
    </w:p>
    <w:p w:rsidR="007662C3" w:rsidRPr="00AD00F3" w:rsidRDefault="007662C3" w:rsidP="007662C3">
      <w:pPr>
        <w:spacing w:after="0" w:line="240" w:lineRule="auto"/>
        <w:jc w:val="both"/>
        <w:rPr>
          <w:rFonts w:ascii="Arial" w:hAnsi="Arial" w:cs="Arial"/>
          <w:b/>
          <w:sz w:val="25"/>
          <w:szCs w:val="25"/>
        </w:rPr>
      </w:pPr>
    </w:p>
    <w:p w:rsidR="007662C3" w:rsidRPr="00AD00F3" w:rsidRDefault="007662C3" w:rsidP="007662C3">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DADO en la Ciudad de Saltillo, Coahuila de Zaragoza, a los dieciocho días del mes de julio del año dos mil diecinueve.</w:t>
      </w: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DIPUTADO PRESIDENTE</w:t>
      </w: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JAIME BUENO ZERTUCHE</w:t>
      </w: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DIPUTADO SECRETARIO</w:t>
      </w: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AD00F3">
        <w:rPr>
          <w:rFonts w:ascii="Arial" w:eastAsia="Times New Roman" w:hAnsi="Arial" w:cs="Arial"/>
          <w:b/>
          <w:snapToGrid w:val="0"/>
          <w:sz w:val="25"/>
          <w:szCs w:val="25"/>
          <w:lang w:val="es-ES_tradnl" w:eastAsia="es-ES"/>
        </w:rPr>
        <w:t>DIPUTADO SECRETARIO</w:t>
      </w: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imes New Roman" w:hAnsi="Arial" w:cs="Arial"/>
          <w:b/>
          <w:snapToGrid w:val="0"/>
          <w:sz w:val="25"/>
          <w:szCs w:val="25"/>
          <w:lang w:val="es-ES_tradnl" w:eastAsia="es-ES"/>
        </w:rPr>
      </w:pPr>
    </w:p>
    <w:p w:rsidR="007662C3" w:rsidRPr="00AD00F3" w:rsidRDefault="007662C3" w:rsidP="007662C3">
      <w:pPr>
        <w:spacing w:after="0" w:line="240" w:lineRule="auto"/>
        <w:jc w:val="both"/>
        <w:rPr>
          <w:rFonts w:ascii="Arial" w:eastAsiaTheme="minorHAnsi" w:hAnsi="Arial" w:cs="Arial"/>
          <w:sz w:val="25"/>
          <w:szCs w:val="25"/>
        </w:rPr>
      </w:pPr>
      <w:r>
        <w:rPr>
          <w:rFonts w:ascii="Arial" w:eastAsia="Times New Roman" w:hAnsi="Arial" w:cs="Arial"/>
          <w:b/>
          <w:snapToGrid w:val="0"/>
          <w:sz w:val="25"/>
          <w:szCs w:val="25"/>
          <w:lang w:val="es-ES_tradnl" w:eastAsia="es-ES"/>
        </w:rPr>
        <w:t>JUAN CARLOS GUERRA LÓPEZ NEGRETE             JESÚS ANDRÉS LOYA CARDONA</w:t>
      </w:r>
    </w:p>
    <w:p w:rsidR="007662C3" w:rsidRPr="00AD00F3" w:rsidRDefault="007662C3" w:rsidP="007662C3">
      <w:pPr>
        <w:spacing w:after="0" w:line="240" w:lineRule="auto"/>
        <w:rPr>
          <w:rFonts w:ascii="Arial" w:eastAsiaTheme="minorHAnsi" w:hAnsi="Arial" w:cs="Arial"/>
          <w:sz w:val="25"/>
          <w:szCs w:val="25"/>
        </w:rPr>
      </w:pPr>
    </w:p>
    <w:p w:rsidR="007662C3" w:rsidRPr="00AD00F3" w:rsidRDefault="007662C3" w:rsidP="007662C3">
      <w:pPr>
        <w:spacing w:after="0" w:line="240" w:lineRule="auto"/>
        <w:rPr>
          <w:rFonts w:ascii="Arial" w:eastAsiaTheme="minorHAnsi" w:hAnsi="Arial" w:cs="Arial"/>
          <w:sz w:val="25"/>
          <w:szCs w:val="25"/>
        </w:rPr>
      </w:pPr>
    </w:p>
    <w:p w:rsidR="007662C3" w:rsidRPr="00AD00F3" w:rsidRDefault="007662C3" w:rsidP="007662C3">
      <w:pPr>
        <w:spacing w:after="0" w:line="240" w:lineRule="auto"/>
        <w:rPr>
          <w:rFonts w:ascii="Arial" w:hAnsi="Arial" w:cs="Arial"/>
          <w:sz w:val="25"/>
          <w:szCs w:val="25"/>
        </w:rPr>
      </w:pPr>
    </w:p>
    <w:p w:rsidR="007662C3" w:rsidRPr="00AD00F3" w:rsidRDefault="007662C3" w:rsidP="007662C3">
      <w:pPr>
        <w:spacing w:after="0" w:line="240" w:lineRule="auto"/>
        <w:rPr>
          <w:rFonts w:ascii="Arial" w:hAnsi="Arial" w:cs="Arial"/>
          <w:sz w:val="25"/>
          <w:szCs w:val="25"/>
        </w:rPr>
      </w:pPr>
    </w:p>
    <w:p w:rsidR="007662C3" w:rsidRPr="00AD00F3" w:rsidRDefault="007662C3" w:rsidP="007662C3">
      <w:pPr>
        <w:spacing w:after="0" w:line="240" w:lineRule="auto"/>
        <w:rPr>
          <w:rFonts w:ascii="Arial" w:hAnsi="Arial" w:cs="Arial"/>
          <w:sz w:val="25"/>
          <w:szCs w:val="25"/>
        </w:rPr>
      </w:pPr>
    </w:p>
    <w:p w:rsidR="007662C3" w:rsidRPr="00AD00F3" w:rsidRDefault="007662C3" w:rsidP="007662C3">
      <w:pPr>
        <w:spacing w:after="0" w:line="240" w:lineRule="auto"/>
        <w:rPr>
          <w:rFonts w:ascii="Arial" w:hAnsi="Arial" w:cs="Arial"/>
          <w:sz w:val="25"/>
          <w:szCs w:val="25"/>
        </w:rPr>
      </w:pPr>
    </w:p>
    <w:p w:rsidR="007662C3" w:rsidRPr="00AD00F3" w:rsidRDefault="007662C3" w:rsidP="007662C3">
      <w:pPr>
        <w:spacing w:after="0" w:line="240" w:lineRule="auto"/>
        <w:rPr>
          <w:rFonts w:ascii="Arial" w:hAnsi="Arial" w:cs="Arial"/>
          <w:sz w:val="25"/>
          <w:szCs w:val="25"/>
        </w:rPr>
      </w:pPr>
    </w:p>
    <w:p w:rsidR="007662C3" w:rsidRPr="00AD00F3" w:rsidRDefault="007662C3" w:rsidP="007662C3">
      <w:pPr>
        <w:rPr>
          <w:rFonts w:ascii="Arial" w:hAnsi="Arial" w:cs="Arial"/>
          <w:sz w:val="25"/>
          <w:szCs w:val="25"/>
        </w:rPr>
      </w:pPr>
    </w:p>
    <w:p w:rsidR="007662C3" w:rsidRDefault="007662C3" w:rsidP="007662C3"/>
    <w:p w:rsidR="007662C3" w:rsidRDefault="007662C3" w:rsidP="007662C3"/>
    <w:p w:rsidR="007662C3" w:rsidRDefault="007662C3" w:rsidP="007662C3"/>
    <w:p w:rsidR="00245157" w:rsidRDefault="007D3FB8">
      <w:bookmarkStart w:id="0" w:name="_GoBack"/>
      <w:bookmarkEnd w:id="0"/>
    </w:p>
    <w:sectPr w:rsidR="00245157" w:rsidSect="003A6EC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B8" w:rsidRDefault="007D3FB8" w:rsidP="00BA1B75">
      <w:pPr>
        <w:spacing w:after="0" w:line="240" w:lineRule="auto"/>
      </w:pPr>
      <w:r>
        <w:separator/>
      </w:r>
    </w:p>
  </w:endnote>
  <w:endnote w:type="continuationSeparator" w:id="0">
    <w:p w:rsidR="007D3FB8" w:rsidRDefault="007D3FB8" w:rsidP="00BA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B8" w:rsidRDefault="007D3FB8" w:rsidP="00BA1B75">
      <w:pPr>
        <w:spacing w:after="0" w:line="240" w:lineRule="auto"/>
      </w:pPr>
      <w:r>
        <w:separator/>
      </w:r>
    </w:p>
  </w:footnote>
  <w:footnote w:type="continuationSeparator" w:id="0">
    <w:p w:rsidR="007D3FB8" w:rsidRDefault="007D3FB8" w:rsidP="00BA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A1B75" w:rsidRPr="00BA1B75" w:rsidTr="0038701A">
      <w:trPr>
        <w:jc w:val="center"/>
      </w:trPr>
      <w:tc>
        <w:tcPr>
          <w:tcW w:w="1253" w:type="dxa"/>
        </w:tcPr>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tc>
      <w:tc>
        <w:tcPr>
          <w:tcW w:w="8623" w:type="dxa"/>
        </w:tcPr>
        <w:p w:rsidR="00BA1B75" w:rsidRPr="00BA1B75" w:rsidRDefault="00BA1B75" w:rsidP="00BA1B75">
          <w:pPr>
            <w:spacing w:after="0" w:line="240" w:lineRule="auto"/>
            <w:jc w:val="center"/>
            <w:rPr>
              <w:rFonts w:ascii="Arial" w:eastAsia="Times New Roman" w:hAnsi="Arial"/>
              <w:b/>
              <w:bCs/>
              <w:sz w:val="24"/>
              <w:szCs w:val="20"/>
              <w:lang w:eastAsia="es-ES"/>
            </w:rPr>
          </w:pPr>
          <w:r w:rsidRPr="00BA1B75">
            <w:rPr>
              <w:rFonts w:ascii="Arial" w:eastAsia="Times New Roman" w:hAnsi="Arial"/>
              <w:b/>
              <w:bCs/>
              <w:noProof/>
              <w:sz w:val="12"/>
              <w:szCs w:val="20"/>
              <w:lang w:eastAsia="es-MX"/>
            </w:rPr>
            <w:drawing>
              <wp:anchor distT="0" distB="0" distL="114300" distR="114300" simplePos="0" relativeHeight="251660288" behindDoc="0" locked="0" layoutInCell="1" allowOverlap="1" wp14:anchorId="5E09694D" wp14:editId="2A198E0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A1B75">
            <w:rPr>
              <w:rFonts w:ascii="Arial" w:eastAsia="Times New Roman" w:hAnsi="Arial"/>
              <w:b/>
              <w:bCs/>
              <w:noProof/>
              <w:sz w:val="12"/>
              <w:szCs w:val="20"/>
              <w:lang w:eastAsia="es-MX"/>
            </w:rPr>
            <w:drawing>
              <wp:anchor distT="0" distB="0" distL="114300" distR="114300" simplePos="0" relativeHeight="251659264" behindDoc="0" locked="0" layoutInCell="1" allowOverlap="1" wp14:anchorId="316B9C2F" wp14:editId="08537C8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B75" w:rsidRPr="00BA1B75" w:rsidRDefault="00BA1B75" w:rsidP="00BA1B7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A1B75">
            <w:rPr>
              <w:rFonts w:ascii="Times New Roman" w:eastAsia="Times New Roman" w:hAnsi="Times New Roman" w:cs="Arial"/>
              <w:bCs/>
              <w:smallCaps/>
              <w:spacing w:val="20"/>
              <w:sz w:val="32"/>
              <w:szCs w:val="32"/>
              <w:lang w:eastAsia="es-ES"/>
            </w:rPr>
            <w:t>Congreso del Estado Independiente,</w:t>
          </w:r>
        </w:p>
        <w:p w:rsidR="00BA1B75" w:rsidRPr="00BA1B75" w:rsidRDefault="00BA1B75" w:rsidP="00BA1B7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A1B75">
            <w:rPr>
              <w:rFonts w:ascii="Times New Roman" w:eastAsia="Times New Roman" w:hAnsi="Times New Roman" w:cs="Arial"/>
              <w:bCs/>
              <w:smallCaps/>
              <w:spacing w:val="20"/>
              <w:sz w:val="32"/>
              <w:szCs w:val="32"/>
              <w:lang w:eastAsia="es-ES"/>
            </w:rPr>
            <w:t>Libre y Soberano de Coahuila de Zaragoza</w:t>
          </w:r>
        </w:p>
        <w:p w:rsidR="00BA1B75" w:rsidRPr="00BA1B75" w:rsidRDefault="00BA1B75" w:rsidP="00BA1B75">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BA1B75" w:rsidRPr="00BA1B75" w:rsidRDefault="00BA1B75" w:rsidP="00BA1B75">
          <w:pPr>
            <w:spacing w:after="0" w:line="240" w:lineRule="auto"/>
            <w:jc w:val="center"/>
            <w:rPr>
              <w:rFonts w:eastAsia="Times New Roman" w:cs="Arial"/>
              <w:b/>
              <w:sz w:val="16"/>
              <w:szCs w:val="20"/>
              <w:lang w:eastAsia="es-ES"/>
            </w:rPr>
          </w:pPr>
          <w:r w:rsidRPr="00BA1B75">
            <w:rPr>
              <w:rFonts w:eastAsia="Times New Roman" w:cs="Arial"/>
              <w:b/>
              <w:sz w:val="16"/>
              <w:szCs w:val="20"/>
              <w:lang w:eastAsia="es-ES"/>
            </w:rPr>
            <w:t>“</w:t>
          </w:r>
          <w:r w:rsidRPr="00BA1B75">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BA1B75">
            <w:rPr>
              <w:rFonts w:eastAsia="Times New Roman" w:cs="Arial"/>
              <w:b/>
              <w:sz w:val="16"/>
              <w:szCs w:val="20"/>
              <w:lang w:eastAsia="es-ES"/>
            </w:rPr>
            <w:t>”</w:t>
          </w:r>
        </w:p>
        <w:p w:rsidR="00BA1B75" w:rsidRPr="00BA1B75" w:rsidRDefault="00BA1B75" w:rsidP="00BA1B75">
          <w:pPr>
            <w:spacing w:after="0" w:line="240" w:lineRule="auto"/>
            <w:ind w:left="-434" w:right="-672"/>
            <w:jc w:val="center"/>
            <w:rPr>
              <w:rFonts w:ascii="Arial" w:eastAsia="Times New Roman" w:hAnsi="Arial"/>
              <w:b/>
              <w:bCs/>
              <w:sz w:val="12"/>
              <w:szCs w:val="20"/>
              <w:lang w:eastAsia="es-ES"/>
            </w:rPr>
          </w:pPr>
        </w:p>
      </w:tc>
      <w:tc>
        <w:tcPr>
          <w:tcW w:w="1181" w:type="dxa"/>
        </w:tcPr>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p w:rsidR="00BA1B75" w:rsidRPr="00BA1B75" w:rsidRDefault="00BA1B75" w:rsidP="00BA1B75">
          <w:pPr>
            <w:spacing w:after="0" w:line="240" w:lineRule="auto"/>
            <w:jc w:val="center"/>
            <w:rPr>
              <w:rFonts w:ascii="Arial" w:eastAsia="Times New Roman" w:hAnsi="Arial"/>
              <w:b/>
              <w:bCs/>
              <w:sz w:val="12"/>
              <w:szCs w:val="20"/>
              <w:lang w:eastAsia="es-ES"/>
            </w:rPr>
          </w:pPr>
        </w:p>
      </w:tc>
    </w:tr>
  </w:tbl>
  <w:p w:rsidR="00BA1B75" w:rsidRDefault="00BA1B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B98"/>
    <w:multiLevelType w:val="hybridMultilevel"/>
    <w:tmpl w:val="2E165CAC"/>
    <w:lvl w:ilvl="0" w:tplc="BBE493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C3"/>
    <w:rsid w:val="000653EC"/>
    <w:rsid w:val="00281980"/>
    <w:rsid w:val="004562E7"/>
    <w:rsid w:val="005F2330"/>
    <w:rsid w:val="007662C3"/>
    <w:rsid w:val="007D3FB8"/>
    <w:rsid w:val="00BA1B75"/>
    <w:rsid w:val="00E81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CDED-5433-44A9-99E0-4C9A14C4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C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0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069"/>
    <w:rPr>
      <w:rFonts w:ascii="Segoe UI" w:eastAsia="Calibri" w:hAnsi="Segoe UI" w:cs="Segoe UI"/>
      <w:sz w:val="18"/>
      <w:szCs w:val="18"/>
    </w:rPr>
  </w:style>
  <w:style w:type="paragraph" w:styleId="Encabezado">
    <w:name w:val="header"/>
    <w:basedOn w:val="Normal"/>
    <w:link w:val="EncabezadoCar"/>
    <w:uiPriority w:val="99"/>
    <w:unhideWhenUsed/>
    <w:rsid w:val="00BA1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B75"/>
    <w:rPr>
      <w:rFonts w:ascii="Calibri" w:eastAsia="Calibri" w:hAnsi="Calibri" w:cs="Times New Roman"/>
    </w:rPr>
  </w:style>
  <w:style w:type="paragraph" w:styleId="Piedepgina">
    <w:name w:val="footer"/>
    <w:basedOn w:val="Normal"/>
    <w:link w:val="PiedepginaCar"/>
    <w:uiPriority w:val="99"/>
    <w:unhideWhenUsed/>
    <w:rsid w:val="00BA1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2019-07-18T18:42:00Z</cp:lastPrinted>
  <dcterms:created xsi:type="dcterms:W3CDTF">2019-08-07T15:14:00Z</dcterms:created>
  <dcterms:modified xsi:type="dcterms:W3CDTF">2019-08-07T15:14:00Z</dcterms:modified>
</cp:coreProperties>
</file>