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D8" w:rsidRDefault="00AA4AD8" w:rsidP="00FB0788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A4AD8" w:rsidRDefault="00AA4AD8" w:rsidP="00FB0788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A4AD8" w:rsidRDefault="00AA4AD8" w:rsidP="00FB0788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AA4AD8" w:rsidRDefault="00AA4AD8" w:rsidP="00FB0788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FB0788" w:rsidRPr="00FB0788" w:rsidRDefault="00FB0788" w:rsidP="00FB0788">
      <w:pPr>
        <w:rPr>
          <w:rFonts w:cs="Arial"/>
          <w:b/>
          <w:snapToGrid w:val="0"/>
          <w:sz w:val="26"/>
          <w:szCs w:val="26"/>
          <w:lang w:val="es-ES_tradnl"/>
        </w:rPr>
      </w:pPr>
      <w:r w:rsidRPr="00FB0788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FB0788" w:rsidRPr="00FB0788" w:rsidRDefault="00FB0788" w:rsidP="00FB0788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FB0788" w:rsidRPr="00FB0788" w:rsidRDefault="00FB0788" w:rsidP="00FB0788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FB0788" w:rsidRPr="00FB0788" w:rsidRDefault="00FB0788" w:rsidP="00FB0788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FB0788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FB0788" w:rsidRPr="00FB0788" w:rsidRDefault="00FB0788" w:rsidP="00FB0788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FB0788" w:rsidRPr="00FB0788" w:rsidRDefault="00FB0788" w:rsidP="00FB0788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360</w:t>
      </w:r>
      <w:r w:rsidRPr="00FB0788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FB0788" w:rsidRDefault="00FB0788" w:rsidP="00FB0788">
      <w:pPr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rPr>
          <w:rFonts w:eastAsia="Calibri" w:cs="Arial"/>
          <w:b/>
          <w:bCs/>
          <w:sz w:val="24"/>
          <w:szCs w:val="24"/>
          <w:lang w:eastAsia="en-US"/>
        </w:rPr>
      </w:pPr>
      <w:r w:rsidRPr="00FB0788">
        <w:rPr>
          <w:rFonts w:eastAsia="Calibri" w:cs="Arial"/>
          <w:b/>
          <w:sz w:val="24"/>
          <w:szCs w:val="24"/>
          <w:lang w:eastAsia="en-US"/>
        </w:rPr>
        <w:t xml:space="preserve">ARTÍCULO ÚNICO.- </w:t>
      </w:r>
      <w:r w:rsidRPr="00AA4AD8">
        <w:rPr>
          <w:rFonts w:eastAsia="Calibri" w:cs="Arial"/>
          <w:bCs/>
          <w:sz w:val="24"/>
          <w:szCs w:val="24"/>
          <w:lang w:eastAsia="en-US"/>
        </w:rPr>
        <w:t>SE REFORMAN</w:t>
      </w:r>
      <w:r w:rsidRPr="00FB0788">
        <w:rPr>
          <w:rFonts w:eastAsia="Calibri" w:cs="Arial"/>
          <w:bCs/>
          <w:sz w:val="24"/>
          <w:szCs w:val="24"/>
          <w:lang w:eastAsia="en-US"/>
        </w:rPr>
        <w:t xml:space="preserve"> el artículo 2°, el primer párrafo del artículo 10°, el primer párrafo del artículo 14, las fracciones II, VI, párrafos tercero y cuarto del artículo 18; y el artículo 36; y </w:t>
      </w:r>
      <w:r w:rsidRPr="00AA4AD8">
        <w:rPr>
          <w:rFonts w:eastAsia="Calibri" w:cs="Arial"/>
          <w:bCs/>
          <w:sz w:val="24"/>
          <w:szCs w:val="24"/>
          <w:lang w:eastAsia="en-US"/>
        </w:rPr>
        <w:t>SE ADICIONAN</w:t>
      </w:r>
      <w:r w:rsidRPr="00FB0788">
        <w:rPr>
          <w:rFonts w:eastAsia="Calibri" w:cs="Arial"/>
          <w:bCs/>
          <w:sz w:val="24"/>
          <w:szCs w:val="24"/>
          <w:lang w:eastAsia="en-US"/>
        </w:rPr>
        <w:t xml:space="preserve"> el artículo 14 BIS y la fracción VII al artículo 18, todos de la</w:t>
      </w:r>
      <w:r w:rsidRPr="00FB0788">
        <w:rPr>
          <w:rFonts w:eastAsia="Calibri" w:cs="Arial"/>
          <w:sz w:val="24"/>
          <w:szCs w:val="24"/>
          <w:lang w:eastAsia="en-US"/>
        </w:rPr>
        <w:t xml:space="preserve"> Ley para el Impulso y Desarrollo de la Actividad Vitivinícola del Estado de Coahuila de Zaragoza,</w:t>
      </w:r>
      <w:r w:rsidRPr="00FB0788">
        <w:rPr>
          <w:rFonts w:eastAsia="Calibri" w:cs="Arial"/>
          <w:bCs/>
          <w:sz w:val="24"/>
          <w:szCs w:val="24"/>
          <w:lang w:eastAsia="en-US"/>
        </w:rPr>
        <w:t xml:space="preserve"> </w:t>
      </w:r>
      <w:r w:rsidRPr="00FB0788">
        <w:rPr>
          <w:rFonts w:eastAsia="Arial" w:cs="Arial"/>
          <w:sz w:val="24"/>
          <w:szCs w:val="24"/>
          <w:lang w:val="es-ES" w:eastAsia="en-US"/>
        </w:rPr>
        <w:t>para quedar como sigue:</w:t>
      </w:r>
      <w:r w:rsidRPr="00FB0788">
        <w:rPr>
          <w:rFonts w:eastAsia="Arial" w:cs="Arial"/>
          <w:b/>
          <w:sz w:val="24"/>
          <w:szCs w:val="24"/>
          <w:lang w:val="es-ES" w:eastAsia="en-US"/>
        </w:rPr>
        <w:t xml:space="preserve">     </w:t>
      </w:r>
    </w:p>
    <w:p w:rsidR="00FB0788" w:rsidRDefault="00FB0788" w:rsidP="00FB0788">
      <w:pPr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rPr>
          <w:rFonts w:eastAsia="Calibri" w:cs="Arial"/>
          <w:b/>
          <w:sz w:val="24"/>
          <w:szCs w:val="24"/>
          <w:lang w:eastAsia="en-US"/>
        </w:rPr>
      </w:pPr>
      <w:r w:rsidRPr="00FB0788">
        <w:rPr>
          <w:rFonts w:eastAsia="Calibri" w:cs="Arial"/>
          <w:b/>
          <w:sz w:val="24"/>
          <w:szCs w:val="24"/>
          <w:lang w:eastAsia="en-US"/>
        </w:rPr>
        <w:t xml:space="preserve">Artículo 2.- </w:t>
      </w:r>
      <w:r w:rsidRPr="00FB0788">
        <w:rPr>
          <w:rFonts w:eastAsia="Calibri" w:cs="Arial"/>
          <w:sz w:val="24"/>
          <w:szCs w:val="24"/>
          <w:lang w:eastAsia="en-US"/>
        </w:rPr>
        <w:t xml:space="preserve">Corresponde la aplicación de esta ley al Poder Ejecutivo del Estado de Coahuila de Zaragoza, por conducto de la Secretaría de Economía y de las demás dependencias de la administración pública estatal en el ámbito de sus atribuciones, así como a los municipios en su esfera de competencia. </w:t>
      </w:r>
    </w:p>
    <w:p w:rsidR="00FB0788" w:rsidRDefault="00FB0788" w:rsidP="00FB0788">
      <w:pPr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b/>
          <w:sz w:val="24"/>
          <w:szCs w:val="24"/>
          <w:lang w:eastAsia="en-US"/>
        </w:rPr>
        <w:t xml:space="preserve">Artículo 10.- </w:t>
      </w:r>
      <w:r w:rsidRPr="00FB0788">
        <w:rPr>
          <w:rFonts w:eastAsia="Calibri" w:cs="Arial"/>
          <w:sz w:val="24"/>
          <w:szCs w:val="24"/>
          <w:lang w:eastAsia="en-US"/>
        </w:rPr>
        <w:t>La persona titular de la Secretaría de Economía, tendrá las siguientes facultades:</w:t>
      </w:r>
    </w:p>
    <w:p w:rsidR="00FB0788" w:rsidRDefault="00FB0788" w:rsidP="00FB0788">
      <w:pPr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sz w:val="24"/>
          <w:szCs w:val="24"/>
          <w:lang w:eastAsia="en-US"/>
        </w:rPr>
        <w:t>I a IV …</w:t>
      </w:r>
    </w:p>
    <w:p w:rsidR="00FB0788" w:rsidRDefault="00FB0788" w:rsidP="00FB0788">
      <w:pPr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b/>
          <w:sz w:val="24"/>
          <w:szCs w:val="24"/>
          <w:lang w:eastAsia="en-US"/>
        </w:rPr>
        <w:t xml:space="preserve">Artículo 14.- </w:t>
      </w:r>
      <w:r w:rsidRPr="00FB0788">
        <w:rPr>
          <w:rFonts w:eastAsia="Calibri" w:cs="Arial"/>
          <w:sz w:val="24"/>
          <w:szCs w:val="24"/>
          <w:lang w:eastAsia="en-US"/>
        </w:rPr>
        <w:t>La persona titular de la Secretaría de Medio Ambiente, tendrá las siguientes facultades:</w:t>
      </w:r>
    </w:p>
    <w:p w:rsidR="00FB0788" w:rsidRDefault="00FB0788" w:rsidP="00FB0788">
      <w:pPr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rPr>
          <w:rFonts w:eastAsia="Calibri" w:cs="Arial"/>
          <w:b/>
          <w:sz w:val="24"/>
          <w:szCs w:val="24"/>
          <w:lang w:eastAsia="en-US"/>
        </w:rPr>
      </w:pPr>
      <w:r w:rsidRPr="00FB0788">
        <w:rPr>
          <w:rFonts w:eastAsia="Calibri" w:cs="Arial"/>
          <w:b/>
          <w:sz w:val="24"/>
          <w:szCs w:val="24"/>
          <w:lang w:eastAsia="en-US"/>
        </w:rPr>
        <w:t>I a IV …</w:t>
      </w:r>
    </w:p>
    <w:p w:rsidR="00FB0788" w:rsidRDefault="00FB0788" w:rsidP="00FB0788">
      <w:pPr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b/>
          <w:sz w:val="24"/>
          <w:szCs w:val="24"/>
          <w:lang w:eastAsia="en-US"/>
        </w:rPr>
        <w:t xml:space="preserve">Artículo 14 BIS.- </w:t>
      </w:r>
      <w:r w:rsidRPr="00FB0788">
        <w:rPr>
          <w:rFonts w:eastAsia="Calibri" w:cs="Arial"/>
          <w:sz w:val="24"/>
          <w:szCs w:val="24"/>
          <w:lang w:eastAsia="en-US"/>
        </w:rPr>
        <w:t>La persona titular de la Secretaría de Turismo y Desarrollo de Pueblos Mágicos, tendrá las siguientes facultades:</w:t>
      </w:r>
    </w:p>
    <w:p w:rsidR="00FB0788" w:rsidRDefault="00FB0788" w:rsidP="00FB0788">
      <w:pPr>
        <w:contextualSpacing/>
        <w:jc w:val="left"/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contextualSpacing/>
        <w:jc w:val="left"/>
        <w:rPr>
          <w:rFonts w:eastAsia="Calibri" w:cs="Arial"/>
          <w:b/>
          <w:sz w:val="24"/>
          <w:szCs w:val="24"/>
          <w:lang w:eastAsia="en-US"/>
        </w:rPr>
      </w:pPr>
      <w:r w:rsidRPr="00FB0788">
        <w:rPr>
          <w:rFonts w:eastAsia="Calibri" w:cs="Arial"/>
          <w:b/>
          <w:sz w:val="24"/>
          <w:szCs w:val="24"/>
          <w:lang w:eastAsia="en-US"/>
        </w:rPr>
        <w:t xml:space="preserve">I.- </w:t>
      </w:r>
      <w:r w:rsidRPr="00FB0788">
        <w:rPr>
          <w:rFonts w:eastAsia="Calibri" w:cs="Arial"/>
          <w:sz w:val="24"/>
          <w:szCs w:val="24"/>
          <w:lang w:eastAsia="en-US"/>
        </w:rPr>
        <w:t>Formar parte de la Comisión;</w:t>
      </w:r>
    </w:p>
    <w:p w:rsidR="00FB0788" w:rsidRDefault="00FB0788" w:rsidP="00FB0788">
      <w:pPr>
        <w:contextualSpacing/>
        <w:jc w:val="left"/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contextualSpacing/>
        <w:jc w:val="left"/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b/>
          <w:sz w:val="24"/>
          <w:szCs w:val="24"/>
          <w:lang w:eastAsia="en-US"/>
        </w:rPr>
        <w:t xml:space="preserve">II.- </w:t>
      </w:r>
      <w:r w:rsidRPr="00FB0788">
        <w:rPr>
          <w:rFonts w:eastAsia="Calibri" w:cs="Arial"/>
          <w:sz w:val="24"/>
          <w:szCs w:val="24"/>
          <w:lang w:eastAsia="en-US"/>
        </w:rPr>
        <w:t xml:space="preserve">Ejecutar los acuerdos de la Comisión que le correspondan en el ámbito de sus atribuciones; </w:t>
      </w:r>
    </w:p>
    <w:p w:rsidR="00FB0788" w:rsidRDefault="00FB0788" w:rsidP="00FB0788">
      <w:pPr>
        <w:contextualSpacing/>
        <w:jc w:val="left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contextualSpacing/>
        <w:jc w:val="left"/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sz w:val="24"/>
          <w:szCs w:val="24"/>
          <w:lang w:eastAsia="en-US"/>
        </w:rPr>
        <w:t>III.- Proponer acciones para la promoción y difusión de la industria vitivinícola;</w:t>
      </w:r>
    </w:p>
    <w:p w:rsidR="00FB0788" w:rsidRDefault="00FB0788" w:rsidP="00FB0788">
      <w:pPr>
        <w:contextualSpacing/>
        <w:jc w:val="left"/>
        <w:rPr>
          <w:rFonts w:eastAsia="Calibri" w:cs="Arial"/>
          <w:sz w:val="24"/>
          <w:szCs w:val="24"/>
          <w:lang w:eastAsia="en-US"/>
        </w:rPr>
      </w:pPr>
    </w:p>
    <w:p w:rsidR="00FB0788" w:rsidRPr="00AA4AD8" w:rsidRDefault="00FB0788" w:rsidP="00AA4AD8">
      <w:pPr>
        <w:contextualSpacing/>
        <w:jc w:val="left"/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sz w:val="24"/>
          <w:szCs w:val="24"/>
          <w:lang w:eastAsia="en-US"/>
        </w:rPr>
        <w:t>IV.- Las demás que le sean conferidas en esta ley y otros ordenamientos aplicables.</w:t>
      </w:r>
    </w:p>
    <w:p w:rsidR="00FB0788" w:rsidRPr="00FB0788" w:rsidRDefault="00FB0788" w:rsidP="00FB0788">
      <w:pPr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b/>
          <w:sz w:val="24"/>
          <w:szCs w:val="24"/>
          <w:lang w:eastAsia="en-US"/>
        </w:rPr>
        <w:t xml:space="preserve">Artículo 18.- </w:t>
      </w:r>
      <w:r w:rsidRPr="00FB0788">
        <w:rPr>
          <w:rFonts w:eastAsia="Calibri" w:cs="Arial"/>
          <w:sz w:val="24"/>
          <w:szCs w:val="24"/>
          <w:lang w:eastAsia="en-US"/>
        </w:rPr>
        <w:t>La Comisión se integra por:</w:t>
      </w:r>
    </w:p>
    <w:p w:rsidR="00FB0788" w:rsidRDefault="00FB0788" w:rsidP="00FB0788">
      <w:pPr>
        <w:ind w:left="708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ind w:left="708"/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sz w:val="24"/>
          <w:szCs w:val="24"/>
          <w:lang w:eastAsia="en-US"/>
        </w:rPr>
        <w:t>I. El Ejecutivo del Estado;</w:t>
      </w:r>
    </w:p>
    <w:p w:rsidR="00FB0788" w:rsidRDefault="00FB0788" w:rsidP="00FB0788">
      <w:pPr>
        <w:ind w:left="708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ind w:left="708"/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sz w:val="24"/>
          <w:szCs w:val="24"/>
          <w:lang w:eastAsia="en-US"/>
        </w:rPr>
        <w:t>II. La Secretaría de Economía;</w:t>
      </w:r>
    </w:p>
    <w:p w:rsidR="00FB0788" w:rsidRDefault="00FB0788" w:rsidP="00FB0788">
      <w:pPr>
        <w:ind w:left="708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ind w:left="708"/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sz w:val="24"/>
          <w:szCs w:val="24"/>
          <w:lang w:eastAsia="en-US"/>
        </w:rPr>
        <w:t>III. La Secretaría de Desarrollo Rural;</w:t>
      </w:r>
    </w:p>
    <w:p w:rsidR="00FB0788" w:rsidRDefault="00FB0788" w:rsidP="00FB0788">
      <w:pPr>
        <w:ind w:left="708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ind w:left="708"/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sz w:val="24"/>
          <w:szCs w:val="24"/>
          <w:lang w:eastAsia="en-US"/>
        </w:rPr>
        <w:t>IV. La Secretaría de Salud;</w:t>
      </w:r>
    </w:p>
    <w:p w:rsidR="00FB0788" w:rsidRDefault="00FB0788" w:rsidP="00FB0788">
      <w:pPr>
        <w:ind w:left="708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ind w:left="708"/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sz w:val="24"/>
          <w:szCs w:val="24"/>
          <w:lang w:eastAsia="en-US"/>
        </w:rPr>
        <w:t>V. La Secretaría del Trabajo;</w:t>
      </w:r>
    </w:p>
    <w:p w:rsidR="00FB0788" w:rsidRDefault="00FB0788" w:rsidP="00FB0788">
      <w:pPr>
        <w:ind w:left="708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ind w:left="708"/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sz w:val="24"/>
          <w:szCs w:val="24"/>
          <w:lang w:eastAsia="en-US"/>
        </w:rPr>
        <w:t>VI. La Secretaría de Medio Ambiente; y</w:t>
      </w:r>
    </w:p>
    <w:p w:rsidR="00FB0788" w:rsidRDefault="00FB0788" w:rsidP="00FB0788">
      <w:pPr>
        <w:ind w:left="709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ind w:left="709"/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sz w:val="24"/>
          <w:szCs w:val="24"/>
          <w:lang w:eastAsia="en-US"/>
        </w:rPr>
        <w:t xml:space="preserve">VII. La Secretaría de Turismo y Desarrollo de Pueblos Mágicos. </w:t>
      </w:r>
    </w:p>
    <w:p w:rsidR="00FB0788" w:rsidRPr="00FB0788" w:rsidRDefault="00FB0788" w:rsidP="00FB0788">
      <w:pPr>
        <w:ind w:left="709"/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ind w:left="709"/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ind w:left="709"/>
        <w:rPr>
          <w:rFonts w:eastAsia="Calibri" w:cs="Arial"/>
          <w:b/>
          <w:sz w:val="24"/>
          <w:szCs w:val="24"/>
          <w:lang w:eastAsia="en-US"/>
        </w:rPr>
      </w:pPr>
      <w:r w:rsidRPr="00FB0788">
        <w:rPr>
          <w:rFonts w:eastAsia="Calibri" w:cs="Arial"/>
          <w:b/>
          <w:sz w:val="24"/>
          <w:szCs w:val="24"/>
          <w:lang w:eastAsia="en-US"/>
        </w:rPr>
        <w:t>…..</w:t>
      </w:r>
    </w:p>
    <w:p w:rsidR="00FB0788" w:rsidRPr="00FB0788" w:rsidRDefault="00FB0788" w:rsidP="00FB0788">
      <w:pPr>
        <w:ind w:left="709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ind w:left="709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ind w:left="709"/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sz w:val="24"/>
          <w:szCs w:val="24"/>
          <w:lang w:eastAsia="en-US"/>
        </w:rPr>
        <w:t>Quien sea titular de la Secretaría de Economía fungirá como coordinador de la Comisión.</w:t>
      </w:r>
    </w:p>
    <w:p w:rsidR="00FB0788" w:rsidRPr="00FB0788" w:rsidRDefault="00FB0788" w:rsidP="00FB0788">
      <w:pPr>
        <w:ind w:left="709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ind w:left="709"/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sz w:val="24"/>
          <w:szCs w:val="24"/>
          <w:lang w:eastAsia="en-US"/>
        </w:rPr>
        <w:t>Podrán ser invitados con voz pero sin voto, un representante del Poder Legislativo, quien será el coordinador de la Comisión de Desarrollo Económico, Competitividad y Turismo, operadores de reconocida trayectoria vitivinícola, representantes de instituciones educativas, asociaciones civiles y organismos privados integrantes de la sociedad civil que en razón de su profesión u ocupación, estén en posibilidad de hacer aportaciones o propuestas importantes relacionadas con la materia.</w:t>
      </w:r>
    </w:p>
    <w:p w:rsidR="00FB0788" w:rsidRPr="00FB0788" w:rsidRDefault="00FB0788" w:rsidP="00FB0788">
      <w:pPr>
        <w:ind w:left="709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ind w:left="709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ind w:left="709"/>
        <w:rPr>
          <w:rFonts w:eastAsia="Calibri" w:cs="Arial"/>
          <w:b/>
          <w:sz w:val="24"/>
          <w:szCs w:val="24"/>
          <w:lang w:eastAsia="en-US"/>
        </w:rPr>
      </w:pPr>
      <w:r w:rsidRPr="00FB0788">
        <w:rPr>
          <w:rFonts w:eastAsia="Calibri" w:cs="Arial"/>
          <w:b/>
          <w:sz w:val="24"/>
          <w:szCs w:val="24"/>
          <w:lang w:eastAsia="en-US"/>
        </w:rPr>
        <w:t>.…</w:t>
      </w:r>
    </w:p>
    <w:p w:rsidR="00FB0788" w:rsidRPr="00FB0788" w:rsidRDefault="00FB0788" w:rsidP="00FB0788">
      <w:pPr>
        <w:ind w:left="709"/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ind w:left="709"/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ind w:left="709"/>
        <w:rPr>
          <w:rFonts w:eastAsia="Calibri" w:cs="Arial"/>
          <w:sz w:val="24"/>
          <w:szCs w:val="24"/>
          <w:lang w:eastAsia="en-US"/>
        </w:rPr>
      </w:pPr>
      <w:r w:rsidRPr="00FB0788">
        <w:rPr>
          <w:rFonts w:eastAsia="Calibri" w:cs="Arial"/>
          <w:b/>
          <w:sz w:val="24"/>
          <w:szCs w:val="24"/>
          <w:lang w:eastAsia="en-US"/>
        </w:rPr>
        <w:t xml:space="preserve">Artículo 36.- </w:t>
      </w:r>
      <w:r w:rsidRPr="00FB0788">
        <w:rPr>
          <w:rFonts w:eastAsia="Calibri" w:cs="Arial"/>
          <w:sz w:val="24"/>
          <w:szCs w:val="24"/>
          <w:lang w:eastAsia="en-US"/>
        </w:rPr>
        <w:t>La Secretaría de Economía, estará a cargo del Registro Estatal de Vitivinicultores, el cual deberá contener el padrón de operadores en Coahuila de Zaragoza.</w:t>
      </w:r>
    </w:p>
    <w:p w:rsidR="00FB0788" w:rsidRPr="0005408B" w:rsidRDefault="00FB0788" w:rsidP="00FB0788">
      <w:pPr>
        <w:spacing w:after="200" w:line="276" w:lineRule="auto"/>
        <w:ind w:left="708"/>
        <w:jc w:val="center"/>
        <w:rPr>
          <w:rFonts w:eastAsia="Calibri" w:cs="Arial"/>
          <w:b/>
          <w:sz w:val="24"/>
          <w:szCs w:val="24"/>
          <w:lang w:eastAsia="en-US"/>
        </w:rPr>
      </w:pPr>
    </w:p>
    <w:p w:rsidR="00FB0788" w:rsidRPr="00FB0788" w:rsidRDefault="00FB0788" w:rsidP="00FB0788">
      <w:pPr>
        <w:spacing w:after="200" w:line="276" w:lineRule="auto"/>
        <w:ind w:left="708"/>
        <w:jc w:val="center"/>
        <w:rPr>
          <w:rFonts w:eastAsia="Calibri" w:cs="Arial"/>
          <w:b/>
          <w:sz w:val="24"/>
          <w:szCs w:val="24"/>
          <w:lang w:val="en-US" w:eastAsia="en-US"/>
        </w:rPr>
      </w:pPr>
      <w:r w:rsidRPr="00FB0788">
        <w:rPr>
          <w:rFonts w:eastAsia="Calibri" w:cs="Arial"/>
          <w:b/>
          <w:sz w:val="24"/>
          <w:szCs w:val="24"/>
          <w:lang w:val="en-US" w:eastAsia="en-US"/>
        </w:rPr>
        <w:t>T R A N S I T O R I O S</w:t>
      </w:r>
    </w:p>
    <w:p w:rsidR="00FB0788" w:rsidRPr="00FB0788" w:rsidRDefault="00FB0788" w:rsidP="00FB0788">
      <w:pPr>
        <w:spacing w:after="200" w:line="276" w:lineRule="auto"/>
        <w:ind w:left="708"/>
        <w:jc w:val="center"/>
        <w:rPr>
          <w:rFonts w:eastAsia="Calibri" w:cs="Arial"/>
          <w:b/>
          <w:sz w:val="24"/>
          <w:szCs w:val="24"/>
          <w:lang w:val="en-US" w:eastAsia="en-US"/>
        </w:rPr>
      </w:pPr>
    </w:p>
    <w:p w:rsidR="00FB0788" w:rsidRPr="00FB0788" w:rsidRDefault="00FB0788" w:rsidP="00FB0788">
      <w:pPr>
        <w:spacing w:after="200" w:line="276" w:lineRule="auto"/>
        <w:ind w:left="708"/>
        <w:rPr>
          <w:rFonts w:eastAsia="Calibri" w:cs="Arial"/>
          <w:b/>
          <w:sz w:val="24"/>
          <w:szCs w:val="24"/>
          <w:lang w:eastAsia="en-US"/>
        </w:rPr>
      </w:pPr>
      <w:r w:rsidRPr="00FB0788">
        <w:rPr>
          <w:rFonts w:eastAsia="Calibri" w:cs="Arial"/>
          <w:b/>
          <w:sz w:val="24"/>
          <w:szCs w:val="24"/>
          <w:lang w:eastAsia="en-US"/>
        </w:rPr>
        <w:lastRenderedPageBreak/>
        <w:t xml:space="preserve">ÚNICO.- </w:t>
      </w:r>
      <w:r w:rsidRPr="00FB0788">
        <w:rPr>
          <w:rFonts w:eastAsia="Calibri" w:cs="Arial"/>
          <w:sz w:val="24"/>
          <w:szCs w:val="24"/>
          <w:lang w:eastAsia="en-US"/>
        </w:rPr>
        <w:t>El presente Decreto entrará en vigor al día siguiente de su publicación en el Periódico Oficial del Gobierno del Estado.</w:t>
      </w:r>
    </w:p>
    <w:p w:rsidR="00245157" w:rsidRPr="00FB0788" w:rsidRDefault="00E77DBC"/>
    <w:p w:rsidR="00AA4AD8" w:rsidRDefault="00AA4AD8" w:rsidP="00FB0788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FB0788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dieciocho días del mes de septiembre del año dos mil diecinueve.</w:t>
      </w:r>
    </w:p>
    <w:p w:rsidR="00FB0788" w:rsidRPr="00FB0788" w:rsidRDefault="00FB0788" w:rsidP="00FB078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FB0788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FB0788" w:rsidRPr="00FB0788" w:rsidRDefault="00FB0788" w:rsidP="00FB0788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FB0788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FB0788" w:rsidRPr="00FB0788" w:rsidRDefault="00FB0788" w:rsidP="00FB078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AA4AD8" w:rsidP="00FB078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  DIPUTADO SECRETARIO</w:t>
      </w:r>
      <w:r w:rsidR="00FB0788" w:rsidRPr="00FB0788">
        <w:rPr>
          <w:rFonts w:cs="Arial"/>
          <w:b/>
          <w:snapToGrid w:val="0"/>
          <w:sz w:val="24"/>
          <w:szCs w:val="24"/>
          <w:lang w:val="es-ES_tradnl"/>
        </w:rPr>
        <w:t xml:space="preserve">  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="00FB0788" w:rsidRPr="00FB0788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FB0788" w:rsidRPr="00FB0788" w:rsidRDefault="00FB0788" w:rsidP="00FB078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FB0788" w:rsidRPr="00FB0788" w:rsidRDefault="00FB0788" w:rsidP="00FB0788">
      <w:pPr>
        <w:rPr>
          <w:rFonts w:eastAsiaTheme="minorHAnsi" w:cs="Arial"/>
          <w:sz w:val="24"/>
          <w:szCs w:val="24"/>
          <w:lang w:eastAsia="en-US"/>
        </w:rPr>
      </w:pPr>
      <w:r w:rsidRPr="00FB0788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="00AA4AD8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FB0788">
        <w:rPr>
          <w:rFonts w:cs="Arial"/>
          <w:b/>
          <w:snapToGrid w:val="0"/>
          <w:sz w:val="24"/>
          <w:szCs w:val="24"/>
          <w:lang w:val="es-ES_tradnl"/>
        </w:rPr>
        <w:t xml:space="preserve"> EDGAR GERARDO SÁNCHEZ GARZA                     JESÚS ANDRÉS LOYA CARDONA</w:t>
      </w:r>
    </w:p>
    <w:p w:rsidR="00FB0788" w:rsidRPr="00FB0788" w:rsidRDefault="00FB0788" w:rsidP="00FB0788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FB0788" w:rsidRPr="00FB0788" w:rsidRDefault="00FB0788" w:rsidP="00FB0788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FB0788" w:rsidRPr="00FB0788" w:rsidRDefault="00FB0788"/>
    <w:p w:rsidR="00FB0788" w:rsidRPr="00FB0788" w:rsidRDefault="00FB0788"/>
    <w:p w:rsidR="00FB0788" w:rsidRPr="00FB0788" w:rsidRDefault="00FB0788"/>
    <w:p w:rsidR="00FB0788" w:rsidRPr="00FB0788" w:rsidRDefault="00FB0788"/>
    <w:p w:rsidR="00FB0788" w:rsidRPr="00FB0788" w:rsidRDefault="00FB0788"/>
    <w:p w:rsidR="00FB0788" w:rsidRPr="00FB0788" w:rsidRDefault="00FB0788"/>
    <w:p w:rsidR="00FB0788" w:rsidRPr="00FB0788" w:rsidRDefault="00FB0788"/>
    <w:p w:rsidR="00FB0788" w:rsidRPr="00FB0788" w:rsidRDefault="00FB0788"/>
    <w:p w:rsidR="00FB0788" w:rsidRPr="00FB0788" w:rsidRDefault="00FB0788"/>
    <w:p w:rsidR="00FB0788" w:rsidRPr="00FB0788" w:rsidRDefault="00FB0788"/>
    <w:p w:rsidR="00FB0788" w:rsidRPr="00FB0788" w:rsidRDefault="00FB0788">
      <w:bookmarkStart w:id="0" w:name="_GoBack"/>
      <w:bookmarkEnd w:id="0"/>
    </w:p>
    <w:sectPr w:rsidR="00FB0788" w:rsidRPr="00FB0788" w:rsidSect="00FB0788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BC" w:rsidRDefault="00E77DBC" w:rsidP="0005408B">
      <w:r>
        <w:separator/>
      </w:r>
    </w:p>
  </w:endnote>
  <w:endnote w:type="continuationSeparator" w:id="0">
    <w:p w:rsidR="00E77DBC" w:rsidRDefault="00E77DBC" w:rsidP="0005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BC" w:rsidRDefault="00E77DBC" w:rsidP="0005408B">
      <w:r>
        <w:separator/>
      </w:r>
    </w:p>
  </w:footnote>
  <w:footnote w:type="continuationSeparator" w:id="0">
    <w:p w:rsidR="00E77DBC" w:rsidRDefault="00E77DBC" w:rsidP="0005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5408B" w:rsidRPr="0005408B" w:rsidTr="008E31FE">
      <w:trPr>
        <w:jc w:val="center"/>
      </w:trPr>
      <w:tc>
        <w:tcPr>
          <w:tcW w:w="1253" w:type="dxa"/>
        </w:tcPr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05408B" w:rsidRPr="0005408B" w:rsidRDefault="0005408B" w:rsidP="0005408B">
          <w:pPr>
            <w:jc w:val="center"/>
            <w:rPr>
              <w:b/>
              <w:bCs/>
              <w:sz w:val="24"/>
            </w:rPr>
          </w:pPr>
          <w:r w:rsidRPr="0005408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7A2DA49" wp14:editId="4D9CF0F8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408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8D53AC1" wp14:editId="473BBDBA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5408B" w:rsidRPr="0005408B" w:rsidRDefault="0005408B" w:rsidP="0005408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05408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05408B" w:rsidRPr="0005408B" w:rsidRDefault="0005408B" w:rsidP="0005408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05408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05408B" w:rsidRPr="0005408B" w:rsidRDefault="0005408B" w:rsidP="0005408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05408B" w:rsidRPr="0005408B" w:rsidRDefault="0005408B" w:rsidP="0005408B">
          <w:pPr>
            <w:jc w:val="center"/>
            <w:rPr>
              <w:rFonts w:ascii="Arial Narrow" w:hAnsi="Arial Narrow" w:cs="Arial"/>
              <w:sz w:val="18"/>
            </w:rPr>
          </w:pPr>
          <w:r w:rsidRPr="0005408B">
            <w:rPr>
              <w:rFonts w:ascii="Arial Narrow" w:hAnsi="Arial Narrow" w:cs="Arial"/>
              <w:sz w:val="18"/>
            </w:rPr>
            <w:t>“</w:t>
          </w:r>
          <w:r w:rsidRPr="0005408B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05408B">
            <w:rPr>
              <w:rFonts w:ascii="Arial Narrow" w:hAnsi="Arial Narrow" w:cs="Arial"/>
              <w:sz w:val="18"/>
            </w:rPr>
            <w:t>”</w:t>
          </w:r>
        </w:p>
        <w:p w:rsidR="0005408B" w:rsidRPr="0005408B" w:rsidRDefault="0005408B" w:rsidP="0005408B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  <w:p w:rsidR="0005408B" w:rsidRPr="0005408B" w:rsidRDefault="0005408B" w:rsidP="0005408B">
          <w:pPr>
            <w:jc w:val="center"/>
            <w:rPr>
              <w:b/>
              <w:bCs/>
              <w:sz w:val="12"/>
            </w:rPr>
          </w:pPr>
        </w:p>
      </w:tc>
    </w:tr>
  </w:tbl>
  <w:p w:rsidR="0005408B" w:rsidRDefault="000540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27F37"/>
    <w:multiLevelType w:val="multilevel"/>
    <w:tmpl w:val="3C427F37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A5720"/>
    <w:multiLevelType w:val="hybridMultilevel"/>
    <w:tmpl w:val="961076D2"/>
    <w:lvl w:ilvl="0" w:tplc="BB16D3F2">
      <w:start w:val="1"/>
      <w:numFmt w:val="upperRoman"/>
      <w:lvlText w:val="%1."/>
      <w:lvlJc w:val="left"/>
      <w:pPr>
        <w:ind w:left="189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53" w:hanging="360"/>
      </w:pPr>
    </w:lvl>
    <w:lvl w:ilvl="2" w:tplc="0C0A001B" w:tentative="1">
      <w:start w:val="1"/>
      <w:numFmt w:val="lowerRoman"/>
      <w:lvlText w:val="%3."/>
      <w:lvlJc w:val="right"/>
      <w:pPr>
        <w:ind w:left="2973" w:hanging="180"/>
      </w:pPr>
    </w:lvl>
    <w:lvl w:ilvl="3" w:tplc="0C0A000F" w:tentative="1">
      <w:start w:val="1"/>
      <w:numFmt w:val="decimal"/>
      <w:lvlText w:val="%4."/>
      <w:lvlJc w:val="left"/>
      <w:pPr>
        <w:ind w:left="3693" w:hanging="360"/>
      </w:pPr>
    </w:lvl>
    <w:lvl w:ilvl="4" w:tplc="0C0A0019" w:tentative="1">
      <w:start w:val="1"/>
      <w:numFmt w:val="lowerLetter"/>
      <w:lvlText w:val="%5."/>
      <w:lvlJc w:val="left"/>
      <w:pPr>
        <w:ind w:left="4413" w:hanging="360"/>
      </w:pPr>
    </w:lvl>
    <w:lvl w:ilvl="5" w:tplc="0C0A001B" w:tentative="1">
      <w:start w:val="1"/>
      <w:numFmt w:val="lowerRoman"/>
      <w:lvlText w:val="%6."/>
      <w:lvlJc w:val="right"/>
      <w:pPr>
        <w:ind w:left="5133" w:hanging="180"/>
      </w:pPr>
    </w:lvl>
    <w:lvl w:ilvl="6" w:tplc="0C0A000F" w:tentative="1">
      <w:start w:val="1"/>
      <w:numFmt w:val="decimal"/>
      <w:lvlText w:val="%7."/>
      <w:lvlJc w:val="left"/>
      <w:pPr>
        <w:ind w:left="5853" w:hanging="360"/>
      </w:pPr>
    </w:lvl>
    <w:lvl w:ilvl="7" w:tplc="0C0A0019" w:tentative="1">
      <w:start w:val="1"/>
      <w:numFmt w:val="lowerLetter"/>
      <w:lvlText w:val="%8."/>
      <w:lvlJc w:val="left"/>
      <w:pPr>
        <w:ind w:left="6573" w:hanging="360"/>
      </w:pPr>
    </w:lvl>
    <w:lvl w:ilvl="8" w:tplc="0C0A001B" w:tentative="1">
      <w:start w:val="1"/>
      <w:numFmt w:val="lowerRoman"/>
      <w:lvlText w:val="%9."/>
      <w:lvlJc w:val="right"/>
      <w:pPr>
        <w:ind w:left="7293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88"/>
    <w:rsid w:val="0005408B"/>
    <w:rsid w:val="000653EC"/>
    <w:rsid w:val="000E09B5"/>
    <w:rsid w:val="004562E7"/>
    <w:rsid w:val="00AA4AD8"/>
    <w:rsid w:val="00B804AB"/>
    <w:rsid w:val="00E77DBC"/>
    <w:rsid w:val="00FB0788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280C-0F3B-4D1C-B99D-205C0F2C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8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4A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AD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540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08B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540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08B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2019-09-18T16:28:00Z</cp:lastPrinted>
  <dcterms:created xsi:type="dcterms:W3CDTF">2019-09-25T20:51:00Z</dcterms:created>
  <dcterms:modified xsi:type="dcterms:W3CDTF">2019-09-25T20:51:00Z</dcterms:modified>
</cp:coreProperties>
</file>