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A95AC8" w:rsidRPr="00A95AC8" w:rsidRDefault="00A95AC8" w:rsidP="00A95AC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 xml:space="preserve">NÚMERO 362.- </w:t>
      </w:r>
    </w:p>
    <w:p w:rsidR="00A95AC8" w:rsidRPr="00A95AC8" w:rsidRDefault="00A95AC8" w:rsidP="00A95AC8">
      <w:pPr>
        <w:rPr>
          <w:rFonts w:eastAsia="Calibri" w:cs="Arial"/>
          <w:b/>
          <w:sz w:val="25"/>
          <w:szCs w:val="25"/>
          <w:lang w:eastAsia="en-US"/>
        </w:rPr>
      </w:pPr>
    </w:p>
    <w:p w:rsidR="00A95AC8" w:rsidRPr="00A95AC8" w:rsidRDefault="00A95AC8" w:rsidP="00A95AC8">
      <w:pPr>
        <w:spacing w:line="360" w:lineRule="auto"/>
        <w:rPr>
          <w:sz w:val="25"/>
          <w:szCs w:val="25"/>
        </w:rPr>
      </w:pPr>
    </w:p>
    <w:p w:rsidR="00A95AC8" w:rsidRPr="00A95AC8" w:rsidRDefault="00A95AC8" w:rsidP="00A95AC8">
      <w:pPr>
        <w:widowControl w:val="0"/>
        <w:autoSpaceDE w:val="0"/>
        <w:autoSpaceDN w:val="0"/>
        <w:adjustRightInd w:val="0"/>
        <w:rPr>
          <w:rFonts w:cs="Arial"/>
          <w:sz w:val="25"/>
          <w:szCs w:val="25"/>
        </w:rPr>
      </w:pPr>
      <w:r w:rsidRPr="00A95AC8">
        <w:rPr>
          <w:rFonts w:cs="Arial"/>
          <w:b/>
          <w:bCs/>
          <w:sz w:val="25"/>
          <w:szCs w:val="25"/>
        </w:rPr>
        <w:t xml:space="preserve">ARTÍCULO ÚNICO.- </w:t>
      </w:r>
      <w:r w:rsidRPr="00A95AC8">
        <w:rPr>
          <w:rFonts w:cs="Arial"/>
          <w:bCs/>
          <w:sz w:val="25"/>
          <w:szCs w:val="25"/>
        </w:rPr>
        <w:t xml:space="preserve">Se </w:t>
      </w:r>
      <w:r w:rsidRPr="00A95AC8">
        <w:rPr>
          <w:rFonts w:cs="Arial"/>
          <w:sz w:val="25"/>
          <w:szCs w:val="25"/>
        </w:rPr>
        <w:t>adiciona la fracción XL del artículo 3 y reforman el artículo 81 y 184, así como la fracción IV del artículo 185, el artículo 186, la fracción VI del artículo 213 y la fracción II del artículo 216, de la Ley de Transporte y Movilidad Sustentable para el Estado de Coahuila de Zaragoza para quedar como siguen: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b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>ARTÍCULO 3. 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>I a la XXXIX. 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b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 xml:space="preserve">XL. Niñas, niños y adolescentes. </w:t>
      </w:r>
      <w:r w:rsidRPr="00A95AC8">
        <w:rPr>
          <w:rFonts w:cs="Arial"/>
          <w:sz w:val="25"/>
          <w:szCs w:val="25"/>
        </w:rPr>
        <w:t>Se entiende por niños, niñas y adolescentes para efectos de esta ley, el concepto que señale la Ley del Sistema Estatal para la Garantía de los Derechos Humanos de Niños y Niñas del Estado de Coahuila de Zaragoza.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>ARTÍCULO 81.</w:t>
      </w:r>
      <w:r w:rsidRPr="00A95AC8">
        <w:rPr>
          <w:rFonts w:cs="Arial"/>
          <w:sz w:val="25"/>
          <w:szCs w:val="25"/>
        </w:rPr>
        <w:t xml:space="preserve"> Los operadores del servicio de transporte especializado escolar deberán cursar y acreditar una capacitación para el correcto trato de </w:t>
      </w:r>
      <w:r w:rsidRPr="00A95AC8">
        <w:rPr>
          <w:rFonts w:cs="Arial"/>
          <w:b/>
          <w:sz w:val="25"/>
          <w:szCs w:val="25"/>
        </w:rPr>
        <w:t>niñas, niños y adolescentes</w:t>
      </w:r>
      <w:r w:rsidRPr="00A95AC8">
        <w:rPr>
          <w:rFonts w:cs="Arial"/>
          <w:sz w:val="25"/>
          <w:szCs w:val="25"/>
        </w:rPr>
        <w:t>, así como de primeros auxilios.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b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>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Default="00A95AC8" w:rsidP="00A95AC8">
      <w:pPr>
        <w:tabs>
          <w:tab w:val="left" w:pos="5040"/>
        </w:tabs>
        <w:rPr>
          <w:rFonts w:cs="Arial"/>
          <w:b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 xml:space="preserve">ARTÍCULO 184. </w:t>
      </w:r>
      <w:r w:rsidRPr="00A95AC8">
        <w:rPr>
          <w:rFonts w:cs="Arial"/>
          <w:sz w:val="25"/>
          <w:szCs w:val="25"/>
        </w:rPr>
        <w:t>Tienen derecho a la tarifa preferencial: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>I a la III. 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 xml:space="preserve">Los </w:t>
      </w:r>
      <w:r w:rsidRPr="00A95AC8">
        <w:rPr>
          <w:rFonts w:cs="Arial"/>
          <w:b/>
          <w:sz w:val="25"/>
          <w:szCs w:val="25"/>
        </w:rPr>
        <w:t>niños y niñas</w:t>
      </w:r>
      <w:r w:rsidRPr="00A95AC8">
        <w:rPr>
          <w:rFonts w:cs="Arial"/>
          <w:sz w:val="25"/>
          <w:szCs w:val="25"/>
        </w:rPr>
        <w:t xml:space="preserve"> cuya estatura no sobrepase los ciento diez centímetros quedarán exentos del pago de tarifa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  <w:r w:rsidRPr="00A95AC8">
        <w:rPr>
          <w:rFonts w:cs="Arial"/>
          <w:b/>
          <w:sz w:val="25"/>
          <w:szCs w:val="25"/>
        </w:rPr>
        <w:lastRenderedPageBreak/>
        <w:t>ARTÍCULO 185.</w:t>
      </w:r>
      <w:r w:rsidRPr="00A95AC8">
        <w:rPr>
          <w:rFonts w:cs="Arial"/>
          <w:sz w:val="25"/>
          <w:szCs w:val="25"/>
        </w:rPr>
        <w:t xml:space="preserve"> Los usuarios de la tarifa preferencial podrán hacer válido su descuento presentando la documentación que en cada caso se señala a continuación:</w:t>
      </w:r>
      <w:r w:rsidRPr="00A95AC8">
        <w:rPr>
          <w:rFonts w:cs="Arial"/>
          <w:sz w:val="25"/>
          <w:szCs w:val="25"/>
        </w:rPr>
        <w:cr/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>I a la III. 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 xml:space="preserve">IV. Los </w:t>
      </w:r>
      <w:r w:rsidRPr="00A95AC8">
        <w:rPr>
          <w:rFonts w:cs="Arial"/>
          <w:b/>
          <w:sz w:val="25"/>
          <w:szCs w:val="25"/>
        </w:rPr>
        <w:t>niños y niñas menores de doce años:</w:t>
      </w:r>
      <w:r w:rsidRPr="00A95AC8">
        <w:rPr>
          <w:rFonts w:cs="Arial"/>
          <w:sz w:val="25"/>
          <w:szCs w:val="25"/>
        </w:rPr>
        <w:t xml:space="preserve"> credencial emitida por parte del municipio a través de la dependencia encargada del transporte.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b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>ARTÍCULO 186</w:t>
      </w:r>
      <w:r w:rsidRPr="00A95AC8">
        <w:rPr>
          <w:rFonts w:cs="Arial"/>
          <w:sz w:val="25"/>
          <w:szCs w:val="25"/>
        </w:rPr>
        <w:t xml:space="preserve">. La autoridad competente determinará las medidas para que </w:t>
      </w:r>
      <w:r w:rsidRPr="00A95AC8">
        <w:rPr>
          <w:rFonts w:cs="Arial"/>
          <w:b/>
          <w:sz w:val="25"/>
          <w:szCs w:val="25"/>
        </w:rPr>
        <w:t>los niños, niñas</w:t>
      </w:r>
      <w:r w:rsidRPr="00A95AC8">
        <w:rPr>
          <w:rFonts w:cs="Arial"/>
          <w:sz w:val="25"/>
          <w:szCs w:val="25"/>
        </w:rPr>
        <w:t xml:space="preserve"> y adolescentes cuya estatura no sobrepase los ciento diez centímetros tengan acceso al servicio sin costo.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b/>
          <w:sz w:val="25"/>
          <w:szCs w:val="25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>ARTÍCULO 213</w:t>
      </w:r>
      <w:r w:rsidRPr="00A95AC8">
        <w:rPr>
          <w:rFonts w:cs="Arial"/>
          <w:sz w:val="25"/>
          <w:szCs w:val="25"/>
        </w:rPr>
        <w:t>.- Los ciclistas tendrán las siguientes obligaciones: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>I a la V. 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 xml:space="preserve">VI. Circular preferentemente, por las vías destinadas para ello; no podrá circular sobre las banquetas y áreas reservadas al uso exclusivo de peatones; con excepción de </w:t>
      </w:r>
      <w:r w:rsidRPr="00A95AC8">
        <w:rPr>
          <w:rFonts w:cs="Arial"/>
          <w:b/>
          <w:sz w:val="25"/>
          <w:szCs w:val="25"/>
        </w:rPr>
        <w:t>las niñas y niños menores de 12 años</w:t>
      </w:r>
      <w:r w:rsidRPr="00A95AC8">
        <w:rPr>
          <w:rFonts w:cs="Arial"/>
          <w:sz w:val="25"/>
          <w:szCs w:val="25"/>
        </w:rPr>
        <w:t xml:space="preserve"> y los elementos de seguridad pública que conduzcan vehículos no motorizados en el cumplimiento de su deber;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>VII a la XIV. 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b/>
          <w:sz w:val="25"/>
          <w:szCs w:val="25"/>
        </w:rPr>
        <w:t>ARTÍCULO 216.</w:t>
      </w:r>
      <w:r w:rsidRPr="00A95AC8">
        <w:rPr>
          <w:rFonts w:cs="Arial"/>
          <w:sz w:val="25"/>
          <w:szCs w:val="25"/>
        </w:rPr>
        <w:t xml:space="preserve"> Por seguridad lo</w:t>
      </w:r>
      <w:bookmarkStart w:id="0" w:name="_GoBack"/>
      <w:bookmarkEnd w:id="0"/>
      <w:r w:rsidRPr="00A95AC8">
        <w:rPr>
          <w:rFonts w:cs="Arial"/>
          <w:sz w:val="25"/>
          <w:szCs w:val="25"/>
        </w:rPr>
        <w:t>s ciclistas y en su caso, los pasajeros que vayan con ellos estarán obligados a utilizar: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  <w:r w:rsidRPr="00A95AC8">
        <w:rPr>
          <w:rFonts w:cs="Arial"/>
          <w:sz w:val="25"/>
          <w:szCs w:val="25"/>
        </w:rPr>
        <w:t xml:space="preserve"> 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5"/>
          <w:szCs w:val="25"/>
        </w:rPr>
      </w:pPr>
      <w:r w:rsidRPr="00A95AC8">
        <w:rPr>
          <w:rFonts w:cs="Arial"/>
          <w:sz w:val="25"/>
          <w:szCs w:val="25"/>
        </w:rPr>
        <w:t xml:space="preserve">I. </w:t>
      </w:r>
      <w:r w:rsidRPr="00A95AC8">
        <w:rPr>
          <w:rFonts w:cs="Arial"/>
          <w:b/>
          <w:sz w:val="25"/>
          <w:szCs w:val="25"/>
        </w:rPr>
        <w:t>…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</w:p>
    <w:p w:rsidR="00A95AC8" w:rsidRPr="00A95AC8" w:rsidRDefault="00A95AC8" w:rsidP="00A95AC8">
      <w:pPr>
        <w:tabs>
          <w:tab w:val="left" w:pos="5040"/>
        </w:tabs>
        <w:rPr>
          <w:rFonts w:cs="Arial"/>
          <w:b/>
          <w:sz w:val="25"/>
          <w:szCs w:val="25"/>
        </w:rPr>
      </w:pPr>
      <w:r w:rsidRPr="00A95AC8">
        <w:rPr>
          <w:rFonts w:cs="Arial"/>
          <w:sz w:val="25"/>
          <w:szCs w:val="25"/>
        </w:rPr>
        <w:t xml:space="preserve">II. Casco obligatorio sólo en </w:t>
      </w:r>
      <w:r w:rsidRPr="00A95AC8">
        <w:rPr>
          <w:rFonts w:cs="Arial"/>
          <w:b/>
          <w:sz w:val="25"/>
          <w:szCs w:val="25"/>
        </w:rPr>
        <w:t>niñas y niños menores de 12 años de edad;</w:t>
      </w:r>
    </w:p>
    <w:p w:rsidR="00A95AC8" w:rsidRPr="00A95AC8" w:rsidRDefault="00A95AC8" w:rsidP="00A95AC8">
      <w:pPr>
        <w:tabs>
          <w:tab w:val="left" w:pos="5040"/>
        </w:tabs>
        <w:rPr>
          <w:rFonts w:cs="Arial"/>
          <w:sz w:val="26"/>
          <w:szCs w:val="26"/>
        </w:rPr>
      </w:pPr>
    </w:p>
    <w:p w:rsidR="00A95AC8" w:rsidRPr="002A2B22" w:rsidRDefault="00A95AC8" w:rsidP="00A95AC8">
      <w:pPr>
        <w:tabs>
          <w:tab w:val="left" w:pos="5040"/>
        </w:tabs>
        <w:rPr>
          <w:rFonts w:cs="Arial"/>
          <w:sz w:val="25"/>
          <w:szCs w:val="25"/>
          <w:lang w:val="en-US"/>
        </w:rPr>
      </w:pPr>
      <w:r w:rsidRPr="002A2B22">
        <w:rPr>
          <w:rFonts w:cs="Arial"/>
          <w:sz w:val="25"/>
          <w:szCs w:val="25"/>
          <w:lang w:val="en-US"/>
        </w:rPr>
        <w:t>III. …</w:t>
      </w:r>
    </w:p>
    <w:p w:rsidR="00A95AC8" w:rsidRPr="002A2B22" w:rsidRDefault="00A95AC8" w:rsidP="00A95AC8">
      <w:pPr>
        <w:widowControl w:val="0"/>
        <w:autoSpaceDE w:val="0"/>
        <w:autoSpaceDN w:val="0"/>
        <w:adjustRightInd w:val="0"/>
        <w:rPr>
          <w:rFonts w:cs="Arial"/>
          <w:b/>
          <w:bCs/>
          <w:sz w:val="25"/>
          <w:szCs w:val="25"/>
          <w:lang w:val="en-US"/>
        </w:rPr>
      </w:pPr>
    </w:p>
    <w:p w:rsidR="00A95AC8" w:rsidRPr="002A2B22" w:rsidRDefault="00A95AC8" w:rsidP="00A95AC8">
      <w:pPr>
        <w:widowControl w:val="0"/>
        <w:autoSpaceDE w:val="0"/>
        <w:autoSpaceDN w:val="0"/>
        <w:adjustRightInd w:val="0"/>
        <w:rPr>
          <w:rFonts w:cs="Arial"/>
          <w:b/>
          <w:bCs/>
          <w:sz w:val="25"/>
          <w:szCs w:val="25"/>
          <w:lang w:val="en-US"/>
        </w:rPr>
      </w:pPr>
    </w:p>
    <w:p w:rsidR="00A95AC8" w:rsidRPr="002A2B22" w:rsidRDefault="00A95AC8" w:rsidP="00A95AC8">
      <w:pPr>
        <w:widowControl w:val="0"/>
        <w:autoSpaceDE w:val="0"/>
        <w:autoSpaceDN w:val="0"/>
        <w:adjustRightInd w:val="0"/>
        <w:rPr>
          <w:rFonts w:cs="Arial"/>
          <w:b/>
          <w:bCs/>
          <w:sz w:val="25"/>
          <w:szCs w:val="25"/>
          <w:lang w:val="en-US"/>
        </w:rPr>
      </w:pPr>
    </w:p>
    <w:p w:rsidR="00A95AC8" w:rsidRPr="002A2B22" w:rsidRDefault="00A95AC8" w:rsidP="00A95AC8">
      <w:pPr>
        <w:jc w:val="center"/>
        <w:rPr>
          <w:rFonts w:cs="Arial"/>
          <w:b/>
          <w:sz w:val="25"/>
          <w:szCs w:val="25"/>
          <w:lang w:val="en-US"/>
        </w:rPr>
      </w:pPr>
      <w:r w:rsidRPr="002A2B22">
        <w:rPr>
          <w:rFonts w:cs="Arial"/>
          <w:b/>
          <w:sz w:val="25"/>
          <w:szCs w:val="25"/>
          <w:lang w:val="en-US"/>
        </w:rPr>
        <w:t>T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R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proofErr w:type="gramStart"/>
      <w:r w:rsidRPr="002A2B22">
        <w:rPr>
          <w:rFonts w:cs="Arial"/>
          <w:b/>
          <w:sz w:val="25"/>
          <w:szCs w:val="25"/>
          <w:lang w:val="en-US"/>
        </w:rPr>
        <w:t>A</w:t>
      </w:r>
      <w:proofErr w:type="gramEnd"/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N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S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I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T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O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R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I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O</w:t>
      </w:r>
      <w:r w:rsidR="00414F90" w:rsidRPr="002A2B22">
        <w:rPr>
          <w:rFonts w:cs="Arial"/>
          <w:b/>
          <w:sz w:val="25"/>
          <w:szCs w:val="25"/>
          <w:lang w:val="en-US"/>
        </w:rPr>
        <w:t xml:space="preserve"> </w:t>
      </w:r>
      <w:r w:rsidRPr="002A2B22">
        <w:rPr>
          <w:rFonts w:cs="Arial"/>
          <w:b/>
          <w:sz w:val="25"/>
          <w:szCs w:val="25"/>
          <w:lang w:val="en-US"/>
        </w:rPr>
        <w:t>S</w:t>
      </w:r>
    </w:p>
    <w:p w:rsidR="00A95AC8" w:rsidRPr="002A2B22" w:rsidRDefault="00A95AC8" w:rsidP="00A95AC8">
      <w:pPr>
        <w:jc w:val="center"/>
        <w:rPr>
          <w:rFonts w:cs="Arial"/>
          <w:b/>
          <w:sz w:val="25"/>
          <w:szCs w:val="25"/>
          <w:lang w:val="en-US"/>
        </w:rPr>
      </w:pPr>
    </w:p>
    <w:p w:rsidR="00A95AC8" w:rsidRPr="002A2B22" w:rsidRDefault="00A95AC8" w:rsidP="00A95AC8">
      <w:pPr>
        <w:jc w:val="center"/>
        <w:rPr>
          <w:rFonts w:cs="Arial"/>
          <w:b/>
          <w:sz w:val="25"/>
          <w:szCs w:val="25"/>
          <w:lang w:val="en-US"/>
        </w:rPr>
      </w:pPr>
    </w:p>
    <w:p w:rsidR="00A95AC8" w:rsidRPr="002A2B22" w:rsidRDefault="00A95AC8" w:rsidP="00A95AC8">
      <w:pPr>
        <w:jc w:val="center"/>
        <w:rPr>
          <w:rFonts w:cs="Arial"/>
          <w:b/>
          <w:sz w:val="25"/>
          <w:szCs w:val="25"/>
          <w:lang w:val="en-US"/>
        </w:rPr>
      </w:pPr>
    </w:p>
    <w:p w:rsidR="00A95AC8" w:rsidRPr="00A95AC8" w:rsidRDefault="00A95AC8" w:rsidP="00A95AC8">
      <w:pPr>
        <w:rPr>
          <w:rFonts w:cs="Arial"/>
          <w:sz w:val="25"/>
          <w:szCs w:val="25"/>
        </w:rPr>
      </w:pPr>
      <w:proofErr w:type="gramStart"/>
      <w:r w:rsidRPr="00A95AC8">
        <w:rPr>
          <w:rFonts w:cs="Arial"/>
          <w:b/>
          <w:sz w:val="25"/>
          <w:szCs w:val="25"/>
        </w:rPr>
        <w:t>ÚNICO.-</w:t>
      </w:r>
      <w:proofErr w:type="gramEnd"/>
      <w:r w:rsidRPr="00A95AC8">
        <w:rPr>
          <w:rFonts w:cs="Arial"/>
          <w:b/>
          <w:sz w:val="25"/>
          <w:szCs w:val="25"/>
        </w:rPr>
        <w:t xml:space="preserve"> </w:t>
      </w:r>
      <w:r w:rsidRPr="00A95AC8">
        <w:rPr>
          <w:rFonts w:cs="Arial"/>
          <w:sz w:val="25"/>
          <w:szCs w:val="25"/>
        </w:rPr>
        <w:t>El presente decreto entrará en vigor al día siguiente de su publicación en el Periódico Oficial del Gobierno del Estado.</w:t>
      </w:r>
    </w:p>
    <w:p w:rsidR="00A95AC8" w:rsidRPr="00A95AC8" w:rsidRDefault="00A95AC8" w:rsidP="00A95AC8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Default="00A95AC8" w:rsidP="00A95AC8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Default="00A95AC8" w:rsidP="00A95AC8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veinticinco días del mes de septiembre del año dos mil diecinueve.</w:t>
      </w:r>
    </w:p>
    <w:p w:rsidR="00A95AC8" w:rsidRPr="00A95AC8" w:rsidRDefault="00A95AC8" w:rsidP="00A95AC8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A95AC8" w:rsidRPr="00A95AC8" w:rsidRDefault="00A95AC8" w:rsidP="00A95AC8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A95AC8" w:rsidRPr="00A95AC8" w:rsidRDefault="00A95AC8" w:rsidP="00A95AC8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 xml:space="preserve">               DIPUTADA SECRETARIA                                  DIPUTADO SECRETARIO</w:t>
      </w: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A95AC8" w:rsidRPr="00A95AC8" w:rsidRDefault="00A95AC8" w:rsidP="00A95AC8">
      <w:pPr>
        <w:rPr>
          <w:rFonts w:eastAsiaTheme="minorHAnsi" w:cs="Arial"/>
          <w:sz w:val="25"/>
          <w:szCs w:val="25"/>
          <w:lang w:eastAsia="en-US"/>
        </w:rPr>
      </w:pPr>
      <w:r w:rsidRPr="00A95AC8">
        <w:rPr>
          <w:rFonts w:cs="Arial"/>
          <w:b/>
          <w:snapToGrid w:val="0"/>
          <w:sz w:val="25"/>
          <w:szCs w:val="25"/>
          <w:lang w:val="es-ES_tradnl"/>
        </w:rPr>
        <w:t>ZULMMA VERENICE GUERRERO CÁZARES     JUAN CARLOS GUERRA LÓPEZ NEGRETE</w:t>
      </w:r>
    </w:p>
    <w:p w:rsidR="00A95AC8" w:rsidRPr="00A95AC8" w:rsidRDefault="00A95AC8" w:rsidP="00A95AC8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A95AC8" w:rsidRPr="00A95AC8" w:rsidRDefault="00A95AC8" w:rsidP="00A95AC8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A95AC8" w:rsidRPr="00A95AC8" w:rsidRDefault="00A95AC8" w:rsidP="00A95AC8">
      <w:pPr>
        <w:rPr>
          <w:sz w:val="25"/>
          <w:szCs w:val="25"/>
        </w:rPr>
      </w:pPr>
    </w:p>
    <w:p w:rsidR="00245157" w:rsidRPr="00A95AC8" w:rsidRDefault="004F7A71">
      <w:pPr>
        <w:rPr>
          <w:sz w:val="25"/>
          <w:szCs w:val="25"/>
        </w:rPr>
      </w:pPr>
    </w:p>
    <w:sectPr w:rsidR="00245157" w:rsidRPr="00A95AC8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71" w:rsidRDefault="004F7A71" w:rsidP="002A2B22">
      <w:r>
        <w:separator/>
      </w:r>
    </w:p>
  </w:endnote>
  <w:endnote w:type="continuationSeparator" w:id="0">
    <w:p w:rsidR="004F7A71" w:rsidRDefault="004F7A71" w:rsidP="002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71" w:rsidRDefault="004F7A71" w:rsidP="002A2B22">
      <w:r>
        <w:separator/>
      </w:r>
    </w:p>
  </w:footnote>
  <w:footnote w:type="continuationSeparator" w:id="0">
    <w:p w:rsidR="004F7A71" w:rsidRDefault="004F7A71" w:rsidP="002A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2B22" w:rsidRPr="00426776" w:rsidTr="00D07C6E">
      <w:trPr>
        <w:jc w:val="center"/>
      </w:trPr>
      <w:tc>
        <w:tcPr>
          <w:tcW w:w="1253" w:type="dxa"/>
        </w:tcPr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2B22" w:rsidRPr="00426776" w:rsidRDefault="002A2B22" w:rsidP="002A2B22">
          <w:pPr>
            <w:jc w:val="center"/>
            <w:rPr>
              <w:b/>
              <w:bCs/>
              <w:sz w:val="24"/>
            </w:rPr>
          </w:pPr>
          <w:r w:rsidRPr="00426776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895BB1" wp14:editId="6E8F6698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6776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E5FD87F" wp14:editId="0E013C9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2B22" w:rsidRPr="00426776" w:rsidRDefault="002A2B22" w:rsidP="002A2B2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2677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2A2B22" w:rsidRPr="00426776" w:rsidRDefault="002A2B22" w:rsidP="002A2B2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26776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2B22" w:rsidRPr="00426776" w:rsidRDefault="002A2B22" w:rsidP="002A2B22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2A2B22" w:rsidRPr="00426776" w:rsidRDefault="002A2B22" w:rsidP="002A2B22">
          <w:pPr>
            <w:jc w:val="center"/>
            <w:rPr>
              <w:rFonts w:ascii="Arial Narrow" w:hAnsi="Arial Narrow" w:cs="Arial"/>
              <w:sz w:val="18"/>
            </w:rPr>
          </w:pPr>
          <w:r w:rsidRPr="00426776">
            <w:rPr>
              <w:rFonts w:ascii="Arial Narrow" w:hAnsi="Arial Narrow" w:cs="Arial"/>
              <w:sz w:val="18"/>
            </w:rPr>
            <w:t>“</w:t>
          </w:r>
          <w:r w:rsidRPr="00426776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426776">
            <w:rPr>
              <w:rFonts w:ascii="Arial Narrow" w:hAnsi="Arial Narrow" w:cs="Arial"/>
              <w:sz w:val="18"/>
            </w:rPr>
            <w:t>”</w:t>
          </w:r>
        </w:p>
        <w:p w:rsidR="002A2B22" w:rsidRPr="00426776" w:rsidRDefault="002A2B22" w:rsidP="002A2B2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  <w:p w:rsidR="002A2B22" w:rsidRPr="00426776" w:rsidRDefault="002A2B22" w:rsidP="002A2B22">
          <w:pPr>
            <w:jc w:val="center"/>
            <w:rPr>
              <w:b/>
              <w:bCs/>
              <w:sz w:val="12"/>
            </w:rPr>
          </w:pPr>
        </w:p>
      </w:tc>
    </w:tr>
  </w:tbl>
  <w:p w:rsidR="002A2B22" w:rsidRDefault="002A2B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C8"/>
    <w:rsid w:val="000653EC"/>
    <w:rsid w:val="002A2B22"/>
    <w:rsid w:val="00414F90"/>
    <w:rsid w:val="004562E7"/>
    <w:rsid w:val="004F7A71"/>
    <w:rsid w:val="00844775"/>
    <w:rsid w:val="00912EB5"/>
    <w:rsid w:val="00A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EB8A-A80E-48F0-9612-9A39FD0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F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9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2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B2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2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2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2019-09-25T15:59:00Z</cp:lastPrinted>
  <dcterms:created xsi:type="dcterms:W3CDTF">2019-10-01T20:38:00Z</dcterms:created>
  <dcterms:modified xsi:type="dcterms:W3CDTF">2019-10-01T20:38:00Z</dcterms:modified>
</cp:coreProperties>
</file>