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DECRETA:</w:t>
      </w:r>
    </w:p>
    <w:p w:rsidR="005F2D4D" w:rsidRPr="005F2D4D" w:rsidRDefault="005F2D4D" w:rsidP="005F2D4D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 xml:space="preserve">NÚMERO 387.- </w:t>
      </w:r>
    </w:p>
    <w:p w:rsidR="005F2D4D" w:rsidRPr="005F2D4D" w:rsidRDefault="005F2D4D" w:rsidP="005F2D4D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Cs/>
          <w:color w:val="000000"/>
          <w:sz w:val="22"/>
          <w:szCs w:val="22"/>
          <w:lang w:eastAsia="en-US"/>
        </w:rPr>
      </w:pPr>
      <w:r w:rsidRPr="005F2D4D">
        <w:rPr>
          <w:rFonts w:eastAsia="Calibri" w:cs="Arial"/>
          <w:b/>
          <w:sz w:val="22"/>
          <w:szCs w:val="22"/>
          <w:lang w:eastAsia="en-US"/>
        </w:rPr>
        <w:t xml:space="preserve">ARTÍCULO ÚNICO. </w:t>
      </w:r>
      <w:r w:rsidRPr="005F2D4D">
        <w:rPr>
          <w:rFonts w:eastAsiaTheme="minorHAnsi" w:cs="Arial"/>
          <w:bCs/>
          <w:color w:val="000000"/>
          <w:sz w:val="22"/>
          <w:szCs w:val="22"/>
          <w:lang w:eastAsia="en-US"/>
        </w:rPr>
        <w:t>Se adici</w:t>
      </w:r>
      <w:bookmarkStart w:id="0" w:name="_GoBack"/>
      <w:bookmarkEnd w:id="0"/>
      <w:r w:rsidRPr="005F2D4D">
        <w:rPr>
          <w:rFonts w:eastAsiaTheme="minorHAnsi" w:cs="Arial"/>
          <w:bCs/>
          <w:color w:val="000000"/>
          <w:sz w:val="22"/>
          <w:szCs w:val="22"/>
          <w:lang w:eastAsia="en-US"/>
        </w:rPr>
        <w:t>ona un nuevo párrafo cuarto al artículo 173, de la Constitución Política del Estado de Coahuila de Zaragoza, recorriéndose los ulteriores, para quedar como sigue:</w:t>
      </w: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Cs/>
          <w:color w:val="000000"/>
          <w:sz w:val="22"/>
          <w:szCs w:val="22"/>
          <w:lang w:eastAsia="en-US"/>
        </w:rPr>
      </w:pP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5F2D4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Artículo 173.  …</w:t>
      </w: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5F2D4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…</w:t>
      </w: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5F2D4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…</w:t>
      </w:r>
    </w:p>
    <w:p w:rsidR="005F2D4D" w:rsidRPr="005F2D4D" w:rsidRDefault="005F2D4D" w:rsidP="005F2D4D">
      <w:pPr>
        <w:rPr>
          <w:rFonts w:cs="Arial"/>
          <w:bCs/>
          <w:color w:val="000000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  <w:r w:rsidRPr="005F2D4D">
        <w:rPr>
          <w:rFonts w:cs="Arial"/>
          <w:bCs/>
          <w:color w:val="000000"/>
          <w:sz w:val="22"/>
          <w:szCs w:val="22"/>
        </w:rPr>
        <w:t xml:space="preserve">La Patria Potestad es el conjunto </w:t>
      </w:r>
      <w:r w:rsidRPr="005F2D4D">
        <w:rPr>
          <w:rFonts w:cs="Arial"/>
          <w:sz w:val="22"/>
          <w:szCs w:val="22"/>
        </w:rPr>
        <w:t xml:space="preserve">de derechos y deberes recíprocos, reflejo de la filiación, que corresponde por una parte a los padres y en su defecto a los abuelos y por la otra parte a los descendientes niñas o niños no emancipados, cuyo objeto es su desarrollo integral, la guarda de su persona y de sus bienes, así como su asistencia y representación legal. Es una función de interés público que se ejerce atendiendo al interés superior de la infancia, </w:t>
      </w:r>
      <w:r w:rsidRPr="005F2D4D">
        <w:rPr>
          <w:rFonts w:cs="Arial"/>
          <w:bCs/>
          <w:color w:val="000000"/>
          <w:sz w:val="22"/>
          <w:szCs w:val="22"/>
        </w:rPr>
        <w:t>por lo tanto,</w:t>
      </w:r>
      <w:r w:rsidRPr="005F2D4D">
        <w:rPr>
          <w:rFonts w:cs="Arial"/>
          <w:color w:val="000000"/>
          <w:sz w:val="22"/>
          <w:szCs w:val="22"/>
        </w:rPr>
        <w:t xml:space="preserve"> dicha autoridad no podrá ser menoscabada, limitada ni suspendida sino mediante un mandamiento judicial, decretado fundadamente por un Juez, con conocimiento de causa y después de que los involucrados puedan ser oídos y vencidos en juicio, </w:t>
      </w:r>
      <w:r w:rsidRPr="005F2D4D">
        <w:rPr>
          <w:rFonts w:cs="Arial"/>
          <w:sz w:val="22"/>
          <w:szCs w:val="22"/>
        </w:rPr>
        <w:t xml:space="preserve">salvo lo dispuesto en las disposiciones aplicables, y </w:t>
      </w:r>
      <w:r w:rsidRPr="005F2D4D">
        <w:rPr>
          <w:rFonts w:cs="Arial"/>
          <w:noProof/>
          <w:sz w:val="22"/>
          <w:szCs w:val="22"/>
        </w:rPr>
        <w:t>los casos en que niños, niñas y adolescentes sean colocados en una situación de riesgo inminente e inmediato en la que se vean vulnerados sus derechos, debiendo actuar la autoridad competente de manera inmediata, urgente y expedita garantizando el interés superior de la infancia, mediante los mecanismos establecidos en la Ley de la Materia.</w:t>
      </w:r>
    </w:p>
    <w:p w:rsidR="005F2D4D" w:rsidRPr="005F2D4D" w:rsidRDefault="005F2D4D" w:rsidP="005F2D4D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t>El Estado realizará una política de previsión, tratamiento, rehabilitación e integración de los minusválidos, a los que prestará la atención especializada que requieran.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t>Los ancianos tienen derecho al respeto y consideración de sus semejantes. En caso de desamparo, el Estado promoverá su bienestar mediante un sistema de servicios sociales que atenderán sus problemas específicos de salud, alimentación, vivienda y recreación.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t>Se reconoce la igualdad de derechos del hombre y de la mujer en todos los ámbitos de la vida cultural, social, jurídica, política y económica.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t>Toda persona tiene derecho a la protección de la salud.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lastRenderedPageBreak/>
        <w:t>Toda familia tiene derecho a disfrutar de vivienda digna y decorosa.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  <w:r w:rsidRPr="005F2D4D">
        <w:rPr>
          <w:rFonts w:eastAsiaTheme="minorHAnsi" w:cs="Arial"/>
          <w:sz w:val="22"/>
          <w:szCs w:val="22"/>
          <w:lang w:eastAsia="en-US"/>
        </w:rPr>
        <w:t>La Ley establecerá los medios y apoyos necesarios para el logro de estos objetivos.</w:t>
      </w: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jc w:val="center"/>
        <w:rPr>
          <w:rFonts w:eastAsiaTheme="minorHAnsi" w:cs="Arial"/>
          <w:b/>
          <w:bCs/>
          <w:sz w:val="22"/>
          <w:szCs w:val="22"/>
          <w:lang w:val="en-US" w:eastAsia="en-US"/>
        </w:rPr>
      </w:pPr>
      <w:r w:rsidRPr="005F2D4D">
        <w:rPr>
          <w:rFonts w:eastAsiaTheme="minorHAnsi" w:cs="Arial"/>
          <w:b/>
          <w:bCs/>
          <w:sz w:val="22"/>
          <w:szCs w:val="22"/>
          <w:lang w:val="en-US" w:eastAsia="en-US"/>
        </w:rPr>
        <w:t>T R A N S I T O R I O</w:t>
      </w:r>
    </w:p>
    <w:p w:rsidR="005F2D4D" w:rsidRPr="005F2D4D" w:rsidRDefault="005F2D4D" w:rsidP="005F2D4D">
      <w:pPr>
        <w:jc w:val="center"/>
        <w:rPr>
          <w:rFonts w:eastAsiaTheme="minorHAnsi" w:cs="Arial"/>
          <w:b/>
          <w:bCs/>
          <w:sz w:val="22"/>
          <w:szCs w:val="22"/>
          <w:lang w:val="en-US" w:eastAsia="en-US"/>
        </w:rPr>
      </w:pPr>
    </w:p>
    <w:p w:rsidR="005F2D4D" w:rsidRPr="005F2D4D" w:rsidRDefault="005F2D4D" w:rsidP="005F2D4D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5F2D4D">
        <w:rPr>
          <w:rFonts w:eastAsiaTheme="minorHAnsi" w:cs="Arial"/>
          <w:b/>
          <w:bCs/>
          <w:sz w:val="22"/>
          <w:szCs w:val="22"/>
          <w:lang w:eastAsia="en-US"/>
        </w:rPr>
        <w:t>ÚNICO.-</w:t>
      </w:r>
      <w:r w:rsidRPr="005F2D4D">
        <w:rPr>
          <w:rFonts w:eastAsiaTheme="minorHAnsi" w:cs="Arial"/>
          <w:sz w:val="22"/>
          <w:szCs w:val="22"/>
          <w:lang w:eastAsia="en-US"/>
        </w:rPr>
        <w:t xml:space="preserve"> </w:t>
      </w:r>
      <w:r w:rsidRPr="005F2D4D">
        <w:rPr>
          <w:rFonts w:eastAsiaTheme="minorHAnsi" w:cs="Arial"/>
          <w:color w:val="000000"/>
          <w:sz w:val="22"/>
          <w:szCs w:val="22"/>
          <w:lang w:eastAsia="en-US"/>
        </w:rPr>
        <w:t>El presente decreto entrará en vigor el día siguiente al de su publicación en el Periódico Oficial del Estado.</w:t>
      </w:r>
    </w:p>
    <w:p w:rsidR="005F2D4D" w:rsidRPr="005F2D4D" w:rsidRDefault="005F2D4D" w:rsidP="005F2D4D">
      <w:pPr>
        <w:spacing w:line="360" w:lineRule="auto"/>
        <w:rPr>
          <w:rFonts w:cs="Arial"/>
          <w:sz w:val="22"/>
          <w:szCs w:val="22"/>
        </w:rPr>
      </w:pPr>
    </w:p>
    <w:p w:rsidR="005F2D4D" w:rsidRPr="005F2D4D" w:rsidRDefault="005F2D4D" w:rsidP="005F2D4D">
      <w:pPr>
        <w:widowControl w:val="0"/>
        <w:tabs>
          <w:tab w:val="left" w:pos="8749"/>
        </w:tabs>
        <w:rPr>
          <w:rFonts w:eastAsia="Calibri" w:cs="Arial"/>
          <w:b/>
          <w:sz w:val="22"/>
          <w:szCs w:val="22"/>
          <w:lang w:eastAsia="en-US"/>
        </w:rPr>
      </w:pPr>
    </w:p>
    <w:p w:rsidR="005F2D4D" w:rsidRPr="005F2D4D" w:rsidRDefault="005F2D4D" w:rsidP="005F2D4D">
      <w:pPr>
        <w:widowControl w:val="0"/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widowControl w:val="0"/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DADO en la Ciudad de Saltillo, Coahuila de Zaragoza, a los seis días del mes de noviembre del año dos mil diecinueve.</w:t>
      </w: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center"/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DIPUTADA VICEPRESIDENTA</w:t>
      </w:r>
    </w:p>
    <w:p w:rsidR="005F2D4D" w:rsidRPr="005F2D4D" w:rsidRDefault="005F2D4D" w:rsidP="005F2D4D">
      <w:pPr>
        <w:tabs>
          <w:tab w:val="left" w:pos="8749"/>
        </w:tabs>
        <w:jc w:val="center"/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EN FUNCIONES DE PRESIDENTA</w:t>
      </w:r>
    </w:p>
    <w:p w:rsidR="005F2D4D" w:rsidRPr="005F2D4D" w:rsidRDefault="005F2D4D" w:rsidP="005F2D4D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jc w:val="center"/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>MARÍA ESPERANZA CHAPA GARCÍA</w:t>
      </w: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 xml:space="preserve">               DIPUTADO SECRETARIO                                        </w:t>
      </w:r>
      <w:r>
        <w:rPr>
          <w:rFonts w:cs="Arial"/>
          <w:b/>
          <w:snapToGrid w:val="0"/>
          <w:sz w:val="22"/>
          <w:szCs w:val="22"/>
          <w:lang w:val="es-ES_tradnl"/>
        </w:rPr>
        <w:t xml:space="preserve">              </w:t>
      </w:r>
      <w:r w:rsidRPr="005F2D4D">
        <w:rPr>
          <w:rFonts w:cs="Arial"/>
          <w:b/>
          <w:snapToGrid w:val="0"/>
          <w:sz w:val="22"/>
          <w:szCs w:val="22"/>
          <w:lang w:val="es-ES_tradnl"/>
        </w:rPr>
        <w:t xml:space="preserve"> DIPUTADO SECRETARIO</w:t>
      </w: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cs="Arial"/>
          <w:b/>
          <w:snapToGrid w:val="0"/>
          <w:sz w:val="22"/>
          <w:szCs w:val="22"/>
          <w:lang w:val="es-ES_tradnl"/>
        </w:rPr>
        <w:t xml:space="preserve">         </w:t>
      </w:r>
    </w:p>
    <w:p w:rsidR="005F2D4D" w:rsidRPr="005F2D4D" w:rsidRDefault="005F2D4D" w:rsidP="005F2D4D">
      <w:pPr>
        <w:rPr>
          <w:rFonts w:cs="Arial"/>
          <w:b/>
          <w:snapToGrid w:val="0"/>
          <w:sz w:val="22"/>
          <w:szCs w:val="22"/>
          <w:lang w:val="es-ES_tradnl"/>
        </w:rPr>
      </w:pPr>
      <w:r w:rsidRPr="005F2D4D">
        <w:rPr>
          <w:rFonts w:eastAsiaTheme="minorHAnsi" w:cs="Arial"/>
          <w:b/>
          <w:sz w:val="22"/>
          <w:szCs w:val="22"/>
          <w:lang w:eastAsia="en-US"/>
        </w:rPr>
        <w:t xml:space="preserve">JUAN CARLOS GUERRA LÓPEZ NEGRETE                   </w:t>
      </w:r>
      <w:r>
        <w:rPr>
          <w:rFonts w:eastAsiaTheme="minorHAnsi" w:cs="Arial"/>
          <w:b/>
          <w:sz w:val="22"/>
          <w:szCs w:val="22"/>
          <w:lang w:eastAsia="en-US"/>
        </w:rPr>
        <w:t xml:space="preserve">               </w:t>
      </w:r>
      <w:r w:rsidRPr="005F2D4D">
        <w:rPr>
          <w:rFonts w:eastAsiaTheme="minorHAnsi" w:cs="Arial"/>
          <w:b/>
          <w:sz w:val="22"/>
          <w:szCs w:val="22"/>
          <w:lang w:eastAsia="en-US"/>
        </w:rPr>
        <w:t>JESÚS ANDRÉS LOYA CARDONA</w:t>
      </w: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jc w:val="left"/>
        <w:rPr>
          <w:rFonts w:eastAsiaTheme="minorHAns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jc w:val="left"/>
        <w:rPr>
          <w:rFonts w:eastAsia="Calibri" w:cs="Arial"/>
          <w:sz w:val="22"/>
          <w:szCs w:val="22"/>
          <w:lang w:eastAsia="en-US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rFonts w:cs="Arial"/>
          <w:sz w:val="22"/>
          <w:szCs w:val="22"/>
        </w:rPr>
      </w:pPr>
    </w:p>
    <w:p w:rsidR="005F2D4D" w:rsidRPr="005F2D4D" w:rsidRDefault="005F2D4D" w:rsidP="005F2D4D">
      <w:pPr>
        <w:rPr>
          <w:sz w:val="22"/>
          <w:szCs w:val="22"/>
        </w:rPr>
      </w:pPr>
    </w:p>
    <w:p w:rsidR="005F2D4D" w:rsidRPr="005F2D4D" w:rsidRDefault="005F2D4D" w:rsidP="005F2D4D">
      <w:pPr>
        <w:rPr>
          <w:sz w:val="22"/>
          <w:szCs w:val="22"/>
        </w:rPr>
      </w:pPr>
    </w:p>
    <w:p w:rsidR="00245157" w:rsidRPr="005F2D4D" w:rsidRDefault="00B55B35">
      <w:pPr>
        <w:rPr>
          <w:sz w:val="22"/>
          <w:szCs w:val="22"/>
        </w:rPr>
      </w:pPr>
    </w:p>
    <w:p w:rsidR="005F2D4D" w:rsidRPr="005F2D4D" w:rsidRDefault="005F2D4D">
      <w:pPr>
        <w:rPr>
          <w:sz w:val="22"/>
          <w:szCs w:val="22"/>
        </w:rPr>
      </w:pPr>
    </w:p>
    <w:sectPr w:rsidR="005F2D4D" w:rsidRPr="005F2D4D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35" w:rsidRDefault="00B55B35" w:rsidP="008051FD">
      <w:r>
        <w:separator/>
      </w:r>
    </w:p>
  </w:endnote>
  <w:endnote w:type="continuationSeparator" w:id="0">
    <w:p w:rsidR="00B55B35" w:rsidRDefault="00B55B35" w:rsidP="0080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35" w:rsidRDefault="00B55B35" w:rsidP="008051FD">
      <w:r>
        <w:separator/>
      </w:r>
    </w:p>
  </w:footnote>
  <w:footnote w:type="continuationSeparator" w:id="0">
    <w:p w:rsidR="00B55B35" w:rsidRDefault="00B55B35" w:rsidP="0080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051FD" w:rsidRPr="008051FD" w:rsidTr="009F2D79">
      <w:trPr>
        <w:jc w:val="center"/>
      </w:trPr>
      <w:tc>
        <w:tcPr>
          <w:tcW w:w="1253" w:type="dxa"/>
        </w:tcPr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051FD" w:rsidRPr="008051FD" w:rsidRDefault="008051FD" w:rsidP="008051FD">
          <w:pPr>
            <w:jc w:val="center"/>
            <w:rPr>
              <w:b/>
              <w:bCs/>
              <w:sz w:val="24"/>
            </w:rPr>
          </w:pPr>
          <w:r w:rsidRPr="008051F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4FC5A0" wp14:editId="3C5D41A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51F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0AD4650" wp14:editId="726F5B4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51FD" w:rsidRPr="008051FD" w:rsidRDefault="008051FD" w:rsidP="008051F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051F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051FD" w:rsidRPr="008051FD" w:rsidRDefault="008051FD" w:rsidP="008051F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051F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051FD" w:rsidRPr="008051FD" w:rsidRDefault="008051FD" w:rsidP="008051FD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051FD" w:rsidRPr="008051FD" w:rsidRDefault="008051FD" w:rsidP="008051FD">
          <w:pPr>
            <w:jc w:val="center"/>
            <w:rPr>
              <w:rFonts w:ascii="Arial Narrow" w:hAnsi="Arial Narrow" w:cs="Arial"/>
              <w:sz w:val="18"/>
            </w:rPr>
          </w:pPr>
          <w:r w:rsidRPr="008051FD">
            <w:rPr>
              <w:rFonts w:ascii="Arial Narrow" w:hAnsi="Arial Narrow" w:cs="Arial"/>
              <w:sz w:val="18"/>
            </w:rPr>
            <w:t>“</w:t>
          </w:r>
          <w:r w:rsidRPr="008051FD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8051FD">
            <w:rPr>
              <w:rFonts w:ascii="Arial Narrow" w:hAnsi="Arial Narrow" w:cs="Arial"/>
              <w:sz w:val="18"/>
            </w:rPr>
            <w:t>”</w:t>
          </w:r>
        </w:p>
        <w:p w:rsidR="008051FD" w:rsidRPr="008051FD" w:rsidRDefault="008051FD" w:rsidP="008051F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  <w:p w:rsidR="008051FD" w:rsidRPr="008051FD" w:rsidRDefault="008051FD" w:rsidP="008051FD">
          <w:pPr>
            <w:jc w:val="center"/>
            <w:rPr>
              <w:b/>
              <w:bCs/>
              <w:sz w:val="12"/>
            </w:rPr>
          </w:pPr>
        </w:p>
      </w:tc>
    </w:tr>
  </w:tbl>
  <w:p w:rsidR="008051FD" w:rsidRDefault="00805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D"/>
    <w:rsid w:val="000653EC"/>
    <w:rsid w:val="004562E7"/>
    <w:rsid w:val="005F2D4D"/>
    <w:rsid w:val="008051FD"/>
    <w:rsid w:val="00B55B35"/>
    <w:rsid w:val="00CE2858"/>
    <w:rsid w:val="00F0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6F978-DA36-4560-966C-53010A9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1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1F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51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1F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2019-11-11T16:26:00Z</dcterms:created>
  <dcterms:modified xsi:type="dcterms:W3CDTF">2019-11-11T16:26:00Z</dcterms:modified>
</cp:coreProperties>
</file>