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37" w:rsidRPr="00EC4B08" w:rsidRDefault="00967037" w:rsidP="00967037">
      <w:pPr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rPr>
          <w:rFonts w:cs="Arial"/>
          <w:b/>
          <w:snapToGrid w:val="0"/>
          <w:sz w:val="25"/>
          <w:szCs w:val="25"/>
          <w:lang w:val="es-ES_tradnl"/>
        </w:rPr>
      </w:pPr>
      <w:r w:rsidRPr="00EC4B08">
        <w:rPr>
          <w:rFonts w:cs="Arial"/>
          <w:b/>
          <w:snapToGrid w:val="0"/>
          <w:sz w:val="25"/>
          <w:szCs w:val="25"/>
          <w:lang w:val="es-ES_tradnl"/>
        </w:rPr>
        <w:t>QUE EL CONGRESO DEL ESTADO INDEPENDIENTE, LIBRE Y SOBERANO DE COAHUILA DE ZARAGOZA;</w:t>
      </w:r>
    </w:p>
    <w:p w:rsidR="00967037" w:rsidRPr="00EC4B08" w:rsidRDefault="00967037" w:rsidP="00967037">
      <w:pPr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widowControl w:val="0"/>
        <w:rPr>
          <w:rFonts w:cs="Arial"/>
          <w:b/>
          <w:snapToGrid w:val="0"/>
          <w:sz w:val="25"/>
          <w:szCs w:val="25"/>
          <w:lang w:val="es-ES_tradnl"/>
        </w:rPr>
      </w:pPr>
      <w:r w:rsidRPr="00EC4B08">
        <w:rPr>
          <w:rFonts w:cs="Arial"/>
          <w:b/>
          <w:snapToGrid w:val="0"/>
          <w:sz w:val="25"/>
          <w:szCs w:val="25"/>
          <w:lang w:val="es-ES_tradnl"/>
        </w:rPr>
        <w:t>DECRETA:</w:t>
      </w:r>
    </w:p>
    <w:p w:rsidR="00967037" w:rsidRPr="00EC4B08" w:rsidRDefault="00967037" w:rsidP="00967037">
      <w:pPr>
        <w:widowControl w:val="0"/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355131" w:rsidP="00967037">
      <w:pPr>
        <w:widowControl w:val="0"/>
        <w:rPr>
          <w:rFonts w:cs="Arial"/>
          <w:b/>
          <w:snapToGrid w:val="0"/>
          <w:sz w:val="25"/>
          <w:szCs w:val="25"/>
          <w:lang w:val="es-ES_tradnl"/>
        </w:rPr>
      </w:pPr>
      <w:r w:rsidRPr="00EC4B08">
        <w:rPr>
          <w:rFonts w:cs="Arial"/>
          <w:b/>
          <w:snapToGrid w:val="0"/>
          <w:sz w:val="25"/>
          <w:szCs w:val="25"/>
          <w:lang w:val="es-ES_tradnl"/>
        </w:rPr>
        <w:t>NÚMERO 432</w:t>
      </w:r>
      <w:r w:rsidR="00967037" w:rsidRPr="00EC4B08">
        <w:rPr>
          <w:rFonts w:cs="Arial"/>
          <w:b/>
          <w:snapToGrid w:val="0"/>
          <w:sz w:val="25"/>
          <w:szCs w:val="25"/>
          <w:lang w:val="es-ES_tradnl"/>
        </w:rPr>
        <w:t xml:space="preserve">.- </w:t>
      </w:r>
    </w:p>
    <w:p w:rsidR="00967037" w:rsidRPr="00EC4B08" w:rsidRDefault="00967037" w:rsidP="00967037">
      <w:pPr>
        <w:widowControl w:val="0"/>
        <w:rPr>
          <w:rFonts w:cs="Arial"/>
          <w:b/>
          <w:snapToGrid w:val="0"/>
          <w:sz w:val="25"/>
          <w:szCs w:val="25"/>
          <w:lang w:val="es-ES_tradnl"/>
        </w:rPr>
      </w:pPr>
    </w:p>
    <w:p w:rsidR="00355131" w:rsidRPr="00EC4B08" w:rsidRDefault="00355131" w:rsidP="00355131">
      <w:pPr>
        <w:widowControl w:val="0"/>
        <w:rPr>
          <w:rFonts w:cs="Arial"/>
          <w:b/>
          <w:snapToGrid w:val="0"/>
          <w:sz w:val="25"/>
          <w:szCs w:val="25"/>
          <w:lang w:val="es-ES_tradnl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bookmarkStart w:id="0" w:name="_GoBack"/>
      <w:r w:rsidRPr="00EC4B08">
        <w:rPr>
          <w:rFonts w:eastAsia="Calibri" w:cs="Arial"/>
          <w:b/>
          <w:sz w:val="25"/>
          <w:szCs w:val="25"/>
          <w:lang w:val="es-ES" w:eastAsia="en-US"/>
        </w:rPr>
        <w:t>ÚNICO.-</w:t>
      </w:r>
      <w:r w:rsidR="00583F59" w:rsidRPr="00EC4B08">
        <w:rPr>
          <w:rFonts w:eastAsia="Calibri" w:cs="Arial"/>
          <w:sz w:val="25"/>
          <w:szCs w:val="25"/>
          <w:lang w:val="es-ES" w:eastAsia="en-US"/>
        </w:rPr>
        <w:t xml:space="preserve"> </w:t>
      </w:r>
      <w:r w:rsidRPr="00EC4B08">
        <w:rPr>
          <w:rFonts w:eastAsia="Calibri" w:cs="Arial"/>
          <w:sz w:val="25"/>
          <w:szCs w:val="25"/>
          <w:lang w:val="es-ES" w:eastAsia="en-US"/>
        </w:rPr>
        <w:t>Se reforman los artículos 5, 6, 9 y 26 de la Ley de los Derechos de las Personas Adultas Mayores del Estado de Coahuila de Zaragoza</w:t>
      </w:r>
      <w:bookmarkEnd w:id="0"/>
      <w:r w:rsidRPr="00EC4B08">
        <w:rPr>
          <w:rFonts w:eastAsia="Calibri" w:cs="Arial"/>
          <w:sz w:val="25"/>
          <w:szCs w:val="25"/>
          <w:lang w:val="es-ES" w:eastAsia="en-US"/>
        </w:rPr>
        <w:t xml:space="preserve">, para quedar como sigue: </w:t>
      </w: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Artículo 5.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 Para los efectos de esta Ley, se entenderá por: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XIII.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 Personas adultas mayores. Toda persona que cuente con sesenta años o más de edad y que, por cualquier motivo, se encuentre domiciliada o en tránsito en el territorio del Estado, sea cual fuere su condición física o mental, pudiéndose encontrar en las siguientes condiciones: </w:t>
      </w: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sz w:val="25"/>
          <w:szCs w:val="25"/>
          <w:lang w:val="es-ES" w:eastAsia="en-US"/>
        </w:rPr>
        <w:t>a) Independientes: cuando sean totalmente aptas para desarrollar actividades físicas, mentales o ambas sin ayuda permanente.</w:t>
      </w: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sz w:val="25"/>
          <w:szCs w:val="25"/>
          <w:lang w:val="es-ES" w:eastAsia="en-US"/>
        </w:rPr>
        <w:t xml:space="preserve">b) </w:t>
      </w:r>
      <w:proofErr w:type="spellStart"/>
      <w:r w:rsidRPr="00EC4B08">
        <w:rPr>
          <w:rFonts w:eastAsia="Calibri" w:cs="Arial"/>
          <w:sz w:val="25"/>
          <w:szCs w:val="25"/>
          <w:lang w:val="es-ES" w:eastAsia="en-US"/>
        </w:rPr>
        <w:t>Semi</w:t>
      </w:r>
      <w:proofErr w:type="spellEnd"/>
      <w:r w:rsidRPr="00EC4B08">
        <w:rPr>
          <w:rFonts w:eastAsia="Calibri" w:cs="Arial"/>
          <w:sz w:val="25"/>
          <w:szCs w:val="25"/>
          <w:lang w:val="es-ES" w:eastAsia="en-US"/>
        </w:rPr>
        <w:t xml:space="preserve"> dependiente: cuando sus condiciones físicas y mentales aún les permitan valerse por sí mismas, aunque requieran ayuda permanente parcial o representación de terceros.</w:t>
      </w: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sz w:val="25"/>
          <w:szCs w:val="25"/>
          <w:lang w:val="es-ES" w:eastAsia="en-US"/>
        </w:rPr>
        <w:t xml:space="preserve">c) Dependientes absolutos: cuando sufran de una enfermedad crónica o degenerativa  por la que les imposibilite valerse por sí mismos y además requieran ayuda permanente total o la canalización a alguna institución de asistencia. </w:t>
      </w: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sz w:val="25"/>
          <w:szCs w:val="25"/>
          <w:lang w:val="es-ES" w:eastAsia="en-US"/>
        </w:rPr>
        <w:t>e) En situación de riesgo o desamparo: cuando por problemas de salud, abandono, carencia de apoyos económicos, familiares, contingencias ambientales o desastres naturales, requieran de asistencia y protección de las autoridades estatales, municipales  y/o de la sociedad civil organizada.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XVII.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 Convivencia Familiar: ambiente paz, respeto, comprensión y cooperación que nace entre los familiares de la persona adulto mayor, con el fin único de que la persona adulta mayor ejerza su derecho de vivir en familia.</w:t>
      </w:r>
    </w:p>
    <w:p w:rsidR="00355131" w:rsidRPr="00EC4B08" w:rsidRDefault="00355131" w:rsidP="00355131">
      <w:pPr>
        <w:spacing w:after="160" w:line="360" w:lineRule="auto"/>
        <w:rPr>
          <w:rFonts w:eastAsia="Calibri" w:cs="Arial"/>
          <w:sz w:val="25"/>
          <w:szCs w:val="25"/>
          <w:lang w:val="es-ES" w:eastAsia="en-US"/>
        </w:rPr>
      </w:pPr>
    </w:p>
    <w:p w:rsidR="00355131" w:rsidRPr="00EC4B08" w:rsidRDefault="00355131" w:rsidP="00355131">
      <w:pPr>
        <w:spacing w:after="160" w:line="360" w:lineRule="auto"/>
        <w:rPr>
          <w:rFonts w:eastAsia="Calibri" w:cs="Arial"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sz w:val="25"/>
          <w:szCs w:val="25"/>
          <w:lang w:val="es-ES" w:eastAsia="en-US"/>
        </w:rPr>
        <w:t xml:space="preserve"> </w:t>
      </w:r>
      <w:r w:rsidRPr="00EC4B08">
        <w:rPr>
          <w:rFonts w:eastAsia="Calibri" w:cs="Arial"/>
          <w:b/>
          <w:sz w:val="25"/>
          <w:szCs w:val="25"/>
          <w:lang w:val="es-ES" w:eastAsia="en-US"/>
        </w:rPr>
        <w:t>XVIII.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 Familia: Los parientes de las personas adultas mayores por afinidad o consanguinidad, atendiendo a lo dispuesto por las reglas de parentesco estipuladas en las leyes familiares y civiles vigentes en el Estado, así como el matrimonio, pacto civil de solidaridad, concubinato, sociedad de convivencia, o cualquier otra similar.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XIX.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 Destitución familiar: Tratamiento de indiferencia o franca hostilidad como expresión de molestia hacia las personas mayores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XX.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 Desarraigo familiar: Es la negativa de cuidar a la persona mayor y que deriva en su rotación por los diferentes domicilios de hijas e hijos o la institucionalización forzosa;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XXI</w:t>
      </w:r>
      <w:r w:rsidRPr="00EC4B08">
        <w:rPr>
          <w:rFonts w:eastAsia="Calibri" w:cs="Arial"/>
          <w:sz w:val="25"/>
          <w:szCs w:val="25"/>
          <w:lang w:val="es-ES" w:eastAsia="en-US"/>
        </w:rPr>
        <w:t>. Violencia contra las Personas Adultas Mayores: Cualquier acción u omisión que les cause daño o sufrimiento psicológico, físico, patrimonial, económico, sexual o la muerte tanto en el ámbito privado como en el público.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Art. 5 Bis.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  Los tipos de violencia contra las Personas Adultas Mayores son: 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I.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 La violencia psicológica. Es cualquier acto u omisión que dañe la estabilidad psicológica, que puede consistir en: negligencia, abandono, descuido reiterado, destitución familiar, desarraigo familiar, insultos, humillaciones, devaluación, marginación, indiferencia, comparaciones destructivas, rechazo, restricción a la autodeterminación y amenazas, las cuales conllevan a la víctima a la depresión, al aislamiento, a la devaluación de su autoestima e incluso al suicidio;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II. La violencia física.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 Es cualquier acto que inflige daño no accidental, usando la fuerza física o algún tipo de arma u objeto que pueda provocar o no lesiones ya sean internas, externas o ambas; 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 xml:space="preserve">III. La violencia patrimonial. </w:t>
      </w:r>
      <w:r w:rsidRPr="00EC4B08">
        <w:rPr>
          <w:rFonts w:eastAsia="Calibri" w:cs="Arial"/>
          <w:sz w:val="25"/>
          <w:szCs w:val="25"/>
          <w:lang w:val="es-ES" w:eastAsia="en-US"/>
        </w:rPr>
        <w:t>Es cualquier acto u omisión que afecta la supervivencia de la víctima. Se manifiesta en: la transformación, sustracción, destrucción, retención o distracción de objetos, documentos personales, bienes y valores, derechos patrimoniales o recursos económicos destinados a satisfacer sus necesidades y puede abarcar los daños a los bienes comunes o propios de la víctima; hecha excepción de que medie acto de autoridad fundado o motivado. Incluye también la manipulación o abuso de su condición física o necesidades afectivas para apropiarse de sus bienes.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IV. La violencia económica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. Es toda acción u omisión del agresor que afecta la supervivencia económica de la víctima. Se manifiesta a través de limitaciones encaminadas a controlar el ingreso de sus percepciones económicas, así como la percepción de un salario menor por igual trabajo, dentro de un mismo centro laboral; 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583F59" w:rsidRPr="00EC4B08" w:rsidRDefault="00583F59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V. La violencia sexual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. Es cualquier acto que degrada o daña el cuerpo y/o sexualidad de la víctima y que por tanto atenta contra su libertad, dignidad e integridad física. Es una expresión de abuso de poder. 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VI.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 Cualesquiera otras formas análogas que lesionen o sean susceptibles de dañar la dignidad, integridad o libertas de las personas adultas mayores.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Articulo 5 Ter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.  Las modalidades de la violencia contra las personas adultas mayores son: 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I. Violencia en el ámbito familiar: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 Es el acto abusivo de poder u omisión intencional, dirigido a dominar, someter, controlar o agredir a la persona adulta mayor, mediante la realización de uno o varios tipos de violencia, dentro o fuera del domicilio familiar, cuando la persona agresora tenga o haya tenido relación de parentesco por consanguinidad o afinidad, de matrimonio, concubinato o mantengan o hayan  mantenido una relación afectiva o de hecho;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II. Violencia en el ámbito institucional</w:t>
      </w:r>
      <w:r w:rsidRPr="00EC4B08">
        <w:rPr>
          <w:rFonts w:eastAsia="Calibri" w:cs="Arial"/>
          <w:sz w:val="25"/>
          <w:szCs w:val="25"/>
          <w:lang w:val="es-ES" w:eastAsia="en-US"/>
        </w:rPr>
        <w:t>: Son los actos u omisiones de las y los servidores públicos de cualquier orden de gobierno, que discriminen o tengan como fin dilatar, obstaculizar o impedir el goce y ejercicio de los derechos humanos de las personas adultas mayores, así como su acceso al disfrute de políticas públicas destinadas a prevenir, atender, investigar, sancionar y erradicar los diferentes tipos de violencia. Incluye la negación a recibir tratamientos médicos, créditos, trabajo o educación por razones de edad.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III. Violencia en la comunidad</w:t>
      </w:r>
      <w:r w:rsidRPr="00EC4B08">
        <w:rPr>
          <w:rFonts w:eastAsia="Calibri" w:cs="Arial"/>
          <w:sz w:val="25"/>
          <w:szCs w:val="25"/>
          <w:lang w:val="es-ES" w:eastAsia="en-US"/>
        </w:rPr>
        <w:t>: Son los actos individuales o colectivos que transgreden o menoscaban los derechos fundamentales de las personas adultas mayores, propiciando su denigración, discriminación, marginación o exclusión en cualquier ámbito;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IV. Violencia en instituciones de cuidado prolongado o larga estadía: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 Son los actos u omisiones de las personas que laboral en centros o establecimientos, públicos o privados, que brindan atención y cuidado prologado a las personas adultas mayores que residen en ellos, que impliquen cualquier clase de violencia, abuso, negligencia o discriminación dirigida hacia la persona adulta mayores, así como el empleo de métodos de coerción o restricción que atenten contra su intimidad, dignidad y autonomía en la toma de decisiones.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 xml:space="preserve">Artículo 6. </w:t>
      </w:r>
      <w:r w:rsidRPr="00EC4B08">
        <w:rPr>
          <w:rFonts w:eastAsia="Calibri" w:cs="Arial"/>
          <w:sz w:val="25"/>
          <w:szCs w:val="25"/>
          <w:lang w:val="es-ES" w:eastAsia="en-US"/>
        </w:rPr>
        <w:t>La presente Ley tiene por objetivos los siguientes: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VIII</w:t>
      </w:r>
      <w:r w:rsidRPr="00EC4B08">
        <w:rPr>
          <w:rFonts w:eastAsia="Calibri" w:cs="Arial"/>
          <w:sz w:val="25"/>
          <w:szCs w:val="25"/>
          <w:lang w:val="es-ES" w:eastAsia="en-US"/>
        </w:rPr>
        <w:t>. Fomentar patrones socioculturales que, en el marco del respeto y dignificación de las personas adultas mayores, eviten la discriminación y a su vez aporten constantemente para la integración y la adaptación a una sociedad moderna.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583F59" w:rsidRPr="00EC4B08" w:rsidRDefault="00583F59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583F59" w:rsidRPr="00EC4B08" w:rsidRDefault="00583F59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583F59" w:rsidRPr="00EC4B08" w:rsidRDefault="00583F59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583F59" w:rsidRPr="00EC4B08" w:rsidRDefault="00583F59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Artículo 9.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 Son principios rectores en la observancia y aplicación de esta Ley: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583F59" w:rsidRPr="00EC4B08" w:rsidRDefault="00583F59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VIII. Dignidad Humana.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 Es un valor supremo que reconoce la calidad única y excepcional a todo ser humano por el simple hecho de serlo, del cual se desprenden todos los derechos necesarios para que las personas adultas mayores desarrollen integralmente su personalidad.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583F59" w:rsidRPr="00EC4B08" w:rsidRDefault="00583F59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IX. La progresividad.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 Es la obligación positiva del Estado de promover los derechos de las personas de la tercera edad de manera progresiva y gradual, de forma tal que se garantice el incremento en el grado de tutela, respeto y protección de los derechos.</w:t>
      </w: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 xml:space="preserve">Artículo 26. </w:t>
      </w:r>
      <w:r w:rsidRPr="00EC4B08">
        <w:rPr>
          <w:rFonts w:eastAsia="Calibri" w:cs="Arial"/>
          <w:sz w:val="25"/>
          <w:szCs w:val="25"/>
          <w:lang w:val="es-ES" w:eastAsia="en-US"/>
        </w:rPr>
        <w:t>Cuando una institución pública o privada, se haga cargo total de una persona adulta mayor, deberá:</w:t>
      </w:r>
      <w:r w:rsidRPr="00EC4B08">
        <w:rPr>
          <w:rFonts w:eastAsia="Calibri" w:cs="Arial"/>
          <w:sz w:val="25"/>
          <w:szCs w:val="25"/>
          <w:lang w:val="es-ES" w:eastAsia="en-US"/>
        </w:rPr>
        <w:cr/>
      </w: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IX…</w:t>
      </w: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sz w:val="25"/>
          <w:szCs w:val="25"/>
          <w:lang w:val="es-ES" w:eastAsia="en-US"/>
        </w:rPr>
        <w:t>Así mismo, y con el propósito de brindar una mejor atención a la persona adulta mayor, el Instituto deberá realizar visitas de inspección y vigilancia a instituciones públicas y privadas, casas hogar, albergues, residencias de día o cualquier centro de atención a las personas adultas mayores para verificar las condiciones de funcionamiento, capacitación de su personal, modelo de atención y condiciones de calidad de vida, debiendo a la vez hacer del conocimiento de las autoridades competentes las anomalías que en su caso se detecten durante las visitas realizadas; podrá también hacer del conocimiento público dichas anomalías.</w:t>
      </w: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sz w:val="25"/>
          <w:szCs w:val="25"/>
          <w:lang w:val="es-ES" w:eastAsia="en-US"/>
        </w:rPr>
      </w:pPr>
    </w:p>
    <w:p w:rsidR="00355131" w:rsidRPr="00EC4B08" w:rsidRDefault="00355131" w:rsidP="00355131">
      <w:pPr>
        <w:rPr>
          <w:rFonts w:eastAsia="Calibri" w:cs="Arial"/>
          <w:b/>
          <w:sz w:val="25"/>
          <w:szCs w:val="25"/>
          <w:lang w:val="es-ES" w:eastAsia="en-US"/>
        </w:rPr>
      </w:pPr>
    </w:p>
    <w:p w:rsidR="00355131" w:rsidRPr="00BC5B99" w:rsidRDefault="00355131" w:rsidP="00355131">
      <w:pPr>
        <w:spacing w:after="160" w:line="360" w:lineRule="auto"/>
        <w:jc w:val="center"/>
        <w:rPr>
          <w:rFonts w:eastAsia="Calibri" w:cs="Arial"/>
          <w:b/>
          <w:sz w:val="25"/>
          <w:szCs w:val="25"/>
          <w:lang w:val="en-US" w:eastAsia="en-US"/>
        </w:rPr>
      </w:pPr>
      <w:r w:rsidRPr="00BC5B99">
        <w:rPr>
          <w:rFonts w:eastAsia="Calibri" w:cs="Arial"/>
          <w:b/>
          <w:sz w:val="25"/>
          <w:szCs w:val="25"/>
          <w:lang w:val="en-US" w:eastAsia="en-US"/>
        </w:rPr>
        <w:t xml:space="preserve">T R </w:t>
      </w:r>
      <w:proofErr w:type="gramStart"/>
      <w:r w:rsidRPr="00BC5B99">
        <w:rPr>
          <w:rFonts w:eastAsia="Calibri" w:cs="Arial"/>
          <w:b/>
          <w:sz w:val="25"/>
          <w:szCs w:val="25"/>
          <w:lang w:val="en-US" w:eastAsia="en-US"/>
        </w:rPr>
        <w:t>A</w:t>
      </w:r>
      <w:proofErr w:type="gramEnd"/>
      <w:r w:rsidRPr="00BC5B99">
        <w:rPr>
          <w:rFonts w:eastAsia="Calibri" w:cs="Arial"/>
          <w:b/>
          <w:sz w:val="25"/>
          <w:szCs w:val="25"/>
          <w:lang w:val="en-US" w:eastAsia="en-US"/>
        </w:rPr>
        <w:t xml:space="preserve"> N S I T O R I O S</w:t>
      </w:r>
    </w:p>
    <w:p w:rsidR="00355131" w:rsidRPr="00BC5B99" w:rsidRDefault="00355131" w:rsidP="00355131">
      <w:pPr>
        <w:jc w:val="center"/>
        <w:rPr>
          <w:rFonts w:eastAsia="Calibri" w:cs="Arial"/>
          <w:b/>
          <w:sz w:val="25"/>
          <w:szCs w:val="25"/>
          <w:lang w:val="en-US" w:eastAsia="en-US"/>
        </w:rPr>
      </w:pPr>
    </w:p>
    <w:p w:rsidR="00355131" w:rsidRPr="00EC4B08" w:rsidRDefault="00355131" w:rsidP="00355131">
      <w:pPr>
        <w:ind w:right="50"/>
        <w:rPr>
          <w:rFonts w:eastAsia="Calibri" w:cs="Arial"/>
          <w:sz w:val="25"/>
          <w:szCs w:val="25"/>
          <w:lang w:val="es-ES" w:eastAsia="en-US"/>
        </w:rPr>
      </w:pPr>
      <w:proofErr w:type="gramStart"/>
      <w:r w:rsidRPr="00EC4B08">
        <w:rPr>
          <w:rFonts w:eastAsia="Calibri" w:cs="Arial"/>
          <w:b/>
          <w:sz w:val="25"/>
          <w:szCs w:val="25"/>
          <w:lang w:val="es-ES" w:eastAsia="en-US"/>
        </w:rPr>
        <w:t>PRIMERO.-</w:t>
      </w:r>
      <w:proofErr w:type="gramEnd"/>
      <w:r w:rsidRPr="00EC4B08">
        <w:rPr>
          <w:rFonts w:eastAsia="Calibri" w:cs="Arial"/>
          <w:sz w:val="25"/>
          <w:szCs w:val="25"/>
          <w:lang w:val="es-ES" w:eastAsia="en-US"/>
        </w:rPr>
        <w:t xml:space="preserve"> El presente decreto entrará en vigor al día siguiente de su publicación en el Periódico Oficial del Gobierno del Estado.</w:t>
      </w:r>
    </w:p>
    <w:p w:rsidR="00355131" w:rsidRPr="00EC4B08" w:rsidRDefault="00355131" w:rsidP="00355131">
      <w:pPr>
        <w:ind w:right="50"/>
        <w:rPr>
          <w:rFonts w:eastAsia="Calibri" w:cs="Arial"/>
          <w:sz w:val="25"/>
          <w:szCs w:val="25"/>
          <w:lang w:val="es-ES" w:eastAsia="en-US"/>
        </w:rPr>
      </w:pPr>
    </w:p>
    <w:p w:rsidR="00355131" w:rsidRPr="00EC4B08" w:rsidRDefault="00355131" w:rsidP="00355131">
      <w:pPr>
        <w:ind w:right="50"/>
        <w:rPr>
          <w:rFonts w:eastAsia="Calibri" w:cs="Arial"/>
          <w:sz w:val="25"/>
          <w:szCs w:val="25"/>
          <w:lang w:val="es-ES" w:eastAsia="en-US"/>
        </w:rPr>
      </w:pPr>
    </w:p>
    <w:p w:rsidR="00355131" w:rsidRPr="00EC4B08" w:rsidRDefault="00355131" w:rsidP="00355131">
      <w:pPr>
        <w:ind w:right="50"/>
        <w:rPr>
          <w:rFonts w:eastAsia="Calibri" w:cs="Arial"/>
          <w:sz w:val="25"/>
          <w:szCs w:val="25"/>
          <w:lang w:val="es-ES" w:eastAsia="en-US"/>
        </w:rPr>
      </w:pPr>
      <w:r w:rsidRPr="00EC4B08">
        <w:rPr>
          <w:rFonts w:eastAsia="Calibri" w:cs="Arial"/>
          <w:b/>
          <w:sz w:val="25"/>
          <w:szCs w:val="25"/>
          <w:lang w:val="es-ES" w:eastAsia="en-US"/>
        </w:rPr>
        <w:t>SEGUNDO.-</w:t>
      </w:r>
      <w:r w:rsidRPr="00EC4B08">
        <w:rPr>
          <w:rFonts w:eastAsia="Calibri" w:cs="Arial"/>
          <w:sz w:val="25"/>
          <w:szCs w:val="25"/>
          <w:lang w:val="es-ES" w:eastAsia="en-US"/>
        </w:rPr>
        <w:t xml:space="preserve"> Se derogan las disposiciones que se opongan al presente decreto.</w:t>
      </w:r>
    </w:p>
    <w:p w:rsidR="00967037" w:rsidRPr="00EC4B08" w:rsidRDefault="00967037" w:rsidP="00967037">
      <w:pPr>
        <w:widowControl w:val="0"/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widowControl w:val="0"/>
        <w:rPr>
          <w:rFonts w:cs="Arial"/>
          <w:b/>
          <w:snapToGrid w:val="0"/>
          <w:sz w:val="25"/>
          <w:szCs w:val="25"/>
          <w:lang w:val="es-ES_tradnl"/>
        </w:rPr>
      </w:pPr>
    </w:p>
    <w:p w:rsidR="00355131" w:rsidRPr="00EC4B08" w:rsidRDefault="00355131" w:rsidP="00967037">
      <w:pPr>
        <w:widowControl w:val="0"/>
        <w:rPr>
          <w:rFonts w:cs="Arial"/>
          <w:b/>
          <w:snapToGrid w:val="0"/>
          <w:sz w:val="25"/>
          <w:szCs w:val="25"/>
          <w:lang w:val="es-ES_tradnl"/>
        </w:rPr>
      </w:pPr>
    </w:p>
    <w:p w:rsidR="00355131" w:rsidRPr="00EC4B08" w:rsidRDefault="00355131" w:rsidP="00967037">
      <w:pPr>
        <w:widowControl w:val="0"/>
        <w:rPr>
          <w:rFonts w:cs="Arial"/>
          <w:b/>
          <w:snapToGrid w:val="0"/>
          <w:sz w:val="25"/>
          <w:szCs w:val="25"/>
          <w:lang w:val="es-ES_tradnl"/>
        </w:rPr>
      </w:pPr>
    </w:p>
    <w:p w:rsidR="00355131" w:rsidRPr="00EC4B08" w:rsidRDefault="00355131" w:rsidP="00967037">
      <w:pPr>
        <w:widowControl w:val="0"/>
        <w:rPr>
          <w:rFonts w:cs="Arial"/>
          <w:b/>
          <w:snapToGrid w:val="0"/>
          <w:sz w:val="25"/>
          <w:szCs w:val="25"/>
          <w:lang w:val="es-ES_tradnl"/>
        </w:rPr>
      </w:pPr>
    </w:p>
    <w:p w:rsidR="00583F59" w:rsidRPr="00EC4B08" w:rsidRDefault="00583F59" w:rsidP="00967037">
      <w:pPr>
        <w:widowControl w:val="0"/>
        <w:tabs>
          <w:tab w:val="left" w:pos="8749"/>
        </w:tabs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widowControl w:val="0"/>
        <w:tabs>
          <w:tab w:val="left" w:pos="8749"/>
        </w:tabs>
        <w:rPr>
          <w:rFonts w:cs="Arial"/>
          <w:b/>
          <w:snapToGrid w:val="0"/>
          <w:sz w:val="25"/>
          <w:szCs w:val="25"/>
          <w:lang w:val="es-ES_tradnl"/>
        </w:rPr>
      </w:pPr>
      <w:r w:rsidRPr="00EC4B08">
        <w:rPr>
          <w:rFonts w:cs="Arial"/>
          <w:b/>
          <w:snapToGrid w:val="0"/>
          <w:sz w:val="25"/>
          <w:szCs w:val="25"/>
          <w:lang w:val="es-ES_tradnl"/>
        </w:rPr>
        <w:t>DADO en la Ciudad de Saltillo, Coahuila de Zaragoza, a los cuatro días del mes de diciembre del año dos mil diecinueve.</w:t>
      </w:r>
    </w:p>
    <w:p w:rsidR="00967037" w:rsidRPr="00EC4B08" w:rsidRDefault="00967037" w:rsidP="00967037">
      <w:pPr>
        <w:tabs>
          <w:tab w:val="left" w:pos="8749"/>
        </w:tabs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tabs>
          <w:tab w:val="left" w:pos="8749"/>
        </w:tabs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tabs>
          <w:tab w:val="left" w:pos="8749"/>
        </w:tabs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tabs>
          <w:tab w:val="left" w:pos="8749"/>
        </w:tabs>
        <w:jc w:val="center"/>
        <w:rPr>
          <w:rFonts w:cs="Arial"/>
          <w:b/>
          <w:snapToGrid w:val="0"/>
          <w:sz w:val="25"/>
          <w:szCs w:val="25"/>
          <w:lang w:val="es-ES_tradnl"/>
        </w:rPr>
      </w:pPr>
      <w:r w:rsidRPr="00EC4B08">
        <w:rPr>
          <w:rFonts w:cs="Arial"/>
          <w:b/>
          <w:snapToGrid w:val="0"/>
          <w:sz w:val="25"/>
          <w:szCs w:val="25"/>
          <w:lang w:val="es-ES_tradnl"/>
        </w:rPr>
        <w:t>DIPUTADO PRESIDENTE</w:t>
      </w:r>
    </w:p>
    <w:p w:rsidR="00967037" w:rsidRPr="00EC4B08" w:rsidRDefault="00967037" w:rsidP="00967037">
      <w:pPr>
        <w:tabs>
          <w:tab w:val="left" w:pos="8749"/>
        </w:tabs>
        <w:jc w:val="left"/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tabs>
          <w:tab w:val="left" w:pos="8749"/>
        </w:tabs>
        <w:jc w:val="left"/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tabs>
          <w:tab w:val="left" w:pos="8749"/>
        </w:tabs>
        <w:jc w:val="left"/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tabs>
          <w:tab w:val="left" w:pos="8749"/>
        </w:tabs>
        <w:jc w:val="left"/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tabs>
          <w:tab w:val="left" w:pos="8749"/>
        </w:tabs>
        <w:jc w:val="left"/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tabs>
          <w:tab w:val="left" w:pos="8749"/>
        </w:tabs>
        <w:jc w:val="center"/>
        <w:rPr>
          <w:rFonts w:cs="Arial"/>
          <w:b/>
          <w:snapToGrid w:val="0"/>
          <w:sz w:val="25"/>
          <w:szCs w:val="25"/>
          <w:lang w:val="es-ES_tradnl"/>
        </w:rPr>
      </w:pPr>
      <w:r w:rsidRPr="00EC4B08">
        <w:rPr>
          <w:rFonts w:cs="Arial"/>
          <w:b/>
          <w:snapToGrid w:val="0"/>
          <w:sz w:val="25"/>
          <w:szCs w:val="25"/>
          <w:lang w:val="es-ES_tradnl"/>
        </w:rPr>
        <w:t>JAIME BUENO ZERTUCHE</w:t>
      </w:r>
    </w:p>
    <w:p w:rsidR="00967037" w:rsidRPr="00EC4B08" w:rsidRDefault="00967037" w:rsidP="00967037">
      <w:pPr>
        <w:tabs>
          <w:tab w:val="left" w:pos="8749"/>
        </w:tabs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tabs>
          <w:tab w:val="left" w:pos="8749"/>
        </w:tabs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tabs>
          <w:tab w:val="left" w:pos="8749"/>
        </w:tabs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tabs>
          <w:tab w:val="left" w:pos="8749"/>
        </w:tabs>
        <w:rPr>
          <w:rFonts w:cs="Arial"/>
          <w:b/>
          <w:snapToGrid w:val="0"/>
          <w:sz w:val="25"/>
          <w:szCs w:val="25"/>
          <w:lang w:val="es-ES_tradnl"/>
        </w:rPr>
      </w:pPr>
      <w:r w:rsidRPr="00EC4B08">
        <w:rPr>
          <w:rFonts w:cs="Arial"/>
          <w:b/>
          <w:snapToGrid w:val="0"/>
          <w:sz w:val="25"/>
          <w:szCs w:val="25"/>
          <w:lang w:val="es-ES_tradnl"/>
        </w:rPr>
        <w:t xml:space="preserve">               DIPUTADA SECRETARIA           </w:t>
      </w:r>
      <w:r w:rsidR="00583F59" w:rsidRPr="00EC4B08">
        <w:rPr>
          <w:rFonts w:cs="Arial"/>
          <w:b/>
          <w:snapToGrid w:val="0"/>
          <w:sz w:val="25"/>
          <w:szCs w:val="25"/>
          <w:lang w:val="es-ES_tradnl"/>
        </w:rPr>
        <w:t xml:space="preserve">                         </w:t>
      </w:r>
      <w:r w:rsidRPr="00EC4B08">
        <w:rPr>
          <w:rFonts w:cs="Arial"/>
          <w:b/>
          <w:snapToGrid w:val="0"/>
          <w:sz w:val="25"/>
          <w:szCs w:val="25"/>
          <w:lang w:val="es-ES_tradnl"/>
        </w:rPr>
        <w:t>DIPUTADO SECRETARIO</w:t>
      </w:r>
    </w:p>
    <w:p w:rsidR="00967037" w:rsidRPr="00EC4B08" w:rsidRDefault="00967037" w:rsidP="00967037">
      <w:pPr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rPr>
          <w:rFonts w:cs="Arial"/>
          <w:b/>
          <w:snapToGrid w:val="0"/>
          <w:sz w:val="25"/>
          <w:szCs w:val="25"/>
          <w:lang w:val="es-ES_tradnl"/>
        </w:rPr>
      </w:pPr>
    </w:p>
    <w:p w:rsidR="00967037" w:rsidRPr="00EC4B08" w:rsidRDefault="00967037" w:rsidP="00967037">
      <w:pPr>
        <w:rPr>
          <w:rFonts w:cs="Arial"/>
          <w:b/>
          <w:snapToGrid w:val="0"/>
          <w:sz w:val="25"/>
          <w:szCs w:val="25"/>
          <w:lang w:val="es-ES_tradnl"/>
        </w:rPr>
      </w:pPr>
      <w:r w:rsidRPr="00EC4B08">
        <w:rPr>
          <w:rFonts w:cs="Arial"/>
          <w:b/>
          <w:snapToGrid w:val="0"/>
          <w:sz w:val="25"/>
          <w:szCs w:val="25"/>
          <w:lang w:val="es-ES_tradnl"/>
        </w:rPr>
        <w:t xml:space="preserve">         </w:t>
      </w:r>
    </w:p>
    <w:p w:rsidR="00967037" w:rsidRPr="00EC4B08" w:rsidRDefault="00967037" w:rsidP="00967037">
      <w:pPr>
        <w:rPr>
          <w:rFonts w:cs="Arial"/>
          <w:b/>
          <w:snapToGrid w:val="0"/>
          <w:sz w:val="25"/>
          <w:szCs w:val="25"/>
          <w:lang w:val="es-ES_tradnl"/>
        </w:rPr>
      </w:pPr>
      <w:r w:rsidRPr="00EC4B08">
        <w:rPr>
          <w:rFonts w:eastAsiaTheme="minorHAnsi" w:cs="Arial"/>
          <w:b/>
          <w:sz w:val="25"/>
          <w:szCs w:val="25"/>
          <w:lang w:eastAsia="en-US"/>
        </w:rPr>
        <w:t xml:space="preserve">ZULMMA VERENICE </w:t>
      </w:r>
      <w:r w:rsidR="00583F59" w:rsidRPr="00EC4B08">
        <w:rPr>
          <w:rFonts w:eastAsiaTheme="minorHAnsi" w:cs="Arial"/>
          <w:b/>
          <w:sz w:val="25"/>
          <w:szCs w:val="25"/>
          <w:lang w:eastAsia="en-US"/>
        </w:rPr>
        <w:t>GUERRERO CÁZARES     JUAN CARLOS GUERRA LÓPEZ NEGRETE</w:t>
      </w: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jc w:val="left"/>
        <w:rPr>
          <w:rFonts w:eastAsiaTheme="minorHAnsi" w:cs="Arial"/>
          <w:sz w:val="25"/>
          <w:szCs w:val="25"/>
          <w:lang w:eastAsia="en-US"/>
        </w:rPr>
      </w:pPr>
    </w:p>
    <w:p w:rsidR="00967037" w:rsidRPr="00EC4B08" w:rsidRDefault="00967037" w:rsidP="00967037">
      <w:pPr>
        <w:jc w:val="left"/>
        <w:rPr>
          <w:rFonts w:eastAsia="Calibri" w:cs="Arial"/>
          <w:sz w:val="25"/>
          <w:szCs w:val="25"/>
          <w:lang w:eastAsia="en-US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967037" w:rsidRPr="00EC4B08" w:rsidRDefault="00967037" w:rsidP="00967037">
      <w:pPr>
        <w:rPr>
          <w:rFonts w:cs="Arial"/>
          <w:sz w:val="25"/>
          <w:szCs w:val="25"/>
        </w:rPr>
      </w:pPr>
    </w:p>
    <w:p w:rsidR="00245157" w:rsidRPr="00EC4B08" w:rsidRDefault="00375935">
      <w:pPr>
        <w:rPr>
          <w:rFonts w:cs="Arial"/>
          <w:sz w:val="25"/>
          <w:szCs w:val="25"/>
        </w:rPr>
      </w:pPr>
    </w:p>
    <w:sectPr w:rsidR="00245157" w:rsidRPr="00EC4B08" w:rsidSect="00D87320">
      <w:headerReference w:type="default" r:id="rId6"/>
      <w:pgSz w:w="12240" w:h="15840"/>
      <w:pgMar w:top="226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35" w:rsidRDefault="00375935" w:rsidP="00BC5B99">
      <w:r>
        <w:separator/>
      </w:r>
    </w:p>
  </w:endnote>
  <w:endnote w:type="continuationSeparator" w:id="0">
    <w:p w:rsidR="00375935" w:rsidRDefault="00375935" w:rsidP="00BC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35" w:rsidRDefault="00375935" w:rsidP="00BC5B99">
      <w:r>
        <w:separator/>
      </w:r>
    </w:p>
  </w:footnote>
  <w:footnote w:type="continuationSeparator" w:id="0">
    <w:p w:rsidR="00375935" w:rsidRDefault="00375935" w:rsidP="00BC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BC5B99" w:rsidRPr="00BC5B99" w:rsidTr="002A553D">
      <w:trPr>
        <w:jc w:val="center"/>
      </w:trPr>
      <w:tc>
        <w:tcPr>
          <w:tcW w:w="1253" w:type="dxa"/>
        </w:tcPr>
        <w:p w:rsidR="00BC5B99" w:rsidRPr="00BC5B99" w:rsidRDefault="00BC5B99" w:rsidP="00BC5B99">
          <w:pPr>
            <w:jc w:val="center"/>
            <w:rPr>
              <w:b/>
              <w:bCs/>
              <w:sz w:val="12"/>
            </w:rPr>
          </w:pPr>
        </w:p>
        <w:p w:rsidR="00BC5B99" w:rsidRPr="00BC5B99" w:rsidRDefault="00BC5B99" w:rsidP="00BC5B99">
          <w:pPr>
            <w:jc w:val="center"/>
            <w:rPr>
              <w:b/>
              <w:bCs/>
              <w:sz w:val="12"/>
            </w:rPr>
          </w:pPr>
        </w:p>
        <w:p w:rsidR="00BC5B99" w:rsidRPr="00BC5B99" w:rsidRDefault="00BC5B99" w:rsidP="00BC5B99">
          <w:pPr>
            <w:jc w:val="center"/>
            <w:rPr>
              <w:b/>
              <w:bCs/>
              <w:sz w:val="12"/>
            </w:rPr>
          </w:pPr>
        </w:p>
        <w:p w:rsidR="00BC5B99" w:rsidRPr="00BC5B99" w:rsidRDefault="00BC5B99" w:rsidP="00BC5B99">
          <w:pPr>
            <w:jc w:val="center"/>
            <w:rPr>
              <w:b/>
              <w:bCs/>
              <w:sz w:val="12"/>
            </w:rPr>
          </w:pPr>
        </w:p>
        <w:p w:rsidR="00BC5B99" w:rsidRPr="00BC5B99" w:rsidRDefault="00BC5B99" w:rsidP="00BC5B99">
          <w:pPr>
            <w:jc w:val="center"/>
            <w:rPr>
              <w:b/>
              <w:bCs/>
              <w:sz w:val="12"/>
            </w:rPr>
          </w:pPr>
        </w:p>
        <w:p w:rsidR="00BC5B99" w:rsidRPr="00BC5B99" w:rsidRDefault="00BC5B99" w:rsidP="00BC5B99">
          <w:pPr>
            <w:jc w:val="center"/>
            <w:rPr>
              <w:b/>
              <w:bCs/>
              <w:sz w:val="12"/>
            </w:rPr>
          </w:pPr>
        </w:p>
        <w:p w:rsidR="00BC5B99" w:rsidRPr="00BC5B99" w:rsidRDefault="00BC5B99" w:rsidP="00BC5B99">
          <w:pPr>
            <w:jc w:val="center"/>
            <w:rPr>
              <w:b/>
              <w:bCs/>
              <w:sz w:val="12"/>
            </w:rPr>
          </w:pPr>
        </w:p>
        <w:p w:rsidR="00BC5B99" w:rsidRPr="00BC5B99" w:rsidRDefault="00BC5B99" w:rsidP="00BC5B99">
          <w:pPr>
            <w:jc w:val="center"/>
            <w:rPr>
              <w:b/>
              <w:bCs/>
              <w:sz w:val="12"/>
            </w:rPr>
          </w:pPr>
        </w:p>
        <w:p w:rsidR="00BC5B99" w:rsidRPr="00BC5B99" w:rsidRDefault="00BC5B99" w:rsidP="00BC5B99">
          <w:pPr>
            <w:jc w:val="center"/>
            <w:rPr>
              <w:b/>
              <w:bCs/>
              <w:sz w:val="12"/>
            </w:rPr>
          </w:pPr>
        </w:p>
        <w:p w:rsidR="00BC5B99" w:rsidRPr="00BC5B99" w:rsidRDefault="00BC5B99" w:rsidP="00BC5B99">
          <w:pPr>
            <w:jc w:val="center"/>
            <w:rPr>
              <w:b/>
              <w:bCs/>
              <w:sz w:val="12"/>
            </w:rPr>
          </w:pPr>
        </w:p>
        <w:p w:rsidR="00BC5B99" w:rsidRPr="00BC5B99" w:rsidRDefault="00BC5B99" w:rsidP="00BC5B99">
          <w:pPr>
            <w:jc w:val="center"/>
            <w:rPr>
              <w:b/>
              <w:bCs/>
              <w:sz w:val="12"/>
            </w:rPr>
          </w:pPr>
        </w:p>
        <w:p w:rsidR="00BC5B99" w:rsidRPr="00BC5B99" w:rsidRDefault="00BC5B99" w:rsidP="00BC5B99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:rsidR="00BC5B99" w:rsidRPr="00BC5B99" w:rsidRDefault="00BC5B99" w:rsidP="00BC5B99">
          <w:pPr>
            <w:jc w:val="center"/>
            <w:rPr>
              <w:b/>
              <w:bCs/>
              <w:sz w:val="24"/>
            </w:rPr>
          </w:pPr>
          <w:r w:rsidRPr="00BC5B99"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7A5CABBC" wp14:editId="50354C2C">
                <wp:simplePos x="0" y="0"/>
                <wp:positionH relativeFrom="column">
                  <wp:posOffset>4979670</wp:posOffset>
                </wp:positionH>
                <wp:positionV relativeFrom="paragraph">
                  <wp:posOffset>67310</wp:posOffset>
                </wp:positionV>
                <wp:extent cx="1180929" cy="877824"/>
                <wp:effectExtent l="0" t="0" r="63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ONGRES_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0929" cy="877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5B99"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27B81E02" wp14:editId="5D640D63">
                <wp:simplePos x="0" y="0"/>
                <wp:positionH relativeFrom="column">
                  <wp:posOffset>-700405</wp:posOffset>
                </wp:positionH>
                <wp:positionV relativeFrom="paragraph">
                  <wp:posOffset>54610</wp:posOffset>
                </wp:positionV>
                <wp:extent cx="902335" cy="886460"/>
                <wp:effectExtent l="0" t="0" r="0" b="0"/>
                <wp:wrapNone/>
                <wp:docPr id="2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C5B99" w:rsidRPr="00BC5B99" w:rsidRDefault="00BC5B99" w:rsidP="00BC5B99">
          <w:pPr>
            <w:tabs>
              <w:tab w:val="center" w:pos="4252"/>
              <w:tab w:val="left" w:pos="5040"/>
              <w:tab w:val="right" w:pos="8504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BC5B9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Congreso del Estado Independiente,</w:t>
          </w:r>
        </w:p>
        <w:p w:rsidR="00BC5B99" w:rsidRPr="00BC5B99" w:rsidRDefault="00BC5B99" w:rsidP="00BC5B99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BC5B9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:rsidR="00BC5B99" w:rsidRPr="00BC5B99" w:rsidRDefault="00BC5B99" w:rsidP="00BC5B99">
          <w:pPr>
            <w:tabs>
              <w:tab w:val="left" w:pos="-1528"/>
              <w:tab w:val="center" w:pos="-1386"/>
              <w:tab w:val="right" w:pos="8504"/>
            </w:tabs>
            <w:jc w:val="center"/>
            <w:rPr>
              <w:rFonts w:cs="Arial"/>
              <w:bCs/>
              <w:smallCaps/>
              <w:spacing w:val="20"/>
              <w:sz w:val="16"/>
              <w:szCs w:val="32"/>
            </w:rPr>
          </w:pPr>
        </w:p>
        <w:p w:rsidR="00BC5B99" w:rsidRPr="00BC5B99" w:rsidRDefault="00BC5B99" w:rsidP="00BC5B99">
          <w:pPr>
            <w:jc w:val="center"/>
            <w:rPr>
              <w:rFonts w:ascii="Arial Narrow" w:hAnsi="Arial Narrow" w:cs="Arial"/>
              <w:sz w:val="18"/>
            </w:rPr>
          </w:pPr>
          <w:r w:rsidRPr="00BC5B99">
            <w:rPr>
              <w:rFonts w:ascii="Arial Narrow" w:hAnsi="Arial Narrow" w:cs="Arial"/>
              <w:sz w:val="18"/>
            </w:rPr>
            <w:t>“</w:t>
          </w:r>
          <w:r w:rsidRPr="00BC5B99">
            <w:rPr>
              <w:rFonts w:ascii="Arial Narrow" w:hAnsi="Arial Narrow" w:cs="Arial"/>
              <w:bCs/>
              <w:sz w:val="18"/>
              <w:szCs w:val="16"/>
              <w:bdr w:val="none" w:sz="0" w:space="0" w:color="auto" w:frame="1"/>
              <w:shd w:val="clear" w:color="auto" w:fill="FFFFFF"/>
            </w:rPr>
            <w:t>2019, Año del respeto y protección de los derechos humanos en el Estado de Coahuila de Zaragoza</w:t>
          </w:r>
          <w:r w:rsidRPr="00BC5B99">
            <w:rPr>
              <w:rFonts w:ascii="Arial Narrow" w:hAnsi="Arial Narrow" w:cs="Arial"/>
              <w:sz w:val="18"/>
            </w:rPr>
            <w:t>”</w:t>
          </w:r>
        </w:p>
        <w:p w:rsidR="00BC5B99" w:rsidRPr="00BC5B99" w:rsidRDefault="00BC5B99" w:rsidP="00BC5B99">
          <w:pPr>
            <w:ind w:left="-434" w:right="-672"/>
            <w:jc w:val="center"/>
            <w:rPr>
              <w:b/>
              <w:bCs/>
              <w:sz w:val="12"/>
            </w:rPr>
          </w:pPr>
        </w:p>
      </w:tc>
      <w:tc>
        <w:tcPr>
          <w:tcW w:w="1181" w:type="dxa"/>
        </w:tcPr>
        <w:p w:rsidR="00BC5B99" w:rsidRPr="00BC5B99" w:rsidRDefault="00BC5B99" w:rsidP="00BC5B99">
          <w:pPr>
            <w:jc w:val="center"/>
            <w:rPr>
              <w:b/>
              <w:bCs/>
              <w:sz w:val="12"/>
            </w:rPr>
          </w:pPr>
        </w:p>
        <w:p w:rsidR="00BC5B99" w:rsidRPr="00BC5B99" w:rsidRDefault="00BC5B99" w:rsidP="00BC5B99">
          <w:pPr>
            <w:jc w:val="center"/>
            <w:rPr>
              <w:b/>
              <w:bCs/>
              <w:sz w:val="12"/>
            </w:rPr>
          </w:pPr>
        </w:p>
        <w:p w:rsidR="00BC5B99" w:rsidRPr="00BC5B99" w:rsidRDefault="00BC5B99" w:rsidP="00BC5B99">
          <w:pPr>
            <w:jc w:val="center"/>
            <w:rPr>
              <w:b/>
              <w:bCs/>
              <w:sz w:val="12"/>
            </w:rPr>
          </w:pPr>
        </w:p>
      </w:tc>
    </w:tr>
  </w:tbl>
  <w:p w:rsidR="00BC5B99" w:rsidRDefault="00BC5B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37"/>
    <w:rsid w:val="000653EC"/>
    <w:rsid w:val="00355131"/>
    <w:rsid w:val="00375935"/>
    <w:rsid w:val="004562E7"/>
    <w:rsid w:val="00583F59"/>
    <w:rsid w:val="006F75FF"/>
    <w:rsid w:val="00967037"/>
    <w:rsid w:val="00BC5B99"/>
    <w:rsid w:val="00E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F6980-649B-47CE-88D4-8D7CC100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3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B99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5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B99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2</cp:revision>
  <dcterms:created xsi:type="dcterms:W3CDTF">2019-12-06T19:00:00Z</dcterms:created>
  <dcterms:modified xsi:type="dcterms:W3CDTF">2019-12-06T19:00:00Z</dcterms:modified>
</cp:coreProperties>
</file>