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>QUE EL CONGRESO DEL EST</w:t>
      </w:r>
      <w:bookmarkStart w:id="0" w:name="_GoBack"/>
      <w:bookmarkEnd w:id="0"/>
      <w:r w:rsidRPr="0034126C">
        <w:rPr>
          <w:rFonts w:cs="Arial"/>
          <w:b/>
          <w:snapToGrid w:val="0"/>
          <w:sz w:val="22"/>
          <w:szCs w:val="22"/>
          <w:lang w:val="es-ES_tradnl"/>
        </w:rPr>
        <w:t>ADO INDEPENDIENTE, LIBRE Y SOBERANO DE COAHUILA DE ZARAGOZA;</w:t>
      </w: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>DECRETA:</w:t>
      </w:r>
    </w:p>
    <w:p w:rsidR="00A732D8" w:rsidRPr="0034126C" w:rsidRDefault="00A732D8" w:rsidP="00A732D8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 xml:space="preserve">NÚMERO 435.- </w:t>
      </w:r>
    </w:p>
    <w:p w:rsidR="00A732D8" w:rsidRPr="0034126C" w:rsidRDefault="00A732D8" w:rsidP="0034126C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:rsidR="0034126C" w:rsidRPr="0034126C" w:rsidRDefault="0034126C" w:rsidP="0034126C">
      <w:pPr>
        <w:rPr>
          <w:rFonts w:cs="Arial"/>
          <w:bCs/>
          <w:sz w:val="22"/>
          <w:szCs w:val="22"/>
        </w:rPr>
      </w:pPr>
    </w:p>
    <w:p w:rsidR="0034126C" w:rsidRPr="0034126C" w:rsidRDefault="0034126C" w:rsidP="0034126C">
      <w:pPr>
        <w:rPr>
          <w:rFonts w:eastAsia="Arial" w:cs="Arial"/>
          <w:sz w:val="22"/>
          <w:szCs w:val="22"/>
          <w:lang w:eastAsia="en-US"/>
        </w:rPr>
      </w:pPr>
      <w:r w:rsidRPr="0034126C">
        <w:rPr>
          <w:rFonts w:cs="Arial"/>
          <w:b/>
          <w:bCs/>
          <w:color w:val="000000"/>
          <w:sz w:val="22"/>
          <w:szCs w:val="22"/>
        </w:rPr>
        <w:t>ARTÍCULO ÚNICO.-</w:t>
      </w:r>
      <w:r w:rsidRPr="0034126C">
        <w:rPr>
          <w:rFonts w:cs="Arial"/>
          <w:bCs/>
          <w:color w:val="000000"/>
          <w:sz w:val="22"/>
          <w:szCs w:val="22"/>
        </w:rPr>
        <w:t xml:space="preserve"> </w:t>
      </w:r>
      <w:r w:rsidRPr="0034126C">
        <w:rPr>
          <w:rFonts w:eastAsia="Arial" w:cs="Arial"/>
          <w:sz w:val="22"/>
          <w:szCs w:val="22"/>
          <w:lang w:eastAsia="en-US"/>
        </w:rPr>
        <w:t>Se reforma el artículo 231, la fracción III del artículo 235, y el último párrafo de la fracción III del artículo 244 de la Ley para la Familia de Coahuila de Zaragoza, para quedar como sigue:</w:t>
      </w:r>
    </w:p>
    <w:p w:rsidR="0034126C" w:rsidRDefault="0034126C" w:rsidP="0034126C">
      <w:pPr>
        <w:rPr>
          <w:rFonts w:cs="Arial"/>
          <w:b/>
          <w:sz w:val="22"/>
          <w:szCs w:val="22"/>
          <w:lang w:val="x-none"/>
        </w:rPr>
      </w:pPr>
    </w:p>
    <w:p w:rsidR="0034126C" w:rsidRPr="0034126C" w:rsidRDefault="0034126C" w:rsidP="0034126C">
      <w:pPr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Artículo 231.</w:t>
      </w:r>
      <w:r w:rsidRPr="0034126C">
        <w:rPr>
          <w:rFonts w:cs="Arial"/>
          <w:sz w:val="22"/>
          <w:szCs w:val="22"/>
          <w:lang w:val="x-none"/>
        </w:rPr>
        <w:t xml:space="preserve"> Si al declararse la nulidad del matrimonio la mujer estuviere </w:t>
      </w:r>
      <w:r w:rsidRPr="0034126C">
        <w:rPr>
          <w:rFonts w:cs="Arial"/>
          <w:sz w:val="22"/>
          <w:szCs w:val="22"/>
        </w:rPr>
        <w:t>embarazada</w:t>
      </w:r>
      <w:r w:rsidRPr="0034126C">
        <w:rPr>
          <w:rFonts w:cs="Arial"/>
          <w:sz w:val="22"/>
          <w:szCs w:val="22"/>
          <w:lang w:val="x-none"/>
        </w:rPr>
        <w:t xml:space="preserve">, se tomarán las precauciones a que se refiere el Capítulo Primero del Título Quinto del Libro Tercero del Código Civil para el Estado de Coahuila de Zaragoza.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126C" w:rsidRPr="0034126C" w:rsidRDefault="0034126C" w:rsidP="0034126C">
      <w:pPr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Artículo 235.</w:t>
      </w:r>
      <w:r w:rsidRPr="0034126C">
        <w:rPr>
          <w:rFonts w:cs="Arial"/>
          <w:sz w:val="22"/>
          <w:szCs w:val="22"/>
          <w:lang w:val="x-none"/>
        </w:rPr>
        <w:t xml:space="preserve"> </w:t>
      </w:r>
      <w:r w:rsidRPr="0034126C">
        <w:rPr>
          <w:rFonts w:cs="Arial"/>
          <w:sz w:val="22"/>
          <w:szCs w:val="22"/>
        </w:rPr>
        <w:t>..</w:t>
      </w:r>
      <w:r w:rsidRPr="0034126C">
        <w:rPr>
          <w:rFonts w:cs="Arial"/>
          <w:sz w:val="22"/>
          <w:szCs w:val="22"/>
          <w:lang w:val="x-none"/>
        </w:rPr>
        <w:t xml:space="preserve">.  </w:t>
      </w:r>
    </w:p>
    <w:p w:rsidR="0034126C" w:rsidRPr="0034126C" w:rsidRDefault="0034126C" w:rsidP="0034126C">
      <w:pPr>
        <w:rPr>
          <w:rFonts w:cs="Arial"/>
          <w:sz w:val="22"/>
          <w:szCs w:val="22"/>
          <w:lang w:val="x-none"/>
        </w:rPr>
      </w:pPr>
    </w:p>
    <w:p w:rsidR="0034126C" w:rsidRPr="0034126C" w:rsidRDefault="0034126C" w:rsidP="0034126C">
      <w:pPr>
        <w:rPr>
          <w:rFonts w:cs="Arial"/>
          <w:sz w:val="22"/>
          <w:szCs w:val="22"/>
          <w:lang w:val="x-none"/>
        </w:rPr>
      </w:pPr>
      <w:r w:rsidRPr="0034126C">
        <w:rPr>
          <w:rFonts w:cs="Arial"/>
          <w:sz w:val="22"/>
          <w:szCs w:val="22"/>
        </w:rPr>
        <w:t>…</w:t>
      </w:r>
      <w:r w:rsidRPr="0034126C">
        <w:rPr>
          <w:rFonts w:cs="Arial"/>
          <w:sz w:val="22"/>
          <w:szCs w:val="22"/>
          <w:lang w:val="x-none"/>
        </w:rPr>
        <w:t xml:space="preserve"> 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126C" w:rsidRPr="0034126C" w:rsidRDefault="0034126C" w:rsidP="0034126C">
      <w:pPr>
        <w:pStyle w:val="Prrafodelista"/>
        <w:numPr>
          <w:ilvl w:val="0"/>
          <w:numId w:val="1"/>
        </w:numPr>
        <w:rPr>
          <w:rFonts w:cs="Arial"/>
          <w:sz w:val="22"/>
          <w:szCs w:val="22"/>
          <w:lang w:val="x-none"/>
        </w:rPr>
      </w:pPr>
      <w:r w:rsidRPr="0034126C">
        <w:rPr>
          <w:rFonts w:cs="Arial"/>
          <w:sz w:val="22"/>
          <w:szCs w:val="22"/>
        </w:rPr>
        <w:t>a la II. ..</w:t>
      </w:r>
      <w:r w:rsidRPr="0034126C">
        <w:rPr>
          <w:rFonts w:cs="Arial"/>
          <w:sz w:val="22"/>
          <w:szCs w:val="22"/>
          <w:lang w:val="x-none"/>
        </w:rPr>
        <w:t xml:space="preserve">.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126C" w:rsidRPr="0034126C" w:rsidRDefault="0034126C" w:rsidP="0034126C">
      <w:pPr>
        <w:ind w:left="454" w:hanging="454"/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III.</w:t>
      </w:r>
      <w:r w:rsidRPr="0034126C">
        <w:rPr>
          <w:rFonts w:cs="Arial"/>
          <w:sz w:val="22"/>
          <w:szCs w:val="22"/>
          <w:lang w:val="x-none"/>
        </w:rPr>
        <w:t xml:space="preserve"> </w:t>
      </w:r>
      <w:r w:rsidRPr="0034126C">
        <w:rPr>
          <w:rFonts w:cs="Arial"/>
          <w:sz w:val="22"/>
          <w:szCs w:val="22"/>
        </w:rPr>
        <w:tab/>
      </w:r>
      <w:r w:rsidRPr="0034126C">
        <w:rPr>
          <w:rFonts w:cs="Arial"/>
          <w:sz w:val="22"/>
          <w:szCs w:val="22"/>
          <w:lang w:val="x-none"/>
        </w:rPr>
        <w:t xml:space="preserve">El modo de subvenir las necesidades de las hijas o hijos y, en su caso, del cónyuge a quien deba darse alimentos, tanto durante el procedimiento como después de decretarse el divorcio, así como las medidas correspondientes en caso de que la mujer se encuentre </w:t>
      </w:r>
      <w:r w:rsidRPr="0034126C">
        <w:rPr>
          <w:rFonts w:cs="Arial"/>
          <w:sz w:val="22"/>
          <w:szCs w:val="22"/>
        </w:rPr>
        <w:t>embarazada</w:t>
      </w:r>
      <w:r w:rsidRPr="0034126C">
        <w:rPr>
          <w:rFonts w:cs="Arial"/>
          <w:sz w:val="22"/>
          <w:szCs w:val="22"/>
          <w:lang w:val="x-none"/>
        </w:rPr>
        <w:t xml:space="preserve">. Deberá precisarse la forma, lugar y fecha del pago de la obligación alimentaria, así como la garantía para asegurar su cumplimiento. 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126C" w:rsidRPr="0034126C" w:rsidRDefault="0034126C" w:rsidP="0034126C">
      <w:pPr>
        <w:ind w:left="454" w:hanging="454"/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IV.</w:t>
      </w:r>
      <w:r w:rsidRPr="0034126C">
        <w:rPr>
          <w:rFonts w:cs="Arial"/>
          <w:sz w:val="22"/>
          <w:szCs w:val="22"/>
          <w:lang w:val="x-none"/>
        </w:rPr>
        <w:t xml:space="preserve"> </w:t>
      </w:r>
      <w:r w:rsidRPr="0034126C">
        <w:rPr>
          <w:rFonts w:cs="Arial"/>
          <w:sz w:val="22"/>
          <w:szCs w:val="22"/>
        </w:rPr>
        <w:tab/>
        <w:t xml:space="preserve"> a la </w:t>
      </w:r>
      <w:r w:rsidRPr="0034126C">
        <w:rPr>
          <w:rFonts w:cs="Arial"/>
          <w:b/>
          <w:sz w:val="22"/>
          <w:szCs w:val="22"/>
          <w:lang w:val="x-none"/>
        </w:rPr>
        <w:t>VI.</w:t>
      </w:r>
      <w:r w:rsidRPr="0034126C">
        <w:rPr>
          <w:rFonts w:cs="Arial"/>
          <w:sz w:val="22"/>
          <w:szCs w:val="22"/>
        </w:rPr>
        <w:tab/>
        <w:t xml:space="preserve"> ..</w:t>
      </w:r>
      <w:r w:rsidRPr="0034126C">
        <w:rPr>
          <w:rFonts w:cs="Arial"/>
          <w:sz w:val="22"/>
          <w:szCs w:val="22"/>
          <w:lang w:val="x-none"/>
        </w:rPr>
        <w:t xml:space="preserve">.  </w:t>
      </w:r>
    </w:p>
    <w:p w:rsidR="0034126C" w:rsidRPr="0034126C" w:rsidRDefault="0034126C" w:rsidP="0034126C">
      <w:pPr>
        <w:rPr>
          <w:rFonts w:cs="Arial"/>
          <w:sz w:val="22"/>
          <w:szCs w:val="22"/>
          <w:lang w:val="x-none"/>
        </w:rPr>
      </w:pPr>
    </w:p>
    <w:p w:rsidR="0034126C" w:rsidRPr="0034126C" w:rsidRDefault="0034126C" w:rsidP="0034126C">
      <w:pPr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Artículo 244.</w:t>
      </w:r>
      <w:r w:rsidRPr="0034126C">
        <w:rPr>
          <w:rFonts w:cs="Arial"/>
          <w:sz w:val="22"/>
          <w:szCs w:val="22"/>
          <w:lang w:val="x-none"/>
        </w:rPr>
        <w:t xml:space="preserve"> </w:t>
      </w:r>
      <w:r w:rsidRPr="0034126C">
        <w:rPr>
          <w:rFonts w:cs="Arial"/>
          <w:sz w:val="22"/>
          <w:szCs w:val="22"/>
        </w:rPr>
        <w:t>…</w:t>
      </w:r>
      <w:r w:rsidRPr="0034126C">
        <w:rPr>
          <w:rFonts w:cs="Arial"/>
          <w:sz w:val="22"/>
          <w:szCs w:val="22"/>
          <w:lang w:val="x-none"/>
        </w:rPr>
        <w:t xml:space="preserve">: 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126C" w:rsidRPr="0034126C" w:rsidRDefault="0034126C" w:rsidP="0034126C">
      <w:pPr>
        <w:ind w:left="454" w:hanging="454"/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I.</w:t>
      </w:r>
      <w:r w:rsidRPr="0034126C">
        <w:rPr>
          <w:rFonts w:cs="Arial"/>
          <w:sz w:val="22"/>
          <w:szCs w:val="22"/>
          <w:lang w:val="x-none"/>
        </w:rPr>
        <w:t xml:space="preserve">  </w:t>
      </w:r>
      <w:r w:rsidRPr="0034126C">
        <w:rPr>
          <w:rFonts w:cs="Arial"/>
          <w:sz w:val="22"/>
          <w:szCs w:val="22"/>
        </w:rPr>
        <w:tab/>
        <w:t xml:space="preserve">a la </w:t>
      </w:r>
      <w:r w:rsidRPr="0034126C">
        <w:rPr>
          <w:rFonts w:cs="Arial"/>
          <w:b/>
          <w:sz w:val="22"/>
          <w:szCs w:val="22"/>
          <w:lang w:val="x-none"/>
        </w:rPr>
        <w:t>II.</w:t>
      </w:r>
      <w:r w:rsidRPr="0034126C">
        <w:rPr>
          <w:rFonts w:cs="Arial"/>
          <w:sz w:val="22"/>
          <w:szCs w:val="22"/>
          <w:lang w:val="x-none"/>
        </w:rPr>
        <w:t xml:space="preserve">  </w:t>
      </w:r>
      <w:r w:rsidRPr="0034126C">
        <w:rPr>
          <w:rFonts w:cs="Arial"/>
          <w:sz w:val="22"/>
          <w:szCs w:val="22"/>
        </w:rPr>
        <w:tab/>
        <w:t>..</w:t>
      </w:r>
      <w:r w:rsidRPr="0034126C">
        <w:rPr>
          <w:rFonts w:cs="Arial"/>
          <w:sz w:val="22"/>
          <w:szCs w:val="22"/>
          <w:lang w:val="x-none"/>
        </w:rPr>
        <w:t xml:space="preserve">. 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126C" w:rsidRPr="0034126C" w:rsidRDefault="0034126C" w:rsidP="0034126C">
      <w:pPr>
        <w:ind w:left="454" w:hanging="454"/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III.</w:t>
      </w:r>
      <w:r w:rsidRPr="0034126C">
        <w:rPr>
          <w:rFonts w:cs="Arial"/>
          <w:sz w:val="22"/>
          <w:szCs w:val="22"/>
          <w:lang w:val="x-none"/>
        </w:rPr>
        <w:t xml:space="preserve">  </w:t>
      </w:r>
      <w:r w:rsidRPr="0034126C">
        <w:rPr>
          <w:rFonts w:cs="Arial"/>
          <w:sz w:val="22"/>
          <w:szCs w:val="22"/>
        </w:rPr>
        <w:tab/>
      </w:r>
      <w:r w:rsidRPr="0034126C">
        <w:rPr>
          <w:rFonts w:cs="Arial"/>
          <w:sz w:val="22"/>
          <w:szCs w:val="22"/>
          <w:lang w:val="x-none"/>
        </w:rPr>
        <w:t xml:space="preserve">La determinación y aseguramiento de los alimentos que los ex cónyuges tienen obligación de contribuir, en proporción a sus bienes o ingresos, a favor de las hijas o hijos, incluyendo el caso de que la mujer se encuentre </w:t>
      </w:r>
      <w:r w:rsidRPr="0034126C">
        <w:rPr>
          <w:rFonts w:cs="Arial"/>
          <w:sz w:val="22"/>
          <w:szCs w:val="22"/>
        </w:rPr>
        <w:t>embarazada</w:t>
      </w:r>
      <w:r w:rsidRPr="0034126C">
        <w:rPr>
          <w:rFonts w:cs="Arial"/>
          <w:sz w:val="22"/>
          <w:szCs w:val="22"/>
          <w:lang w:val="x-none"/>
        </w:rPr>
        <w:t xml:space="preserve">. 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126C" w:rsidRPr="0034126C" w:rsidRDefault="0034126C" w:rsidP="0034126C">
      <w:pPr>
        <w:ind w:left="454" w:hanging="454"/>
        <w:rPr>
          <w:rFonts w:cs="Arial"/>
          <w:sz w:val="22"/>
          <w:szCs w:val="22"/>
          <w:lang w:val="x-none"/>
        </w:rPr>
      </w:pPr>
      <w:r w:rsidRPr="0034126C">
        <w:rPr>
          <w:rFonts w:cs="Arial"/>
          <w:b/>
          <w:sz w:val="22"/>
          <w:szCs w:val="22"/>
          <w:lang w:val="x-none"/>
        </w:rPr>
        <w:t>IV.</w:t>
      </w:r>
      <w:r w:rsidRPr="0034126C">
        <w:rPr>
          <w:rFonts w:cs="Arial"/>
          <w:sz w:val="22"/>
          <w:szCs w:val="22"/>
          <w:lang w:val="x-none"/>
        </w:rPr>
        <w:t xml:space="preserve">  </w:t>
      </w:r>
      <w:r w:rsidRPr="001018BD">
        <w:rPr>
          <w:rFonts w:cs="Arial"/>
          <w:sz w:val="22"/>
          <w:szCs w:val="22"/>
        </w:rPr>
        <w:tab/>
        <w:t xml:space="preserve">a la </w:t>
      </w:r>
      <w:r w:rsidRPr="0034126C">
        <w:rPr>
          <w:rFonts w:cs="Arial"/>
          <w:b/>
          <w:sz w:val="22"/>
          <w:szCs w:val="22"/>
          <w:lang w:val="x-none"/>
        </w:rPr>
        <w:t>V.</w:t>
      </w:r>
      <w:r w:rsidRPr="0034126C">
        <w:rPr>
          <w:rFonts w:cs="Arial"/>
          <w:sz w:val="22"/>
          <w:szCs w:val="22"/>
          <w:lang w:val="x-none"/>
        </w:rPr>
        <w:t xml:space="preserve">  </w:t>
      </w:r>
      <w:r w:rsidRPr="001018BD">
        <w:rPr>
          <w:rFonts w:cs="Arial"/>
          <w:sz w:val="22"/>
          <w:szCs w:val="22"/>
        </w:rPr>
        <w:tab/>
        <w:t>…</w:t>
      </w:r>
      <w:r w:rsidRPr="0034126C">
        <w:rPr>
          <w:rFonts w:cs="Arial"/>
          <w:sz w:val="22"/>
          <w:szCs w:val="22"/>
          <w:lang w:val="x-none"/>
        </w:rPr>
        <w:t xml:space="preserve"> 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12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34126C" w:rsidRPr="0034126C" w:rsidRDefault="0034126C" w:rsidP="0034126C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126C" w:rsidRPr="001018BD" w:rsidRDefault="0034126C" w:rsidP="0034126C">
      <w:pPr>
        <w:spacing w:after="160" w:line="360" w:lineRule="auto"/>
        <w:jc w:val="center"/>
        <w:rPr>
          <w:rFonts w:eastAsia="Arial" w:cs="Arial"/>
          <w:b/>
          <w:sz w:val="22"/>
          <w:szCs w:val="22"/>
          <w:lang w:eastAsia="en-US"/>
        </w:rPr>
      </w:pPr>
      <w:r w:rsidRPr="001018BD">
        <w:rPr>
          <w:rFonts w:eastAsia="Arial" w:cs="Arial"/>
          <w:b/>
          <w:sz w:val="22"/>
          <w:szCs w:val="22"/>
          <w:lang w:eastAsia="en-US"/>
        </w:rPr>
        <w:t xml:space="preserve">T R A N S I T O R I O </w:t>
      </w:r>
    </w:p>
    <w:p w:rsidR="0034126C" w:rsidRPr="001018BD" w:rsidRDefault="0034126C" w:rsidP="0034126C">
      <w:pPr>
        <w:spacing w:after="160" w:line="360" w:lineRule="auto"/>
        <w:jc w:val="center"/>
        <w:rPr>
          <w:rFonts w:eastAsia="Arial" w:cs="Arial"/>
          <w:b/>
          <w:sz w:val="22"/>
          <w:szCs w:val="22"/>
          <w:lang w:eastAsia="en-US"/>
        </w:rPr>
      </w:pPr>
    </w:p>
    <w:p w:rsidR="0034126C" w:rsidRPr="0034126C" w:rsidRDefault="0034126C" w:rsidP="0034126C">
      <w:pPr>
        <w:spacing w:after="160" w:line="360" w:lineRule="auto"/>
        <w:ind w:right="50"/>
        <w:rPr>
          <w:rFonts w:eastAsia="Arial" w:cs="Arial"/>
          <w:sz w:val="22"/>
          <w:szCs w:val="22"/>
          <w:lang w:eastAsia="en-US"/>
        </w:rPr>
      </w:pPr>
      <w:r w:rsidRPr="0034126C">
        <w:rPr>
          <w:rFonts w:eastAsia="Arial" w:cs="Arial"/>
          <w:b/>
          <w:sz w:val="22"/>
          <w:szCs w:val="22"/>
          <w:lang w:eastAsia="en-US"/>
        </w:rPr>
        <w:t>ÚNICO.-</w:t>
      </w:r>
      <w:r w:rsidRPr="0034126C">
        <w:rPr>
          <w:rFonts w:eastAsia="Arial" w:cs="Arial"/>
          <w:sz w:val="22"/>
          <w:szCs w:val="22"/>
          <w:lang w:eastAsia="en-US"/>
        </w:rPr>
        <w:t xml:space="preserve"> El presente decreto entrará en vigor al día siguiente de su publicación en el Periódico Oficial del Gobierno del Estado.</w:t>
      </w:r>
    </w:p>
    <w:p w:rsidR="00A732D8" w:rsidRPr="0034126C" w:rsidRDefault="00A732D8" w:rsidP="00A732D8">
      <w:pPr>
        <w:widowControl w:val="0"/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widowControl w:val="0"/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widowControl w:val="0"/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>DADO en la Ciudad de Saltillo, Coahuila de Zaragoza, a los once días del mes de diciembre del año dos mil diecinueve.</w:t>
      </w:r>
    </w:p>
    <w:p w:rsidR="00A732D8" w:rsidRPr="0034126C" w:rsidRDefault="00A732D8" w:rsidP="00A732D8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jc w:val="center"/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>DIPUTADO PRESIDENTE</w:t>
      </w:r>
    </w:p>
    <w:p w:rsidR="00A732D8" w:rsidRPr="0034126C" w:rsidRDefault="00A732D8" w:rsidP="00A732D8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jc w:val="left"/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jc w:val="center"/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>JAIME BUENO ZERTUCHE</w:t>
      </w:r>
    </w:p>
    <w:p w:rsidR="00A732D8" w:rsidRPr="0034126C" w:rsidRDefault="00A732D8" w:rsidP="00A732D8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tabs>
          <w:tab w:val="left" w:pos="8749"/>
        </w:tabs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 xml:space="preserve">       </w:t>
      </w:r>
      <w:r w:rsidR="0034126C">
        <w:rPr>
          <w:rFonts w:cs="Arial"/>
          <w:b/>
          <w:snapToGrid w:val="0"/>
          <w:sz w:val="22"/>
          <w:szCs w:val="22"/>
          <w:lang w:val="es-ES_tradnl"/>
        </w:rPr>
        <w:t xml:space="preserve"> </w:t>
      </w:r>
      <w:r w:rsidRPr="0034126C">
        <w:rPr>
          <w:rFonts w:cs="Arial"/>
          <w:b/>
          <w:snapToGrid w:val="0"/>
          <w:sz w:val="22"/>
          <w:szCs w:val="22"/>
          <w:lang w:val="es-ES_tradnl"/>
        </w:rPr>
        <w:t xml:space="preserve"> DIPUTADO SECRETARIO                                             </w:t>
      </w:r>
      <w:r w:rsidR="0034126C">
        <w:rPr>
          <w:rFonts w:cs="Arial"/>
          <w:b/>
          <w:snapToGrid w:val="0"/>
          <w:sz w:val="22"/>
          <w:szCs w:val="22"/>
          <w:lang w:val="es-ES_tradnl"/>
        </w:rPr>
        <w:t xml:space="preserve">                </w:t>
      </w:r>
      <w:r w:rsidRPr="0034126C">
        <w:rPr>
          <w:rFonts w:cs="Arial"/>
          <w:b/>
          <w:snapToGrid w:val="0"/>
          <w:sz w:val="22"/>
          <w:szCs w:val="22"/>
          <w:lang w:val="es-ES_tradnl"/>
        </w:rPr>
        <w:t>DIPUTADO SECRETARIO</w:t>
      </w: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cs="Arial"/>
          <w:b/>
          <w:snapToGrid w:val="0"/>
          <w:sz w:val="22"/>
          <w:szCs w:val="22"/>
          <w:lang w:val="es-ES_tradnl"/>
        </w:rPr>
        <w:t xml:space="preserve">         </w:t>
      </w:r>
    </w:p>
    <w:p w:rsidR="00A732D8" w:rsidRPr="0034126C" w:rsidRDefault="00A732D8" w:rsidP="00A732D8">
      <w:pPr>
        <w:rPr>
          <w:rFonts w:cs="Arial"/>
          <w:b/>
          <w:snapToGrid w:val="0"/>
          <w:sz w:val="22"/>
          <w:szCs w:val="22"/>
          <w:lang w:val="es-ES_tradnl"/>
        </w:rPr>
      </w:pPr>
      <w:r w:rsidRPr="0034126C">
        <w:rPr>
          <w:rFonts w:eastAsiaTheme="minorHAnsi" w:cs="Arial"/>
          <w:b/>
          <w:sz w:val="22"/>
          <w:szCs w:val="22"/>
          <w:lang w:eastAsia="en-US"/>
        </w:rPr>
        <w:t>EDGAR GERARDO SÁNCH</w:t>
      </w:r>
      <w:r w:rsidR="0034126C">
        <w:rPr>
          <w:rFonts w:eastAsiaTheme="minorHAnsi" w:cs="Arial"/>
          <w:b/>
          <w:sz w:val="22"/>
          <w:szCs w:val="22"/>
          <w:lang w:eastAsia="en-US"/>
        </w:rPr>
        <w:t xml:space="preserve">EZ GARZA                                           </w:t>
      </w:r>
      <w:r w:rsidRPr="0034126C">
        <w:rPr>
          <w:rFonts w:eastAsiaTheme="minorHAnsi" w:cs="Arial"/>
          <w:b/>
          <w:sz w:val="22"/>
          <w:szCs w:val="22"/>
          <w:lang w:eastAsia="en-US"/>
        </w:rPr>
        <w:t>JESÚS ANDRÉS LOYA CARDONA</w:t>
      </w: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jc w:val="left"/>
        <w:rPr>
          <w:rFonts w:eastAsiaTheme="minorHAnsi" w:cs="Arial"/>
          <w:sz w:val="22"/>
          <w:szCs w:val="22"/>
          <w:lang w:eastAsia="en-US"/>
        </w:rPr>
      </w:pPr>
    </w:p>
    <w:p w:rsidR="00A732D8" w:rsidRPr="0034126C" w:rsidRDefault="00A732D8" w:rsidP="00A732D8">
      <w:pPr>
        <w:jc w:val="left"/>
        <w:rPr>
          <w:rFonts w:eastAsia="Calibri" w:cs="Arial"/>
          <w:sz w:val="22"/>
          <w:szCs w:val="22"/>
          <w:lang w:eastAsia="en-US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rFonts w:cs="Arial"/>
          <w:sz w:val="22"/>
          <w:szCs w:val="22"/>
        </w:rPr>
      </w:pPr>
    </w:p>
    <w:p w:rsidR="00A732D8" w:rsidRPr="0034126C" w:rsidRDefault="00A732D8" w:rsidP="00A732D8">
      <w:pPr>
        <w:rPr>
          <w:sz w:val="22"/>
          <w:szCs w:val="22"/>
        </w:rPr>
      </w:pPr>
    </w:p>
    <w:p w:rsidR="00A732D8" w:rsidRPr="0034126C" w:rsidRDefault="00A732D8" w:rsidP="00A732D8">
      <w:pPr>
        <w:rPr>
          <w:sz w:val="22"/>
          <w:szCs w:val="22"/>
        </w:rPr>
      </w:pPr>
    </w:p>
    <w:p w:rsidR="00245157" w:rsidRPr="0034126C" w:rsidRDefault="001F31A1">
      <w:pPr>
        <w:rPr>
          <w:sz w:val="22"/>
          <w:szCs w:val="22"/>
        </w:rPr>
      </w:pPr>
    </w:p>
    <w:sectPr w:rsidR="00245157" w:rsidRPr="0034126C" w:rsidSect="00D87320">
      <w:head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1A1" w:rsidRDefault="001F31A1" w:rsidP="001018BD">
      <w:r>
        <w:separator/>
      </w:r>
    </w:p>
  </w:endnote>
  <w:endnote w:type="continuationSeparator" w:id="0">
    <w:p w:rsidR="001F31A1" w:rsidRDefault="001F31A1" w:rsidP="001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1A1" w:rsidRDefault="001F31A1" w:rsidP="001018BD">
      <w:r>
        <w:separator/>
      </w:r>
    </w:p>
  </w:footnote>
  <w:footnote w:type="continuationSeparator" w:id="0">
    <w:p w:rsidR="001F31A1" w:rsidRDefault="001F31A1" w:rsidP="0010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018BD" w:rsidRPr="001018BD" w:rsidTr="004A0EC7">
      <w:trPr>
        <w:jc w:val="center"/>
      </w:trPr>
      <w:tc>
        <w:tcPr>
          <w:tcW w:w="1253" w:type="dxa"/>
        </w:tcPr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018BD" w:rsidRPr="001018BD" w:rsidRDefault="001018BD" w:rsidP="001018BD">
          <w:pPr>
            <w:jc w:val="center"/>
            <w:rPr>
              <w:b/>
              <w:bCs/>
              <w:sz w:val="24"/>
            </w:rPr>
          </w:pPr>
          <w:r w:rsidRPr="001018B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EBFE161" wp14:editId="7235F0F2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18BD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A696249" wp14:editId="57EC536C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018BD" w:rsidRPr="001018BD" w:rsidRDefault="001018BD" w:rsidP="001018BD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018B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018BD" w:rsidRPr="001018BD" w:rsidRDefault="001018BD" w:rsidP="001018BD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1018BD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018BD" w:rsidRPr="001018BD" w:rsidRDefault="001018BD" w:rsidP="001018BD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018BD" w:rsidRPr="001018BD" w:rsidRDefault="001018BD" w:rsidP="001018BD">
          <w:pPr>
            <w:jc w:val="center"/>
            <w:rPr>
              <w:rFonts w:ascii="Arial Narrow" w:hAnsi="Arial Narrow" w:cs="Arial"/>
              <w:sz w:val="18"/>
            </w:rPr>
          </w:pPr>
          <w:r w:rsidRPr="001018BD">
            <w:rPr>
              <w:rFonts w:ascii="Arial Narrow" w:hAnsi="Arial Narrow" w:cs="Arial"/>
              <w:sz w:val="18"/>
            </w:rPr>
            <w:t>“</w:t>
          </w:r>
          <w:r w:rsidRPr="001018BD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1018BD">
            <w:rPr>
              <w:rFonts w:ascii="Arial Narrow" w:hAnsi="Arial Narrow" w:cs="Arial"/>
              <w:sz w:val="18"/>
            </w:rPr>
            <w:t>”</w:t>
          </w:r>
        </w:p>
        <w:p w:rsidR="001018BD" w:rsidRPr="001018BD" w:rsidRDefault="001018BD" w:rsidP="001018B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  <w:p w:rsidR="001018BD" w:rsidRPr="001018BD" w:rsidRDefault="001018BD" w:rsidP="001018BD">
          <w:pPr>
            <w:jc w:val="center"/>
            <w:rPr>
              <w:b/>
              <w:bCs/>
              <w:sz w:val="12"/>
            </w:rPr>
          </w:pPr>
        </w:p>
      </w:tc>
    </w:tr>
  </w:tbl>
  <w:p w:rsidR="001018BD" w:rsidRDefault="001018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1BF6"/>
    <w:multiLevelType w:val="hybridMultilevel"/>
    <w:tmpl w:val="B196619E"/>
    <w:lvl w:ilvl="0" w:tplc="DA8845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D8"/>
    <w:rsid w:val="000653EC"/>
    <w:rsid w:val="001018BD"/>
    <w:rsid w:val="001F31A1"/>
    <w:rsid w:val="00276E2F"/>
    <w:rsid w:val="0034126C"/>
    <w:rsid w:val="004562E7"/>
    <w:rsid w:val="005C610A"/>
    <w:rsid w:val="00A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325A-A9E3-44D3-84DB-793F49AA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2D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18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8BD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18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8B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2019-12-16T18:46:00Z</dcterms:created>
  <dcterms:modified xsi:type="dcterms:W3CDTF">2019-12-16T18:46:00Z</dcterms:modified>
</cp:coreProperties>
</file>