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90B" w:rsidRPr="00AB690B" w:rsidRDefault="00AB690B" w:rsidP="00AB690B">
      <w:pPr>
        <w:rPr>
          <w:rFonts w:cs="Arial"/>
          <w:b/>
          <w:snapToGrid w:val="0"/>
          <w:sz w:val="25"/>
          <w:szCs w:val="25"/>
          <w:lang w:val="es-ES_tradnl"/>
        </w:rPr>
      </w:pPr>
    </w:p>
    <w:p w:rsidR="00AB690B" w:rsidRPr="00AB690B" w:rsidRDefault="00AB690B" w:rsidP="00AB690B">
      <w:pPr>
        <w:rPr>
          <w:rFonts w:cs="Arial"/>
          <w:b/>
          <w:snapToGrid w:val="0"/>
          <w:sz w:val="25"/>
          <w:szCs w:val="25"/>
          <w:lang w:val="es-ES_tradnl"/>
        </w:rPr>
      </w:pPr>
    </w:p>
    <w:p w:rsidR="00AB690B" w:rsidRPr="00AB690B" w:rsidRDefault="00AB690B" w:rsidP="00AB690B">
      <w:pPr>
        <w:rPr>
          <w:rFonts w:cs="Arial"/>
          <w:b/>
          <w:snapToGrid w:val="0"/>
          <w:sz w:val="25"/>
          <w:szCs w:val="25"/>
          <w:lang w:val="es-ES_tradnl"/>
        </w:rPr>
      </w:pPr>
    </w:p>
    <w:p w:rsidR="00AB690B" w:rsidRPr="00AB690B" w:rsidRDefault="00AB690B" w:rsidP="00AB690B">
      <w:pPr>
        <w:rPr>
          <w:rFonts w:cs="Arial"/>
          <w:b/>
          <w:snapToGrid w:val="0"/>
          <w:sz w:val="25"/>
          <w:szCs w:val="25"/>
          <w:lang w:val="es-ES_tradnl"/>
        </w:rPr>
      </w:pPr>
    </w:p>
    <w:p w:rsidR="00AB690B" w:rsidRPr="00AB690B" w:rsidRDefault="00AB690B" w:rsidP="00AB690B">
      <w:pPr>
        <w:rPr>
          <w:rFonts w:cs="Arial"/>
          <w:b/>
          <w:snapToGrid w:val="0"/>
          <w:sz w:val="25"/>
          <w:szCs w:val="25"/>
          <w:lang w:val="es-ES_tradnl"/>
        </w:rPr>
      </w:pPr>
    </w:p>
    <w:p w:rsidR="00AB690B" w:rsidRPr="00AB690B" w:rsidRDefault="00AB690B" w:rsidP="00AB690B">
      <w:pPr>
        <w:rPr>
          <w:rFonts w:cs="Arial"/>
          <w:b/>
          <w:snapToGrid w:val="0"/>
          <w:sz w:val="25"/>
          <w:szCs w:val="25"/>
          <w:lang w:val="es-ES_tradnl"/>
        </w:rPr>
      </w:pPr>
      <w:r w:rsidRPr="00AB690B">
        <w:rPr>
          <w:rFonts w:cs="Arial"/>
          <w:b/>
          <w:snapToGrid w:val="0"/>
          <w:sz w:val="25"/>
          <w:szCs w:val="25"/>
          <w:lang w:val="es-ES_tradnl"/>
        </w:rPr>
        <w:t>QUE EL CONGRESO DEL ESTADO INDEPENDIENTE, LIBRE Y SOBERANO DE COAHUILA DE ZARAGOZA;</w:t>
      </w:r>
    </w:p>
    <w:p w:rsidR="00AB690B" w:rsidRPr="00AB690B" w:rsidRDefault="00AB690B" w:rsidP="00AB690B">
      <w:pPr>
        <w:rPr>
          <w:rFonts w:cs="Arial"/>
          <w:b/>
          <w:snapToGrid w:val="0"/>
          <w:sz w:val="25"/>
          <w:szCs w:val="25"/>
          <w:lang w:val="es-ES_tradnl"/>
        </w:rPr>
      </w:pPr>
    </w:p>
    <w:p w:rsidR="00AB690B" w:rsidRPr="00AB690B" w:rsidRDefault="00AB690B" w:rsidP="00AB690B">
      <w:pPr>
        <w:rPr>
          <w:rFonts w:cs="Arial"/>
          <w:b/>
          <w:snapToGrid w:val="0"/>
          <w:sz w:val="25"/>
          <w:szCs w:val="25"/>
          <w:lang w:val="es-ES_tradnl"/>
        </w:rPr>
      </w:pPr>
    </w:p>
    <w:p w:rsidR="00AB690B" w:rsidRPr="00AB690B" w:rsidRDefault="00AB690B" w:rsidP="00AB690B">
      <w:pPr>
        <w:widowControl w:val="0"/>
        <w:rPr>
          <w:rFonts w:cs="Arial"/>
          <w:b/>
          <w:snapToGrid w:val="0"/>
          <w:sz w:val="25"/>
          <w:szCs w:val="25"/>
          <w:lang w:val="es-ES_tradnl"/>
        </w:rPr>
      </w:pPr>
      <w:r w:rsidRPr="00AB690B">
        <w:rPr>
          <w:rFonts w:cs="Arial"/>
          <w:b/>
          <w:snapToGrid w:val="0"/>
          <w:sz w:val="25"/>
          <w:szCs w:val="25"/>
          <w:lang w:val="es-ES_tradnl"/>
        </w:rPr>
        <w:t>DECRETA:</w:t>
      </w:r>
    </w:p>
    <w:p w:rsidR="00AB690B" w:rsidRPr="00AB690B" w:rsidRDefault="00AB690B" w:rsidP="00AB690B">
      <w:pPr>
        <w:widowControl w:val="0"/>
        <w:rPr>
          <w:rFonts w:cs="Arial"/>
          <w:b/>
          <w:snapToGrid w:val="0"/>
          <w:sz w:val="25"/>
          <w:szCs w:val="25"/>
          <w:lang w:val="es-ES_tradnl"/>
        </w:rPr>
      </w:pPr>
    </w:p>
    <w:p w:rsidR="00AB690B" w:rsidRPr="00AB690B" w:rsidRDefault="00AB690B" w:rsidP="00AB690B">
      <w:pPr>
        <w:widowControl w:val="0"/>
        <w:rPr>
          <w:rFonts w:cs="Arial"/>
          <w:b/>
          <w:snapToGrid w:val="0"/>
          <w:sz w:val="25"/>
          <w:szCs w:val="25"/>
          <w:lang w:val="es-ES_tradnl"/>
        </w:rPr>
      </w:pPr>
      <w:r w:rsidRPr="00AB690B">
        <w:rPr>
          <w:rFonts w:cs="Arial"/>
          <w:b/>
          <w:snapToGrid w:val="0"/>
          <w:sz w:val="25"/>
          <w:szCs w:val="25"/>
          <w:lang w:val="es-ES_tradnl"/>
        </w:rPr>
        <w:t xml:space="preserve">NÚMERO 461.- </w:t>
      </w:r>
    </w:p>
    <w:p w:rsidR="00AB690B" w:rsidRPr="00AB690B" w:rsidRDefault="00AB690B" w:rsidP="00AB690B">
      <w:pPr>
        <w:widowControl w:val="0"/>
        <w:rPr>
          <w:rFonts w:cs="Arial"/>
          <w:b/>
          <w:snapToGrid w:val="0"/>
          <w:sz w:val="25"/>
          <w:szCs w:val="25"/>
          <w:lang w:val="es-ES_tradnl"/>
        </w:rPr>
      </w:pPr>
    </w:p>
    <w:p w:rsidR="00AB690B" w:rsidRPr="00AB690B" w:rsidRDefault="00AB690B" w:rsidP="00AB690B">
      <w:pPr>
        <w:widowControl w:val="0"/>
        <w:rPr>
          <w:rFonts w:cs="Arial"/>
          <w:b/>
          <w:snapToGrid w:val="0"/>
          <w:sz w:val="25"/>
          <w:szCs w:val="25"/>
          <w:lang w:val="es-ES_tradnl"/>
        </w:rPr>
      </w:pPr>
    </w:p>
    <w:p w:rsidR="00AB690B" w:rsidRPr="00AB690B" w:rsidRDefault="00AB690B" w:rsidP="00AB690B">
      <w:pPr>
        <w:rPr>
          <w:rFonts w:eastAsia="Arial" w:cs="Arial"/>
          <w:sz w:val="25"/>
          <w:szCs w:val="25"/>
          <w:lang w:eastAsia="en-US"/>
        </w:rPr>
      </w:pPr>
      <w:r w:rsidRPr="00AB690B">
        <w:rPr>
          <w:rFonts w:eastAsia="Calibri" w:cs="Arial"/>
          <w:b/>
          <w:sz w:val="25"/>
          <w:szCs w:val="25"/>
          <w:lang w:eastAsia="en-US"/>
        </w:rPr>
        <w:t>ARTÍCULO ÚNICO.-</w:t>
      </w:r>
      <w:r w:rsidRPr="00AB690B">
        <w:rPr>
          <w:rFonts w:eastAsia="Calibri" w:cs="Arial"/>
          <w:sz w:val="25"/>
          <w:szCs w:val="25"/>
          <w:lang w:eastAsia="en-US"/>
        </w:rPr>
        <w:t xml:space="preserve"> Se reforma la fracción XIX del apartado B del artículo 4; y se adiciona la fracción XX al apartado B del artículo 4, el Capítulo XX al Título Décimo Segundo que contempla los artículos 242 ter, 242 </w:t>
      </w:r>
      <w:proofErr w:type="spellStart"/>
      <w:r w:rsidRPr="00AB690B">
        <w:rPr>
          <w:rFonts w:eastAsia="Calibri" w:cs="Arial"/>
          <w:sz w:val="25"/>
          <w:szCs w:val="25"/>
          <w:lang w:eastAsia="en-US"/>
        </w:rPr>
        <w:t>Quater</w:t>
      </w:r>
      <w:proofErr w:type="spellEnd"/>
      <w:r w:rsidRPr="00AB690B">
        <w:rPr>
          <w:rFonts w:eastAsia="Calibri" w:cs="Arial"/>
          <w:sz w:val="25"/>
          <w:szCs w:val="25"/>
          <w:lang w:eastAsia="en-US"/>
        </w:rPr>
        <w:t xml:space="preserve">, de la </w:t>
      </w:r>
      <w:bookmarkStart w:id="0" w:name="_GoBack"/>
      <w:r w:rsidRPr="00AB690B">
        <w:rPr>
          <w:rFonts w:eastAsia="Calibri" w:cs="Arial"/>
          <w:sz w:val="25"/>
          <w:szCs w:val="25"/>
          <w:lang w:eastAsia="en-US"/>
        </w:rPr>
        <w:t>Ley Estatal de Salud</w:t>
      </w:r>
      <w:bookmarkEnd w:id="0"/>
      <w:r w:rsidRPr="00AB690B">
        <w:rPr>
          <w:rFonts w:eastAsia="Calibri" w:cs="Arial"/>
          <w:sz w:val="25"/>
          <w:szCs w:val="25"/>
          <w:lang w:eastAsia="en-US"/>
        </w:rPr>
        <w:t>, para quedar como sigue:</w:t>
      </w:r>
    </w:p>
    <w:p w:rsidR="00AB690B" w:rsidRPr="00AB690B" w:rsidRDefault="00AB690B" w:rsidP="00AB690B">
      <w:pPr>
        <w:rPr>
          <w:rFonts w:eastAsia="Arial" w:cs="Arial"/>
          <w:b/>
          <w:sz w:val="25"/>
          <w:szCs w:val="25"/>
          <w:lang w:eastAsia="en-US"/>
        </w:rPr>
      </w:pPr>
    </w:p>
    <w:p w:rsidR="00AB690B" w:rsidRPr="00AB690B" w:rsidRDefault="00AB690B" w:rsidP="00AB690B">
      <w:pPr>
        <w:rPr>
          <w:rFonts w:eastAsia="Arial" w:cs="Arial"/>
          <w:sz w:val="25"/>
          <w:szCs w:val="25"/>
          <w:lang w:eastAsia="en-US"/>
        </w:rPr>
      </w:pPr>
      <w:r w:rsidRPr="00AB690B">
        <w:rPr>
          <w:rFonts w:eastAsia="Arial" w:cs="Arial"/>
          <w:b/>
          <w:sz w:val="25"/>
          <w:szCs w:val="25"/>
          <w:lang w:eastAsia="en-US"/>
        </w:rPr>
        <w:t>Artículo 4o.</w:t>
      </w:r>
      <w:r w:rsidRPr="00AB690B">
        <w:rPr>
          <w:rFonts w:eastAsia="Arial" w:cs="Arial"/>
          <w:sz w:val="25"/>
          <w:szCs w:val="25"/>
          <w:lang w:eastAsia="en-US"/>
        </w:rPr>
        <w:t xml:space="preserve"> …</w:t>
      </w:r>
    </w:p>
    <w:p w:rsidR="00AB690B" w:rsidRPr="00AB690B" w:rsidRDefault="00AB690B" w:rsidP="00AB690B">
      <w:pPr>
        <w:rPr>
          <w:rFonts w:eastAsia="Arial" w:cs="Arial"/>
          <w:sz w:val="25"/>
          <w:szCs w:val="25"/>
          <w:lang w:eastAsia="en-US"/>
        </w:rPr>
      </w:pPr>
    </w:p>
    <w:p w:rsidR="00AB690B" w:rsidRPr="00AB690B" w:rsidRDefault="00AB690B" w:rsidP="00AB690B">
      <w:pPr>
        <w:widowControl w:val="0"/>
        <w:numPr>
          <w:ilvl w:val="0"/>
          <w:numId w:val="1"/>
        </w:numPr>
        <w:spacing w:after="200" w:line="276" w:lineRule="auto"/>
        <w:contextualSpacing/>
        <w:jc w:val="left"/>
        <w:rPr>
          <w:rFonts w:eastAsia="Arial" w:cs="Arial"/>
          <w:sz w:val="25"/>
          <w:szCs w:val="25"/>
          <w:lang w:eastAsia="en-US"/>
        </w:rPr>
      </w:pPr>
      <w:r w:rsidRPr="00AB690B">
        <w:rPr>
          <w:rFonts w:eastAsia="Arial" w:cs="Arial"/>
          <w:sz w:val="25"/>
          <w:szCs w:val="25"/>
          <w:lang w:eastAsia="en-US"/>
        </w:rPr>
        <w:t>…</w:t>
      </w:r>
    </w:p>
    <w:p w:rsidR="00AB690B" w:rsidRPr="00AB690B" w:rsidRDefault="00AB690B" w:rsidP="00AB690B">
      <w:pPr>
        <w:ind w:left="720"/>
        <w:contextualSpacing/>
        <w:rPr>
          <w:rFonts w:eastAsia="Arial" w:cs="Arial"/>
          <w:b/>
          <w:sz w:val="25"/>
          <w:szCs w:val="25"/>
          <w:lang w:eastAsia="en-US"/>
        </w:rPr>
      </w:pPr>
    </w:p>
    <w:p w:rsidR="00AB690B" w:rsidRPr="00AB690B" w:rsidRDefault="00AB690B" w:rsidP="00AB690B">
      <w:pPr>
        <w:widowControl w:val="0"/>
        <w:numPr>
          <w:ilvl w:val="0"/>
          <w:numId w:val="1"/>
        </w:numPr>
        <w:spacing w:after="200" w:line="276" w:lineRule="auto"/>
        <w:contextualSpacing/>
        <w:jc w:val="left"/>
        <w:rPr>
          <w:rFonts w:eastAsia="Arial" w:cs="Arial"/>
          <w:sz w:val="25"/>
          <w:szCs w:val="25"/>
          <w:lang w:eastAsia="en-US"/>
        </w:rPr>
      </w:pPr>
      <w:r w:rsidRPr="00AB690B">
        <w:rPr>
          <w:rFonts w:eastAsia="Arial" w:cs="Arial"/>
          <w:sz w:val="25"/>
          <w:szCs w:val="25"/>
          <w:lang w:eastAsia="en-US"/>
        </w:rPr>
        <w:t>…</w:t>
      </w:r>
    </w:p>
    <w:p w:rsidR="00AB690B" w:rsidRPr="00AB690B" w:rsidRDefault="00AB690B" w:rsidP="00AB690B">
      <w:pPr>
        <w:widowControl w:val="0"/>
        <w:rPr>
          <w:rFonts w:eastAsia="Arial" w:cs="Arial"/>
          <w:sz w:val="25"/>
          <w:szCs w:val="25"/>
          <w:lang w:eastAsia="en-US"/>
        </w:rPr>
      </w:pPr>
    </w:p>
    <w:p w:rsidR="00AB690B" w:rsidRDefault="00AB690B" w:rsidP="00AB690B">
      <w:pPr>
        <w:ind w:left="720"/>
        <w:rPr>
          <w:rFonts w:eastAsia="Arial" w:cs="Arial"/>
          <w:sz w:val="25"/>
          <w:szCs w:val="25"/>
          <w:lang w:eastAsia="en-US"/>
        </w:rPr>
      </w:pPr>
      <w:r w:rsidRPr="00AB690B">
        <w:rPr>
          <w:rFonts w:eastAsia="Arial" w:cs="Arial"/>
          <w:sz w:val="25"/>
          <w:szCs w:val="25"/>
          <w:lang w:eastAsia="en-US"/>
        </w:rPr>
        <w:t>I a la XVIII. …</w:t>
      </w:r>
    </w:p>
    <w:p w:rsidR="00AB690B" w:rsidRPr="00AB690B" w:rsidRDefault="00AB690B" w:rsidP="00AB690B">
      <w:pPr>
        <w:ind w:left="720"/>
        <w:rPr>
          <w:rFonts w:eastAsia="Arial" w:cs="Arial"/>
          <w:sz w:val="25"/>
          <w:szCs w:val="25"/>
          <w:lang w:eastAsia="en-US"/>
        </w:rPr>
      </w:pPr>
    </w:p>
    <w:p w:rsidR="00AB690B" w:rsidRDefault="00AB690B" w:rsidP="00AB690B">
      <w:pPr>
        <w:numPr>
          <w:ilvl w:val="0"/>
          <w:numId w:val="3"/>
        </w:numPr>
        <w:tabs>
          <w:tab w:val="left" w:pos="1260"/>
          <w:tab w:val="left" w:pos="1350"/>
        </w:tabs>
        <w:spacing w:after="200" w:line="276" w:lineRule="auto"/>
        <w:contextualSpacing/>
        <w:jc w:val="left"/>
        <w:rPr>
          <w:rFonts w:eastAsia="Arial" w:cs="Arial"/>
          <w:sz w:val="25"/>
          <w:szCs w:val="25"/>
          <w:lang w:eastAsia="en-US"/>
        </w:rPr>
      </w:pPr>
      <w:r w:rsidRPr="00AB690B">
        <w:rPr>
          <w:rFonts w:eastAsia="Arial" w:cs="Arial"/>
          <w:sz w:val="25"/>
          <w:szCs w:val="25"/>
          <w:lang w:eastAsia="en-US"/>
        </w:rPr>
        <w:t xml:space="preserve">   Los establecimientos dedicados a la colocación de tatuajes, </w:t>
      </w:r>
      <w:proofErr w:type="spellStart"/>
      <w:r w:rsidRPr="00AB690B">
        <w:rPr>
          <w:rFonts w:eastAsia="Arial" w:cs="Arial"/>
          <w:sz w:val="25"/>
          <w:szCs w:val="25"/>
          <w:lang w:eastAsia="en-US"/>
        </w:rPr>
        <w:t>micropigmentaciones</w:t>
      </w:r>
      <w:proofErr w:type="spellEnd"/>
      <w:r w:rsidRPr="00AB690B">
        <w:rPr>
          <w:rFonts w:eastAsia="Arial" w:cs="Arial"/>
          <w:sz w:val="25"/>
          <w:szCs w:val="25"/>
          <w:lang w:eastAsia="en-US"/>
        </w:rPr>
        <w:t xml:space="preserve"> y perforaciones en personas; y </w:t>
      </w:r>
    </w:p>
    <w:p w:rsidR="00AB690B" w:rsidRPr="00AB690B" w:rsidRDefault="00AB690B" w:rsidP="00AB690B">
      <w:pPr>
        <w:numPr>
          <w:ilvl w:val="0"/>
          <w:numId w:val="3"/>
        </w:numPr>
        <w:tabs>
          <w:tab w:val="left" w:pos="1260"/>
          <w:tab w:val="left" w:pos="1350"/>
        </w:tabs>
        <w:spacing w:after="200" w:line="276" w:lineRule="auto"/>
        <w:contextualSpacing/>
        <w:jc w:val="left"/>
        <w:rPr>
          <w:rFonts w:eastAsia="Arial" w:cs="Arial"/>
          <w:sz w:val="25"/>
          <w:szCs w:val="25"/>
          <w:lang w:eastAsia="en-US"/>
        </w:rPr>
      </w:pPr>
    </w:p>
    <w:p w:rsidR="00AB690B" w:rsidRPr="00AB690B" w:rsidRDefault="00AB690B" w:rsidP="00AB690B">
      <w:pPr>
        <w:numPr>
          <w:ilvl w:val="0"/>
          <w:numId w:val="3"/>
        </w:numPr>
        <w:tabs>
          <w:tab w:val="left" w:pos="1440"/>
          <w:tab w:val="left" w:pos="1620"/>
        </w:tabs>
        <w:spacing w:after="200" w:line="276" w:lineRule="auto"/>
        <w:contextualSpacing/>
        <w:jc w:val="left"/>
        <w:rPr>
          <w:rFonts w:eastAsia="Arial" w:cs="Arial"/>
          <w:sz w:val="25"/>
          <w:szCs w:val="25"/>
          <w:lang w:eastAsia="en-US"/>
        </w:rPr>
      </w:pPr>
      <w:r w:rsidRPr="00AB690B">
        <w:rPr>
          <w:rFonts w:eastAsia="Arial" w:cs="Arial"/>
          <w:sz w:val="25"/>
          <w:szCs w:val="25"/>
          <w:lang w:eastAsia="en-US"/>
        </w:rPr>
        <w:t>Las demás materias que determine esta Ley y disposiciones legales  aplicables.</w:t>
      </w:r>
    </w:p>
    <w:p w:rsidR="00AB690B" w:rsidRPr="00AB690B" w:rsidRDefault="00AB690B" w:rsidP="00AB690B">
      <w:pPr>
        <w:rPr>
          <w:rFonts w:eastAsia="Arial" w:cs="Arial"/>
          <w:sz w:val="25"/>
          <w:szCs w:val="25"/>
          <w:lang w:eastAsia="en-US"/>
        </w:rPr>
      </w:pPr>
    </w:p>
    <w:p w:rsidR="00AB690B" w:rsidRPr="00AB690B" w:rsidRDefault="00AB690B" w:rsidP="00AB690B">
      <w:pPr>
        <w:rPr>
          <w:rFonts w:eastAsia="Arial" w:cs="Arial"/>
          <w:sz w:val="25"/>
          <w:szCs w:val="25"/>
          <w:lang w:eastAsia="en-US"/>
        </w:rPr>
      </w:pPr>
    </w:p>
    <w:p w:rsidR="00AB690B" w:rsidRPr="00AB690B" w:rsidRDefault="00AB690B" w:rsidP="00AB690B">
      <w:pPr>
        <w:jc w:val="center"/>
        <w:rPr>
          <w:rFonts w:eastAsia="Arial" w:cs="Arial"/>
          <w:b/>
          <w:sz w:val="25"/>
          <w:szCs w:val="25"/>
          <w:lang w:eastAsia="en-US"/>
        </w:rPr>
      </w:pPr>
      <w:r w:rsidRPr="00AB690B">
        <w:rPr>
          <w:rFonts w:eastAsia="Arial" w:cs="Arial"/>
          <w:b/>
          <w:sz w:val="25"/>
          <w:szCs w:val="25"/>
          <w:lang w:eastAsia="en-US"/>
        </w:rPr>
        <w:t>CAPÍTULO XX</w:t>
      </w:r>
    </w:p>
    <w:p w:rsidR="00AB690B" w:rsidRPr="00AB690B" w:rsidRDefault="00AB690B" w:rsidP="00AB690B">
      <w:pPr>
        <w:jc w:val="center"/>
        <w:rPr>
          <w:rFonts w:eastAsia="Arial" w:cs="Arial"/>
          <w:b/>
          <w:sz w:val="25"/>
          <w:szCs w:val="25"/>
          <w:lang w:eastAsia="en-US"/>
        </w:rPr>
      </w:pPr>
      <w:r w:rsidRPr="00AB690B">
        <w:rPr>
          <w:rFonts w:eastAsia="Arial" w:cs="Arial"/>
          <w:b/>
          <w:sz w:val="25"/>
          <w:szCs w:val="25"/>
          <w:lang w:eastAsia="en-US"/>
        </w:rPr>
        <w:t>DE LOS ESTABLECIMIENTOS DEDICADOS A LA COLOCACIÓN DE TATUAJES, MICROPIGMENTACIONES Y PERFORACIONES EN PERSONAS</w:t>
      </w:r>
    </w:p>
    <w:p w:rsidR="00AB690B" w:rsidRPr="00AB690B" w:rsidRDefault="00AB690B" w:rsidP="00AB690B">
      <w:pPr>
        <w:rPr>
          <w:rFonts w:eastAsia="Arial" w:cs="Arial"/>
          <w:b/>
          <w:sz w:val="25"/>
          <w:szCs w:val="25"/>
          <w:lang w:eastAsia="en-US"/>
        </w:rPr>
      </w:pPr>
    </w:p>
    <w:p w:rsidR="00AB690B" w:rsidRPr="00AB690B" w:rsidRDefault="00AB690B" w:rsidP="00AB690B">
      <w:pPr>
        <w:rPr>
          <w:rFonts w:eastAsia="Arial" w:cs="Arial"/>
          <w:b/>
          <w:sz w:val="25"/>
          <w:szCs w:val="25"/>
          <w:lang w:eastAsia="en-US"/>
        </w:rPr>
      </w:pPr>
    </w:p>
    <w:p w:rsidR="00AB690B" w:rsidRPr="00AB690B" w:rsidRDefault="00AB690B" w:rsidP="00AB690B">
      <w:pPr>
        <w:rPr>
          <w:rFonts w:eastAsia="Arial" w:cs="Arial"/>
          <w:sz w:val="25"/>
          <w:szCs w:val="25"/>
          <w:lang w:eastAsia="en-US"/>
        </w:rPr>
      </w:pPr>
      <w:r w:rsidRPr="00AB690B">
        <w:rPr>
          <w:rFonts w:eastAsia="Arial" w:cs="Arial"/>
          <w:b/>
          <w:sz w:val="25"/>
          <w:szCs w:val="25"/>
          <w:lang w:eastAsia="en-US"/>
        </w:rPr>
        <w:t xml:space="preserve">Artículo 242 ter. </w:t>
      </w:r>
      <w:r w:rsidRPr="00AB690B">
        <w:rPr>
          <w:rFonts w:eastAsia="Arial" w:cs="Arial"/>
          <w:sz w:val="25"/>
          <w:szCs w:val="25"/>
          <w:lang w:eastAsia="en-US"/>
        </w:rPr>
        <w:t xml:space="preserve">Para efectos de esta Ley, se entenderá por: </w:t>
      </w:r>
    </w:p>
    <w:p w:rsidR="00AB690B" w:rsidRPr="00AB690B" w:rsidRDefault="00AB690B" w:rsidP="00AB690B">
      <w:pPr>
        <w:rPr>
          <w:rFonts w:eastAsia="Arial" w:cs="Arial"/>
          <w:sz w:val="25"/>
          <w:szCs w:val="25"/>
          <w:lang w:eastAsia="en-US"/>
        </w:rPr>
      </w:pPr>
    </w:p>
    <w:p w:rsidR="00AB690B" w:rsidRPr="00AB690B" w:rsidRDefault="00AB690B" w:rsidP="00AB690B">
      <w:pPr>
        <w:widowControl w:val="0"/>
        <w:numPr>
          <w:ilvl w:val="0"/>
          <w:numId w:val="2"/>
        </w:numPr>
        <w:spacing w:after="200" w:line="276" w:lineRule="auto"/>
        <w:ind w:left="1418" w:hanging="709"/>
        <w:contextualSpacing/>
        <w:jc w:val="left"/>
        <w:rPr>
          <w:rFonts w:eastAsia="Arial" w:cs="Arial"/>
          <w:sz w:val="25"/>
          <w:szCs w:val="25"/>
          <w:lang w:eastAsia="en-US"/>
        </w:rPr>
      </w:pPr>
      <w:r w:rsidRPr="00AB690B">
        <w:rPr>
          <w:rFonts w:eastAsia="Arial" w:cs="Arial"/>
          <w:sz w:val="25"/>
          <w:szCs w:val="25"/>
          <w:lang w:eastAsia="en-US"/>
        </w:rPr>
        <w:t xml:space="preserve">Tatuaje: Procedimiento por el cual se graban dibujos, figuras o marcas en la piel humana, introduciendo colorantes bajo la epidermis con agujas, punzones u otro </w:t>
      </w:r>
      <w:r w:rsidRPr="00AB690B">
        <w:rPr>
          <w:rFonts w:eastAsia="Arial" w:cs="Arial"/>
          <w:sz w:val="25"/>
          <w:szCs w:val="25"/>
          <w:lang w:eastAsia="en-US"/>
        </w:rPr>
        <w:lastRenderedPageBreak/>
        <w:t>instrumento por las punzadas previamente dispuestas;</w:t>
      </w:r>
    </w:p>
    <w:p w:rsidR="00AB690B" w:rsidRPr="00AB690B" w:rsidRDefault="00AB690B" w:rsidP="00AB690B">
      <w:pPr>
        <w:widowControl w:val="0"/>
        <w:ind w:left="1418"/>
        <w:contextualSpacing/>
        <w:rPr>
          <w:rFonts w:eastAsia="Arial" w:cs="Arial"/>
          <w:sz w:val="25"/>
          <w:szCs w:val="25"/>
          <w:lang w:eastAsia="en-US"/>
        </w:rPr>
      </w:pPr>
    </w:p>
    <w:p w:rsidR="00AB690B" w:rsidRPr="00AB690B" w:rsidRDefault="00AB690B" w:rsidP="00AB690B">
      <w:pPr>
        <w:widowControl w:val="0"/>
        <w:ind w:left="1418"/>
        <w:contextualSpacing/>
        <w:rPr>
          <w:rFonts w:eastAsia="Arial" w:cs="Arial"/>
          <w:sz w:val="25"/>
          <w:szCs w:val="25"/>
          <w:lang w:eastAsia="en-US"/>
        </w:rPr>
      </w:pPr>
    </w:p>
    <w:p w:rsidR="00AB690B" w:rsidRPr="00AB690B" w:rsidRDefault="00AB690B" w:rsidP="00AB690B">
      <w:pPr>
        <w:widowControl w:val="0"/>
        <w:ind w:left="1418"/>
        <w:contextualSpacing/>
        <w:rPr>
          <w:rFonts w:eastAsia="Arial" w:cs="Arial"/>
          <w:sz w:val="25"/>
          <w:szCs w:val="25"/>
          <w:lang w:eastAsia="en-US"/>
        </w:rPr>
      </w:pPr>
    </w:p>
    <w:p w:rsidR="00AB690B" w:rsidRPr="00AB690B" w:rsidRDefault="00AB690B" w:rsidP="00AB690B">
      <w:pPr>
        <w:widowControl w:val="0"/>
        <w:numPr>
          <w:ilvl w:val="0"/>
          <w:numId w:val="2"/>
        </w:numPr>
        <w:spacing w:after="200" w:line="276" w:lineRule="auto"/>
        <w:ind w:left="1418" w:hanging="709"/>
        <w:contextualSpacing/>
        <w:jc w:val="left"/>
        <w:rPr>
          <w:rFonts w:eastAsia="Arial" w:cs="Arial"/>
          <w:sz w:val="25"/>
          <w:szCs w:val="25"/>
          <w:lang w:eastAsia="en-US"/>
        </w:rPr>
      </w:pPr>
      <w:proofErr w:type="spellStart"/>
      <w:r w:rsidRPr="00AB690B">
        <w:rPr>
          <w:rFonts w:eastAsia="Arial" w:cs="Arial"/>
          <w:sz w:val="25"/>
          <w:szCs w:val="25"/>
          <w:lang w:eastAsia="en-US"/>
        </w:rPr>
        <w:t>Micropigmentación</w:t>
      </w:r>
      <w:proofErr w:type="spellEnd"/>
      <w:r w:rsidRPr="00AB690B">
        <w:rPr>
          <w:rFonts w:eastAsia="Arial" w:cs="Arial"/>
          <w:sz w:val="25"/>
          <w:szCs w:val="25"/>
          <w:lang w:eastAsia="en-US"/>
        </w:rPr>
        <w:t xml:space="preserve">: Procedimiento por el cual se depositan pigmentos en áreas específicas de la piel humana, bajo la epidermis, en la capa capilar de la dermis con agujas accionadas mediante un instrumento manual o electromecánico, y </w:t>
      </w:r>
    </w:p>
    <w:p w:rsidR="00AB690B" w:rsidRPr="00AB690B" w:rsidRDefault="00AB690B" w:rsidP="00AB690B">
      <w:pPr>
        <w:widowControl w:val="0"/>
        <w:ind w:left="1418"/>
        <w:contextualSpacing/>
        <w:rPr>
          <w:rFonts w:eastAsia="Arial" w:cs="Arial"/>
          <w:sz w:val="25"/>
          <w:szCs w:val="25"/>
          <w:lang w:eastAsia="en-US"/>
        </w:rPr>
      </w:pPr>
    </w:p>
    <w:p w:rsidR="00AB690B" w:rsidRPr="00AB690B" w:rsidRDefault="00AB690B" w:rsidP="00AB690B">
      <w:pPr>
        <w:widowControl w:val="0"/>
        <w:numPr>
          <w:ilvl w:val="0"/>
          <w:numId w:val="2"/>
        </w:numPr>
        <w:spacing w:after="200" w:line="276" w:lineRule="auto"/>
        <w:ind w:left="1418" w:hanging="709"/>
        <w:contextualSpacing/>
        <w:jc w:val="left"/>
        <w:rPr>
          <w:rFonts w:eastAsia="Arial" w:cs="Arial"/>
          <w:sz w:val="25"/>
          <w:szCs w:val="25"/>
          <w:lang w:eastAsia="en-US"/>
        </w:rPr>
      </w:pPr>
      <w:r w:rsidRPr="00AB690B">
        <w:rPr>
          <w:rFonts w:eastAsia="Arial" w:cs="Arial"/>
          <w:sz w:val="25"/>
          <w:szCs w:val="25"/>
          <w:lang w:eastAsia="en-US"/>
        </w:rPr>
        <w:t xml:space="preserve">Perforación: Procedimiento por el cual se introduce algún objeto decorativo de material de implantación </w:t>
      </w:r>
      <w:proofErr w:type="spellStart"/>
      <w:r w:rsidRPr="00AB690B">
        <w:rPr>
          <w:rFonts w:eastAsia="Arial" w:cs="Arial"/>
          <w:sz w:val="25"/>
          <w:szCs w:val="25"/>
          <w:lang w:eastAsia="en-US"/>
        </w:rPr>
        <w:t>hipoalergénico</w:t>
      </w:r>
      <w:proofErr w:type="spellEnd"/>
      <w:r w:rsidRPr="00AB690B">
        <w:rPr>
          <w:rFonts w:eastAsia="Arial" w:cs="Arial"/>
          <w:sz w:val="25"/>
          <w:szCs w:val="25"/>
          <w:lang w:eastAsia="en-US"/>
        </w:rPr>
        <w:t xml:space="preserve"> en la piel o mucosa con un instrumento punzo cortante.</w:t>
      </w:r>
    </w:p>
    <w:p w:rsidR="00AB690B" w:rsidRPr="00AB690B" w:rsidRDefault="00AB690B" w:rsidP="00AB690B">
      <w:pPr>
        <w:rPr>
          <w:rFonts w:eastAsia="Arial" w:cs="Arial"/>
          <w:b/>
          <w:sz w:val="25"/>
          <w:szCs w:val="25"/>
          <w:lang w:eastAsia="en-US"/>
        </w:rPr>
      </w:pPr>
    </w:p>
    <w:p w:rsidR="00AB690B" w:rsidRPr="00AB690B" w:rsidRDefault="00AB690B" w:rsidP="00AB690B">
      <w:pPr>
        <w:rPr>
          <w:rFonts w:eastAsia="Arial" w:cs="Arial"/>
          <w:sz w:val="25"/>
          <w:szCs w:val="25"/>
          <w:lang w:eastAsia="en-US"/>
        </w:rPr>
      </w:pPr>
      <w:r w:rsidRPr="00AB690B">
        <w:rPr>
          <w:rFonts w:eastAsia="Arial" w:cs="Arial"/>
          <w:b/>
          <w:sz w:val="25"/>
          <w:szCs w:val="25"/>
          <w:lang w:eastAsia="en-US"/>
        </w:rPr>
        <w:t xml:space="preserve">Artículo 242 </w:t>
      </w:r>
      <w:proofErr w:type="spellStart"/>
      <w:r w:rsidRPr="00AB690B">
        <w:rPr>
          <w:rFonts w:eastAsia="Arial" w:cs="Arial"/>
          <w:b/>
          <w:sz w:val="25"/>
          <w:szCs w:val="25"/>
          <w:lang w:eastAsia="en-US"/>
        </w:rPr>
        <w:t>Quater</w:t>
      </w:r>
      <w:proofErr w:type="spellEnd"/>
      <w:r w:rsidRPr="00AB690B">
        <w:rPr>
          <w:rFonts w:eastAsia="Arial" w:cs="Arial"/>
          <w:b/>
          <w:sz w:val="25"/>
          <w:szCs w:val="25"/>
          <w:lang w:eastAsia="en-US"/>
        </w:rPr>
        <w:t xml:space="preserve">. </w:t>
      </w:r>
      <w:r w:rsidRPr="00AB690B">
        <w:rPr>
          <w:rFonts w:eastAsia="Arial" w:cs="Arial"/>
          <w:sz w:val="25"/>
          <w:szCs w:val="25"/>
          <w:lang w:eastAsia="en-US"/>
        </w:rPr>
        <w:t xml:space="preserve">Los establecimientos dedicados a realizar tatuajes, </w:t>
      </w:r>
      <w:proofErr w:type="spellStart"/>
      <w:r w:rsidRPr="00AB690B">
        <w:rPr>
          <w:rFonts w:eastAsia="Arial" w:cs="Arial"/>
          <w:sz w:val="25"/>
          <w:szCs w:val="25"/>
          <w:lang w:eastAsia="en-US"/>
        </w:rPr>
        <w:t>micropigmentaciones</w:t>
      </w:r>
      <w:proofErr w:type="spellEnd"/>
      <w:r w:rsidRPr="00AB690B">
        <w:rPr>
          <w:rFonts w:eastAsia="Arial" w:cs="Arial"/>
          <w:sz w:val="25"/>
          <w:szCs w:val="25"/>
          <w:lang w:eastAsia="en-US"/>
        </w:rPr>
        <w:t xml:space="preserve"> y perforaciones deberán contar con personal debidamente capacitado y especializado para la realización de sus actividades, que deberán acreditar conocimientos en primeros auxilios y dominio en técnicas de higiene y asepsia.</w:t>
      </w:r>
    </w:p>
    <w:p w:rsidR="00AB690B" w:rsidRDefault="00AB690B" w:rsidP="00AB690B">
      <w:pPr>
        <w:rPr>
          <w:rFonts w:eastAsia="Arial" w:cs="Arial"/>
          <w:sz w:val="25"/>
          <w:szCs w:val="25"/>
          <w:lang w:eastAsia="en-US"/>
        </w:rPr>
      </w:pPr>
    </w:p>
    <w:p w:rsidR="00AB690B" w:rsidRPr="00AB690B" w:rsidRDefault="00AB690B" w:rsidP="00AB690B">
      <w:pPr>
        <w:rPr>
          <w:rFonts w:eastAsia="Arial" w:cs="Arial"/>
          <w:sz w:val="25"/>
          <w:szCs w:val="25"/>
          <w:lang w:eastAsia="en-US"/>
        </w:rPr>
      </w:pPr>
    </w:p>
    <w:p w:rsidR="00AB690B" w:rsidRPr="00AB690B" w:rsidRDefault="00AB690B" w:rsidP="00AB690B">
      <w:pPr>
        <w:rPr>
          <w:rFonts w:eastAsia="Arial" w:cs="Arial"/>
          <w:sz w:val="25"/>
          <w:szCs w:val="25"/>
          <w:lang w:eastAsia="en-US"/>
        </w:rPr>
      </w:pPr>
      <w:r w:rsidRPr="00AB690B">
        <w:rPr>
          <w:rFonts w:eastAsia="Arial" w:cs="Arial"/>
          <w:sz w:val="25"/>
          <w:szCs w:val="25"/>
          <w:lang w:eastAsia="en-US"/>
        </w:rPr>
        <w:t xml:space="preserve">Se prohíbe realizar tatuajes, </w:t>
      </w:r>
      <w:proofErr w:type="spellStart"/>
      <w:r w:rsidRPr="00AB690B">
        <w:rPr>
          <w:rFonts w:eastAsia="Arial" w:cs="Arial"/>
          <w:sz w:val="25"/>
          <w:szCs w:val="25"/>
          <w:lang w:eastAsia="en-US"/>
        </w:rPr>
        <w:t>micropigmentaciones</w:t>
      </w:r>
      <w:proofErr w:type="spellEnd"/>
      <w:r w:rsidRPr="00AB690B">
        <w:rPr>
          <w:rFonts w:eastAsia="Arial" w:cs="Arial"/>
          <w:sz w:val="25"/>
          <w:szCs w:val="25"/>
          <w:lang w:eastAsia="en-US"/>
        </w:rPr>
        <w:t xml:space="preserve"> y perforaciones en puestos semifijos, módulos móviles o ambulantes, así como en locales o establecimientos que no cuenten con las autorizaciones y/o certificaciones municipales o estatales en materia de salubridad y de funcionamiento comercial.</w:t>
      </w:r>
    </w:p>
    <w:p w:rsidR="00AB690B" w:rsidRDefault="00AB690B" w:rsidP="00AB690B">
      <w:pPr>
        <w:rPr>
          <w:rFonts w:eastAsia="Arial" w:cs="Arial"/>
          <w:b/>
          <w:sz w:val="25"/>
          <w:szCs w:val="25"/>
          <w:lang w:eastAsia="en-US"/>
        </w:rPr>
      </w:pPr>
    </w:p>
    <w:p w:rsidR="00AB690B" w:rsidRPr="00AB690B" w:rsidRDefault="00AB690B" w:rsidP="00AB690B">
      <w:pPr>
        <w:rPr>
          <w:rFonts w:eastAsia="Arial" w:cs="Arial"/>
          <w:b/>
          <w:sz w:val="25"/>
          <w:szCs w:val="25"/>
          <w:lang w:eastAsia="en-US"/>
        </w:rPr>
      </w:pPr>
    </w:p>
    <w:p w:rsidR="00AB690B" w:rsidRPr="00AB690B" w:rsidRDefault="00AB690B" w:rsidP="00AB690B">
      <w:pPr>
        <w:rPr>
          <w:rFonts w:eastAsia="Arial" w:cs="Arial"/>
          <w:sz w:val="25"/>
          <w:szCs w:val="25"/>
          <w:lang w:eastAsia="en-US"/>
        </w:rPr>
      </w:pPr>
      <w:r w:rsidRPr="00AB690B">
        <w:rPr>
          <w:rFonts w:eastAsia="Arial" w:cs="Arial"/>
          <w:sz w:val="25"/>
          <w:szCs w:val="25"/>
          <w:lang w:eastAsia="en-US"/>
        </w:rPr>
        <w:t xml:space="preserve">Queda prohibido realizar tatuajes, </w:t>
      </w:r>
      <w:proofErr w:type="spellStart"/>
      <w:r w:rsidRPr="00AB690B">
        <w:rPr>
          <w:rFonts w:eastAsia="Arial" w:cs="Arial"/>
          <w:sz w:val="25"/>
          <w:szCs w:val="25"/>
          <w:lang w:eastAsia="en-US"/>
        </w:rPr>
        <w:t>micropigmentaciones</w:t>
      </w:r>
      <w:proofErr w:type="spellEnd"/>
      <w:r w:rsidRPr="00AB690B">
        <w:rPr>
          <w:rFonts w:eastAsia="Arial" w:cs="Arial"/>
          <w:sz w:val="25"/>
          <w:szCs w:val="25"/>
          <w:lang w:eastAsia="en-US"/>
        </w:rPr>
        <w:t xml:space="preserve"> y perforaciones a personas menores de dieciocho años de edad, así como aquellas que no se encuentren en pleno goce de sus facultades mentales. En el caso de las acciones antes mencionadas, sólo podrá exceptuarse lo anterior cuando los menores de dieciocho años estén acompañados de uno de sus padres o tutor previa acreditación de tal carácter, o cuenten con la autorización por escrito.</w:t>
      </w:r>
    </w:p>
    <w:p w:rsidR="00AB690B" w:rsidRDefault="00AB690B" w:rsidP="00AB690B">
      <w:pPr>
        <w:rPr>
          <w:rFonts w:eastAsia="Arial" w:cs="Arial"/>
          <w:sz w:val="25"/>
          <w:szCs w:val="25"/>
          <w:lang w:eastAsia="en-US"/>
        </w:rPr>
      </w:pPr>
    </w:p>
    <w:p w:rsidR="00AB690B" w:rsidRPr="00AB690B" w:rsidRDefault="00AB690B" w:rsidP="00AB690B">
      <w:pPr>
        <w:rPr>
          <w:rFonts w:eastAsia="Arial" w:cs="Arial"/>
          <w:sz w:val="25"/>
          <w:szCs w:val="25"/>
          <w:lang w:eastAsia="en-US"/>
        </w:rPr>
      </w:pPr>
    </w:p>
    <w:p w:rsidR="00AB690B" w:rsidRPr="00AB690B" w:rsidRDefault="00AB690B" w:rsidP="00AB690B">
      <w:pPr>
        <w:rPr>
          <w:rFonts w:eastAsia="Arial" w:cs="Arial"/>
          <w:sz w:val="25"/>
          <w:szCs w:val="25"/>
          <w:lang w:eastAsia="en-US"/>
        </w:rPr>
      </w:pPr>
      <w:r w:rsidRPr="00AB690B">
        <w:rPr>
          <w:rFonts w:eastAsia="Arial" w:cs="Arial"/>
          <w:sz w:val="25"/>
          <w:szCs w:val="25"/>
          <w:lang w:eastAsia="en-US"/>
        </w:rPr>
        <w:t>Los establecimientos deberán mostrar al cliente todo el material debidamente cerrado, nuevo y esterilizado, mismo que será utilizado en cualquiera de sus procedimientos. Asimismo, deberán realizar una inspección general de toda persona que se atienda.</w:t>
      </w:r>
    </w:p>
    <w:p w:rsidR="00AB690B" w:rsidRPr="00AB690B" w:rsidRDefault="00AB690B" w:rsidP="00AB690B">
      <w:pPr>
        <w:rPr>
          <w:rFonts w:eastAsia="Arial" w:cs="Arial"/>
          <w:b/>
          <w:sz w:val="25"/>
          <w:szCs w:val="25"/>
          <w:lang w:eastAsia="en-US"/>
        </w:rPr>
      </w:pPr>
    </w:p>
    <w:p w:rsidR="00AB690B" w:rsidRPr="00AB690B" w:rsidRDefault="00AB690B" w:rsidP="00AB690B">
      <w:pPr>
        <w:rPr>
          <w:rFonts w:eastAsia="Arial" w:cs="Arial"/>
          <w:b/>
          <w:sz w:val="25"/>
          <w:szCs w:val="25"/>
          <w:lang w:eastAsia="en-US"/>
        </w:rPr>
      </w:pPr>
    </w:p>
    <w:p w:rsidR="00AB690B" w:rsidRPr="00AB690B" w:rsidRDefault="00AB690B" w:rsidP="00AB690B">
      <w:pPr>
        <w:rPr>
          <w:rFonts w:eastAsia="Arial" w:cs="Arial"/>
          <w:b/>
          <w:sz w:val="25"/>
          <w:szCs w:val="25"/>
          <w:lang w:eastAsia="en-US"/>
        </w:rPr>
      </w:pPr>
    </w:p>
    <w:p w:rsidR="00AB690B" w:rsidRPr="00AB690B" w:rsidRDefault="00AB690B" w:rsidP="00AB690B">
      <w:pPr>
        <w:jc w:val="center"/>
        <w:rPr>
          <w:rFonts w:eastAsia="Arial" w:cs="Arial"/>
          <w:b/>
          <w:sz w:val="25"/>
          <w:szCs w:val="25"/>
          <w:lang w:val="en-US" w:eastAsia="en-US"/>
        </w:rPr>
      </w:pPr>
      <w:r w:rsidRPr="00AB690B">
        <w:rPr>
          <w:rFonts w:eastAsia="Arial" w:cs="Arial"/>
          <w:b/>
          <w:sz w:val="25"/>
          <w:szCs w:val="25"/>
          <w:lang w:val="en-US" w:eastAsia="en-US"/>
        </w:rPr>
        <w:t xml:space="preserve">T R A N S I T O R I O S </w:t>
      </w:r>
    </w:p>
    <w:p w:rsidR="00AB690B" w:rsidRPr="00AB690B" w:rsidRDefault="00AB690B" w:rsidP="00AB690B">
      <w:pPr>
        <w:jc w:val="center"/>
        <w:rPr>
          <w:rFonts w:eastAsia="Arial" w:cs="Arial"/>
          <w:b/>
          <w:sz w:val="25"/>
          <w:szCs w:val="25"/>
          <w:lang w:val="en-US" w:eastAsia="en-US"/>
        </w:rPr>
      </w:pPr>
    </w:p>
    <w:p w:rsidR="00AB690B" w:rsidRPr="00AB690B" w:rsidRDefault="00AB690B" w:rsidP="00AB690B">
      <w:pPr>
        <w:jc w:val="center"/>
        <w:rPr>
          <w:rFonts w:eastAsia="Arial" w:cs="Arial"/>
          <w:b/>
          <w:sz w:val="25"/>
          <w:szCs w:val="25"/>
          <w:lang w:val="en-US" w:eastAsia="en-US"/>
        </w:rPr>
      </w:pPr>
    </w:p>
    <w:p w:rsidR="00AB690B" w:rsidRPr="00AB690B" w:rsidRDefault="00AB690B" w:rsidP="00AB690B">
      <w:pPr>
        <w:rPr>
          <w:rFonts w:eastAsia="Calibri" w:cs="Arial"/>
          <w:sz w:val="25"/>
          <w:szCs w:val="25"/>
          <w:lang w:val="es-ES" w:eastAsia="en-US"/>
        </w:rPr>
      </w:pPr>
      <w:r w:rsidRPr="00AB690B">
        <w:rPr>
          <w:rFonts w:eastAsia="Arial" w:cs="Arial"/>
          <w:b/>
          <w:sz w:val="25"/>
          <w:szCs w:val="25"/>
          <w:lang w:eastAsia="en-US"/>
        </w:rPr>
        <w:lastRenderedPageBreak/>
        <w:t xml:space="preserve">ÚNICO.- </w:t>
      </w:r>
      <w:r w:rsidRPr="00AB690B">
        <w:rPr>
          <w:rFonts w:eastAsia="Arial" w:cs="Arial"/>
          <w:sz w:val="25"/>
          <w:szCs w:val="25"/>
          <w:lang w:eastAsia="en-US"/>
        </w:rPr>
        <w:t>El presente decreto entrará en vigor al día siguiente de su publicación en el Periódico Oficial del Gobierno del Estado.</w:t>
      </w:r>
    </w:p>
    <w:p w:rsidR="00AB690B" w:rsidRPr="00AB690B" w:rsidRDefault="00AB690B" w:rsidP="00AB690B">
      <w:pPr>
        <w:widowControl w:val="0"/>
        <w:rPr>
          <w:rFonts w:cs="Arial"/>
          <w:snapToGrid w:val="0"/>
          <w:sz w:val="25"/>
          <w:szCs w:val="25"/>
          <w:lang w:val="es-ES_tradnl"/>
        </w:rPr>
      </w:pPr>
    </w:p>
    <w:p w:rsidR="00AB690B" w:rsidRPr="00AB690B" w:rsidRDefault="00AB690B" w:rsidP="00AB690B">
      <w:pPr>
        <w:widowControl w:val="0"/>
        <w:rPr>
          <w:rFonts w:eastAsia="Calibri" w:cs="Arial"/>
          <w:b/>
          <w:bCs/>
          <w:sz w:val="25"/>
          <w:szCs w:val="25"/>
          <w:lang w:eastAsia="en-US"/>
        </w:rPr>
      </w:pPr>
    </w:p>
    <w:p w:rsidR="00AB690B" w:rsidRPr="00AB690B" w:rsidRDefault="00AB690B" w:rsidP="00AB690B">
      <w:pPr>
        <w:widowControl w:val="0"/>
        <w:tabs>
          <w:tab w:val="left" w:pos="8749"/>
        </w:tabs>
        <w:rPr>
          <w:rFonts w:cs="Arial"/>
          <w:b/>
          <w:snapToGrid w:val="0"/>
          <w:sz w:val="25"/>
          <w:szCs w:val="25"/>
          <w:lang w:val="es-ES_tradnl"/>
        </w:rPr>
      </w:pPr>
      <w:r w:rsidRPr="00AB690B">
        <w:rPr>
          <w:rFonts w:cs="Arial"/>
          <w:b/>
          <w:snapToGrid w:val="0"/>
          <w:sz w:val="25"/>
          <w:szCs w:val="25"/>
          <w:lang w:val="es-ES_tradnl"/>
        </w:rPr>
        <w:t>DADO en la Ciudad de Saltillo, Coahuila de Zaragoza, a los once días del mes de diciembre del año dos mil diecinueve.</w:t>
      </w:r>
    </w:p>
    <w:p w:rsidR="00AB690B" w:rsidRPr="00AB690B" w:rsidRDefault="00AB690B" w:rsidP="00AB690B">
      <w:pPr>
        <w:tabs>
          <w:tab w:val="left" w:pos="8749"/>
        </w:tabs>
        <w:rPr>
          <w:rFonts w:cs="Arial"/>
          <w:b/>
          <w:snapToGrid w:val="0"/>
          <w:sz w:val="25"/>
          <w:szCs w:val="25"/>
          <w:lang w:val="es-ES_tradnl"/>
        </w:rPr>
      </w:pPr>
    </w:p>
    <w:p w:rsidR="00AB690B" w:rsidRPr="00AB690B" w:rsidRDefault="00AB690B" w:rsidP="00AB690B">
      <w:pPr>
        <w:tabs>
          <w:tab w:val="left" w:pos="8749"/>
        </w:tabs>
        <w:rPr>
          <w:rFonts w:cs="Arial"/>
          <w:b/>
          <w:snapToGrid w:val="0"/>
          <w:sz w:val="25"/>
          <w:szCs w:val="25"/>
          <w:lang w:val="es-ES_tradnl"/>
        </w:rPr>
      </w:pPr>
    </w:p>
    <w:p w:rsidR="00AB690B" w:rsidRPr="00AB690B" w:rsidRDefault="00AB690B" w:rsidP="00AB690B">
      <w:pPr>
        <w:tabs>
          <w:tab w:val="left" w:pos="8749"/>
        </w:tabs>
        <w:rPr>
          <w:rFonts w:cs="Arial"/>
          <w:b/>
          <w:snapToGrid w:val="0"/>
          <w:sz w:val="25"/>
          <w:szCs w:val="25"/>
          <w:lang w:val="es-ES_tradnl"/>
        </w:rPr>
      </w:pPr>
    </w:p>
    <w:p w:rsidR="00AB690B" w:rsidRPr="00AB690B" w:rsidRDefault="00AB690B" w:rsidP="00AB690B">
      <w:pPr>
        <w:tabs>
          <w:tab w:val="left" w:pos="8749"/>
        </w:tabs>
        <w:jc w:val="center"/>
        <w:rPr>
          <w:rFonts w:cs="Arial"/>
          <w:b/>
          <w:snapToGrid w:val="0"/>
          <w:sz w:val="25"/>
          <w:szCs w:val="25"/>
          <w:lang w:val="es-ES_tradnl"/>
        </w:rPr>
      </w:pPr>
      <w:r w:rsidRPr="00AB690B">
        <w:rPr>
          <w:rFonts w:cs="Arial"/>
          <w:b/>
          <w:snapToGrid w:val="0"/>
          <w:sz w:val="25"/>
          <w:szCs w:val="25"/>
          <w:lang w:val="es-ES_tradnl"/>
        </w:rPr>
        <w:t>DIPUTADO PRESIDENTE</w:t>
      </w:r>
    </w:p>
    <w:p w:rsidR="00AB690B" w:rsidRPr="00AB690B" w:rsidRDefault="00AB690B" w:rsidP="00AB690B">
      <w:pPr>
        <w:tabs>
          <w:tab w:val="left" w:pos="8749"/>
        </w:tabs>
        <w:jc w:val="left"/>
        <w:rPr>
          <w:rFonts w:cs="Arial"/>
          <w:b/>
          <w:snapToGrid w:val="0"/>
          <w:sz w:val="25"/>
          <w:szCs w:val="25"/>
          <w:lang w:val="es-ES_tradnl"/>
        </w:rPr>
      </w:pPr>
    </w:p>
    <w:p w:rsidR="00AB690B" w:rsidRPr="00AB690B" w:rsidRDefault="00AB690B" w:rsidP="00AB690B">
      <w:pPr>
        <w:tabs>
          <w:tab w:val="left" w:pos="8749"/>
        </w:tabs>
        <w:jc w:val="left"/>
        <w:rPr>
          <w:rFonts w:cs="Arial"/>
          <w:b/>
          <w:snapToGrid w:val="0"/>
          <w:sz w:val="25"/>
          <w:szCs w:val="25"/>
          <w:lang w:val="es-ES_tradnl"/>
        </w:rPr>
      </w:pPr>
    </w:p>
    <w:p w:rsidR="00AB690B" w:rsidRPr="00AB690B" w:rsidRDefault="00AB690B" w:rsidP="00AB690B">
      <w:pPr>
        <w:tabs>
          <w:tab w:val="left" w:pos="8749"/>
        </w:tabs>
        <w:jc w:val="left"/>
        <w:rPr>
          <w:rFonts w:cs="Arial"/>
          <w:b/>
          <w:snapToGrid w:val="0"/>
          <w:sz w:val="25"/>
          <w:szCs w:val="25"/>
          <w:lang w:val="es-ES_tradnl"/>
        </w:rPr>
      </w:pPr>
    </w:p>
    <w:p w:rsidR="00AB690B" w:rsidRPr="00AB690B" w:rsidRDefault="00AB690B" w:rsidP="00AB690B">
      <w:pPr>
        <w:tabs>
          <w:tab w:val="left" w:pos="8749"/>
        </w:tabs>
        <w:jc w:val="left"/>
        <w:rPr>
          <w:rFonts w:cs="Arial"/>
          <w:b/>
          <w:snapToGrid w:val="0"/>
          <w:sz w:val="25"/>
          <w:szCs w:val="25"/>
          <w:lang w:val="es-ES_tradnl"/>
        </w:rPr>
      </w:pPr>
    </w:p>
    <w:p w:rsidR="00AB690B" w:rsidRPr="00AB690B" w:rsidRDefault="00AB690B" w:rsidP="00AB690B">
      <w:pPr>
        <w:tabs>
          <w:tab w:val="left" w:pos="8749"/>
        </w:tabs>
        <w:jc w:val="left"/>
        <w:rPr>
          <w:rFonts w:cs="Arial"/>
          <w:b/>
          <w:snapToGrid w:val="0"/>
          <w:sz w:val="25"/>
          <w:szCs w:val="25"/>
          <w:lang w:val="es-ES_tradnl"/>
        </w:rPr>
      </w:pPr>
    </w:p>
    <w:p w:rsidR="00AB690B" w:rsidRPr="00AB690B" w:rsidRDefault="00AB690B" w:rsidP="00AB690B">
      <w:pPr>
        <w:tabs>
          <w:tab w:val="left" w:pos="8749"/>
        </w:tabs>
        <w:jc w:val="center"/>
        <w:rPr>
          <w:rFonts w:cs="Arial"/>
          <w:b/>
          <w:snapToGrid w:val="0"/>
          <w:sz w:val="25"/>
          <w:szCs w:val="25"/>
          <w:lang w:val="es-ES_tradnl"/>
        </w:rPr>
      </w:pPr>
      <w:r w:rsidRPr="00AB690B">
        <w:rPr>
          <w:rFonts w:cs="Arial"/>
          <w:b/>
          <w:snapToGrid w:val="0"/>
          <w:sz w:val="25"/>
          <w:szCs w:val="25"/>
          <w:lang w:val="es-ES_tradnl"/>
        </w:rPr>
        <w:t>JAIME BUENO ZERTUCHE</w:t>
      </w:r>
    </w:p>
    <w:p w:rsidR="00AB690B" w:rsidRPr="00AB690B" w:rsidRDefault="00AB690B" w:rsidP="00AB690B">
      <w:pPr>
        <w:tabs>
          <w:tab w:val="left" w:pos="8749"/>
        </w:tabs>
        <w:rPr>
          <w:rFonts w:cs="Arial"/>
          <w:b/>
          <w:snapToGrid w:val="0"/>
          <w:sz w:val="25"/>
          <w:szCs w:val="25"/>
          <w:lang w:val="es-ES_tradnl"/>
        </w:rPr>
      </w:pPr>
    </w:p>
    <w:p w:rsidR="00AB690B" w:rsidRPr="00AB690B" w:rsidRDefault="00AB690B" w:rsidP="00AB690B">
      <w:pPr>
        <w:tabs>
          <w:tab w:val="left" w:pos="8749"/>
        </w:tabs>
        <w:rPr>
          <w:rFonts w:cs="Arial"/>
          <w:b/>
          <w:snapToGrid w:val="0"/>
          <w:sz w:val="25"/>
          <w:szCs w:val="25"/>
          <w:lang w:val="es-ES_tradnl"/>
        </w:rPr>
      </w:pPr>
    </w:p>
    <w:p w:rsidR="00AB690B" w:rsidRPr="00AB690B" w:rsidRDefault="00AB690B" w:rsidP="00AB690B">
      <w:pPr>
        <w:tabs>
          <w:tab w:val="left" w:pos="8749"/>
        </w:tabs>
        <w:rPr>
          <w:rFonts w:cs="Arial"/>
          <w:b/>
          <w:snapToGrid w:val="0"/>
          <w:sz w:val="25"/>
          <w:szCs w:val="25"/>
          <w:lang w:val="es-ES_tradnl"/>
        </w:rPr>
      </w:pPr>
    </w:p>
    <w:p w:rsidR="00AB690B" w:rsidRPr="00AB690B" w:rsidRDefault="00AB690B" w:rsidP="00AB690B">
      <w:pPr>
        <w:tabs>
          <w:tab w:val="left" w:pos="8749"/>
        </w:tabs>
        <w:rPr>
          <w:rFonts w:cs="Arial"/>
          <w:b/>
          <w:snapToGrid w:val="0"/>
          <w:sz w:val="25"/>
          <w:szCs w:val="25"/>
          <w:lang w:val="es-ES_tradnl"/>
        </w:rPr>
      </w:pPr>
      <w:r w:rsidRPr="00AB690B">
        <w:rPr>
          <w:rFonts w:cs="Arial"/>
          <w:b/>
          <w:snapToGrid w:val="0"/>
          <w:sz w:val="25"/>
          <w:szCs w:val="25"/>
          <w:lang w:val="es-ES_tradnl"/>
        </w:rPr>
        <w:t xml:space="preserve">          DIPUTADO SECRETARIO                                                    DIPUTADO SECRETARIO</w:t>
      </w:r>
    </w:p>
    <w:p w:rsidR="00AB690B" w:rsidRPr="00AB690B" w:rsidRDefault="00AB690B" w:rsidP="00AB690B">
      <w:pPr>
        <w:rPr>
          <w:rFonts w:cs="Arial"/>
          <w:b/>
          <w:snapToGrid w:val="0"/>
          <w:sz w:val="25"/>
          <w:szCs w:val="25"/>
          <w:lang w:val="es-ES_tradnl"/>
        </w:rPr>
      </w:pPr>
    </w:p>
    <w:p w:rsidR="00AB690B" w:rsidRPr="00AB690B" w:rsidRDefault="00AB690B" w:rsidP="00AB690B">
      <w:pPr>
        <w:rPr>
          <w:rFonts w:cs="Arial"/>
          <w:b/>
          <w:snapToGrid w:val="0"/>
          <w:sz w:val="25"/>
          <w:szCs w:val="25"/>
          <w:lang w:val="es-ES_tradnl"/>
        </w:rPr>
      </w:pPr>
    </w:p>
    <w:p w:rsidR="00AB690B" w:rsidRPr="00AB690B" w:rsidRDefault="00AB690B" w:rsidP="00AB690B">
      <w:pPr>
        <w:rPr>
          <w:rFonts w:cs="Arial"/>
          <w:b/>
          <w:snapToGrid w:val="0"/>
          <w:sz w:val="25"/>
          <w:szCs w:val="25"/>
          <w:lang w:val="es-ES_tradnl"/>
        </w:rPr>
      </w:pPr>
    </w:p>
    <w:p w:rsidR="00AB690B" w:rsidRPr="00AB690B" w:rsidRDefault="00AB690B" w:rsidP="00AB690B">
      <w:pPr>
        <w:rPr>
          <w:rFonts w:cs="Arial"/>
          <w:b/>
          <w:snapToGrid w:val="0"/>
          <w:sz w:val="25"/>
          <w:szCs w:val="25"/>
          <w:lang w:val="es-ES_tradnl"/>
        </w:rPr>
      </w:pPr>
    </w:p>
    <w:p w:rsidR="00AB690B" w:rsidRPr="00AB690B" w:rsidRDefault="00AB690B" w:rsidP="00AB690B">
      <w:pPr>
        <w:rPr>
          <w:rFonts w:cs="Arial"/>
          <w:b/>
          <w:snapToGrid w:val="0"/>
          <w:sz w:val="25"/>
          <w:szCs w:val="25"/>
          <w:lang w:val="es-ES_tradnl"/>
        </w:rPr>
      </w:pPr>
      <w:r w:rsidRPr="00AB690B">
        <w:rPr>
          <w:rFonts w:cs="Arial"/>
          <w:b/>
          <w:snapToGrid w:val="0"/>
          <w:sz w:val="25"/>
          <w:szCs w:val="25"/>
          <w:lang w:val="es-ES_tradnl"/>
        </w:rPr>
        <w:t xml:space="preserve">         </w:t>
      </w:r>
    </w:p>
    <w:p w:rsidR="00AB690B" w:rsidRPr="00AB690B" w:rsidRDefault="00AB690B" w:rsidP="00AB690B">
      <w:pPr>
        <w:rPr>
          <w:rFonts w:cs="Arial"/>
          <w:b/>
          <w:snapToGrid w:val="0"/>
          <w:sz w:val="25"/>
          <w:szCs w:val="25"/>
          <w:lang w:val="es-ES_tradnl"/>
        </w:rPr>
      </w:pPr>
      <w:r w:rsidRPr="00AB690B">
        <w:rPr>
          <w:rFonts w:eastAsiaTheme="minorHAnsi" w:cs="Arial"/>
          <w:b/>
          <w:sz w:val="25"/>
          <w:szCs w:val="25"/>
          <w:lang w:eastAsia="en-US"/>
        </w:rPr>
        <w:t>EDGAR GERARDO SÁNCHEZ GARZA                                   JESÚS ANDRÉS LOYA CARDONA</w:t>
      </w: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jc w:val="left"/>
        <w:rPr>
          <w:rFonts w:eastAsiaTheme="minorHAnsi" w:cs="Arial"/>
          <w:sz w:val="25"/>
          <w:szCs w:val="25"/>
          <w:lang w:eastAsia="en-US"/>
        </w:rPr>
      </w:pPr>
    </w:p>
    <w:p w:rsidR="00AB690B" w:rsidRPr="00AB690B" w:rsidRDefault="00AB690B" w:rsidP="00AB690B">
      <w:pPr>
        <w:jc w:val="left"/>
        <w:rPr>
          <w:rFonts w:eastAsia="Calibri" w:cs="Arial"/>
          <w:sz w:val="25"/>
          <w:szCs w:val="25"/>
          <w:lang w:eastAsia="en-US"/>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rFonts w:cs="Arial"/>
          <w:sz w:val="25"/>
          <w:szCs w:val="25"/>
        </w:rPr>
      </w:pPr>
    </w:p>
    <w:p w:rsidR="00AB690B" w:rsidRPr="00AB690B" w:rsidRDefault="00AB690B" w:rsidP="00AB690B">
      <w:pPr>
        <w:rPr>
          <w:sz w:val="25"/>
          <w:szCs w:val="25"/>
        </w:rPr>
      </w:pPr>
    </w:p>
    <w:p w:rsidR="00AB690B" w:rsidRPr="00AB690B" w:rsidRDefault="00AB690B" w:rsidP="00AB690B">
      <w:pPr>
        <w:rPr>
          <w:sz w:val="25"/>
          <w:szCs w:val="25"/>
        </w:rPr>
      </w:pPr>
    </w:p>
    <w:p w:rsidR="00AB690B" w:rsidRPr="00AB690B" w:rsidRDefault="00AB690B" w:rsidP="00AB690B">
      <w:pPr>
        <w:rPr>
          <w:sz w:val="25"/>
          <w:szCs w:val="25"/>
        </w:rPr>
      </w:pPr>
    </w:p>
    <w:p w:rsidR="00AB690B" w:rsidRPr="00AB690B" w:rsidRDefault="00AB690B" w:rsidP="00AB690B">
      <w:pPr>
        <w:rPr>
          <w:sz w:val="25"/>
          <w:szCs w:val="25"/>
        </w:rPr>
      </w:pPr>
    </w:p>
    <w:p w:rsidR="00AB690B" w:rsidRPr="00AB690B" w:rsidRDefault="00AB690B" w:rsidP="00AB690B">
      <w:pPr>
        <w:rPr>
          <w:sz w:val="25"/>
          <w:szCs w:val="25"/>
        </w:rPr>
      </w:pPr>
    </w:p>
    <w:p w:rsidR="00AB690B" w:rsidRPr="00AB690B" w:rsidRDefault="00AB690B" w:rsidP="00AB690B">
      <w:pPr>
        <w:rPr>
          <w:sz w:val="25"/>
          <w:szCs w:val="25"/>
        </w:rPr>
      </w:pPr>
    </w:p>
    <w:p w:rsidR="00245157" w:rsidRPr="00AB690B" w:rsidRDefault="00816586">
      <w:pPr>
        <w:rPr>
          <w:sz w:val="25"/>
          <w:szCs w:val="25"/>
        </w:rPr>
      </w:pPr>
    </w:p>
    <w:sectPr w:rsidR="00245157" w:rsidRPr="00AB690B" w:rsidSect="00D87320">
      <w:headerReference w:type="default" r:id="rId7"/>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586" w:rsidRDefault="00816586" w:rsidP="000E3927">
      <w:r>
        <w:separator/>
      </w:r>
    </w:p>
  </w:endnote>
  <w:endnote w:type="continuationSeparator" w:id="0">
    <w:p w:rsidR="00816586" w:rsidRDefault="00816586" w:rsidP="000E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586" w:rsidRDefault="00816586" w:rsidP="000E3927">
      <w:r>
        <w:separator/>
      </w:r>
    </w:p>
  </w:footnote>
  <w:footnote w:type="continuationSeparator" w:id="0">
    <w:p w:rsidR="00816586" w:rsidRDefault="00816586" w:rsidP="000E39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0E3927" w:rsidRPr="00D775E4" w:rsidTr="004A0EC7">
      <w:trPr>
        <w:jc w:val="center"/>
      </w:trPr>
      <w:tc>
        <w:tcPr>
          <w:tcW w:w="1253" w:type="dxa"/>
        </w:tcPr>
        <w:p w:rsidR="000E3927" w:rsidRPr="00D775E4" w:rsidRDefault="000E3927" w:rsidP="000E3927">
          <w:pPr>
            <w:jc w:val="center"/>
            <w:rPr>
              <w:b/>
              <w:bCs/>
              <w:sz w:val="12"/>
            </w:rPr>
          </w:pPr>
        </w:p>
        <w:p w:rsidR="000E3927" w:rsidRPr="00D775E4" w:rsidRDefault="000E3927" w:rsidP="000E3927">
          <w:pPr>
            <w:jc w:val="center"/>
            <w:rPr>
              <w:b/>
              <w:bCs/>
              <w:sz w:val="12"/>
            </w:rPr>
          </w:pPr>
        </w:p>
        <w:p w:rsidR="000E3927" w:rsidRPr="00D775E4" w:rsidRDefault="000E3927" w:rsidP="000E3927">
          <w:pPr>
            <w:jc w:val="center"/>
            <w:rPr>
              <w:b/>
              <w:bCs/>
              <w:sz w:val="12"/>
            </w:rPr>
          </w:pPr>
        </w:p>
        <w:p w:rsidR="000E3927" w:rsidRPr="00D775E4" w:rsidRDefault="000E3927" w:rsidP="000E3927">
          <w:pPr>
            <w:jc w:val="center"/>
            <w:rPr>
              <w:b/>
              <w:bCs/>
              <w:sz w:val="12"/>
            </w:rPr>
          </w:pPr>
        </w:p>
        <w:p w:rsidR="000E3927" w:rsidRPr="00D775E4" w:rsidRDefault="000E3927" w:rsidP="000E3927">
          <w:pPr>
            <w:jc w:val="center"/>
            <w:rPr>
              <w:b/>
              <w:bCs/>
              <w:sz w:val="12"/>
            </w:rPr>
          </w:pPr>
        </w:p>
        <w:p w:rsidR="000E3927" w:rsidRPr="00D775E4" w:rsidRDefault="000E3927" w:rsidP="000E3927">
          <w:pPr>
            <w:jc w:val="center"/>
            <w:rPr>
              <w:b/>
              <w:bCs/>
              <w:sz w:val="12"/>
            </w:rPr>
          </w:pPr>
        </w:p>
        <w:p w:rsidR="000E3927" w:rsidRPr="00D775E4" w:rsidRDefault="000E3927" w:rsidP="000E3927">
          <w:pPr>
            <w:jc w:val="center"/>
            <w:rPr>
              <w:b/>
              <w:bCs/>
              <w:sz w:val="12"/>
            </w:rPr>
          </w:pPr>
        </w:p>
        <w:p w:rsidR="000E3927" w:rsidRPr="00D775E4" w:rsidRDefault="000E3927" w:rsidP="000E3927">
          <w:pPr>
            <w:jc w:val="center"/>
            <w:rPr>
              <w:b/>
              <w:bCs/>
              <w:sz w:val="12"/>
            </w:rPr>
          </w:pPr>
        </w:p>
        <w:p w:rsidR="000E3927" w:rsidRPr="00D775E4" w:rsidRDefault="000E3927" w:rsidP="000E3927">
          <w:pPr>
            <w:jc w:val="center"/>
            <w:rPr>
              <w:b/>
              <w:bCs/>
              <w:sz w:val="12"/>
            </w:rPr>
          </w:pPr>
        </w:p>
        <w:p w:rsidR="000E3927" w:rsidRPr="00D775E4" w:rsidRDefault="000E3927" w:rsidP="000E3927">
          <w:pPr>
            <w:jc w:val="center"/>
            <w:rPr>
              <w:b/>
              <w:bCs/>
              <w:sz w:val="12"/>
            </w:rPr>
          </w:pPr>
        </w:p>
        <w:p w:rsidR="000E3927" w:rsidRPr="00D775E4" w:rsidRDefault="000E3927" w:rsidP="000E3927">
          <w:pPr>
            <w:jc w:val="center"/>
            <w:rPr>
              <w:b/>
              <w:bCs/>
              <w:sz w:val="12"/>
            </w:rPr>
          </w:pPr>
        </w:p>
        <w:p w:rsidR="000E3927" w:rsidRPr="00D775E4" w:rsidRDefault="000E3927" w:rsidP="000E3927">
          <w:pPr>
            <w:jc w:val="center"/>
            <w:rPr>
              <w:b/>
              <w:bCs/>
              <w:sz w:val="12"/>
            </w:rPr>
          </w:pPr>
        </w:p>
      </w:tc>
      <w:tc>
        <w:tcPr>
          <w:tcW w:w="8623" w:type="dxa"/>
        </w:tcPr>
        <w:p w:rsidR="000E3927" w:rsidRPr="00815938" w:rsidRDefault="000E3927" w:rsidP="000E3927">
          <w:pPr>
            <w:jc w:val="center"/>
            <w:rPr>
              <w:b/>
              <w:bCs/>
              <w:sz w:val="24"/>
            </w:rPr>
          </w:pPr>
          <w:r>
            <w:rPr>
              <w:b/>
              <w:bCs/>
              <w:noProof/>
              <w:sz w:val="12"/>
              <w:lang w:eastAsia="es-MX"/>
            </w:rPr>
            <w:drawing>
              <wp:anchor distT="0" distB="0" distL="114300" distR="114300" simplePos="0" relativeHeight="251660288" behindDoc="0" locked="0" layoutInCell="1" allowOverlap="1" wp14:anchorId="170BBA7F" wp14:editId="37FE58B4">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339DBE91" wp14:editId="45A49DF6">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927" w:rsidRPr="002E1219" w:rsidRDefault="000E3927" w:rsidP="000E3927">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0E3927" w:rsidRDefault="000E3927" w:rsidP="000E3927">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0E3927" w:rsidRPr="00530EA8" w:rsidRDefault="000E3927" w:rsidP="000E3927">
          <w:pPr>
            <w:pStyle w:val="Encabezado"/>
            <w:tabs>
              <w:tab w:val="left" w:pos="-1528"/>
              <w:tab w:val="center" w:pos="-1386"/>
            </w:tabs>
            <w:jc w:val="center"/>
            <w:rPr>
              <w:rFonts w:cs="Arial"/>
              <w:bCs/>
              <w:smallCaps/>
              <w:spacing w:val="20"/>
              <w:sz w:val="16"/>
              <w:szCs w:val="32"/>
            </w:rPr>
          </w:pPr>
        </w:p>
        <w:p w:rsidR="000E3927" w:rsidRPr="00D775B7" w:rsidRDefault="000E3927" w:rsidP="000E3927">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0E3927" w:rsidRPr="00D775E4" w:rsidRDefault="000E3927" w:rsidP="000E3927">
          <w:pPr>
            <w:ind w:left="-434" w:right="-672"/>
            <w:jc w:val="center"/>
            <w:rPr>
              <w:b/>
              <w:bCs/>
              <w:sz w:val="12"/>
            </w:rPr>
          </w:pPr>
        </w:p>
      </w:tc>
      <w:tc>
        <w:tcPr>
          <w:tcW w:w="1181" w:type="dxa"/>
        </w:tcPr>
        <w:p w:rsidR="000E3927" w:rsidRDefault="000E3927" w:rsidP="000E3927">
          <w:pPr>
            <w:jc w:val="center"/>
            <w:rPr>
              <w:b/>
              <w:bCs/>
              <w:sz w:val="12"/>
            </w:rPr>
          </w:pPr>
        </w:p>
        <w:p w:rsidR="000E3927" w:rsidRDefault="000E3927" w:rsidP="000E3927">
          <w:pPr>
            <w:jc w:val="center"/>
            <w:rPr>
              <w:b/>
              <w:bCs/>
              <w:sz w:val="12"/>
            </w:rPr>
          </w:pPr>
        </w:p>
        <w:p w:rsidR="000E3927" w:rsidRPr="00D775E4" w:rsidRDefault="000E3927" w:rsidP="000E3927">
          <w:pPr>
            <w:jc w:val="center"/>
            <w:rPr>
              <w:b/>
              <w:bCs/>
              <w:sz w:val="12"/>
            </w:rPr>
          </w:pPr>
        </w:p>
      </w:tc>
    </w:tr>
  </w:tbl>
  <w:p w:rsidR="000E3927" w:rsidRDefault="000E392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30F1F"/>
    <w:multiLevelType w:val="hybridMultilevel"/>
    <w:tmpl w:val="4B2EAEAE"/>
    <w:lvl w:ilvl="0" w:tplc="30B8649C">
      <w:start w:val="1"/>
      <w:numFmt w:val="upperRoman"/>
      <w:lvlText w:val="%1."/>
      <w:lvlJc w:val="left"/>
      <w:pPr>
        <w:ind w:left="1656" w:hanging="948"/>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3741742F"/>
    <w:multiLevelType w:val="hybridMultilevel"/>
    <w:tmpl w:val="CF62931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CAA760B"/>
    <w:multiLevelType w:val="hybridMultilevel"/>
    <w:tmpl w:val="9316474E"/>
    <w:lvl w:ilvl="0" w:tplc="961AE960">
      <w:start w:val="1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0B"/>
    <w:rsid w:val="000653EC"/>
    <w:rsid w:val="000E3927"/>
    <w:rsid w:val="004562E7"/>
    <w:rsid w:val="00816586"/>
    <w:rsid w:val="00A446FE"/>
    <w:rsid w:val="00AB6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BB869-AEBC-442C-A16B-39D349AD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90B"/>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3927"/>
    <w:pPr>
      <w:tabs>
        <w:tab w:val="center" w:pos="4419"/>
        <w:tab w:val="right" w:pos="8838"/>
      </w:tabs>
    </w:pPr>
  </w:style>
  <w:style w:type="character" w:customStyle="1" w:styleId="EncabezadoCar">
    <w:name w:val="Encabezado Car"/>
    <w:basedOn w:val="Fuentedeprrafopredeter"/>
    <w:link w:val="Encabezado"/>
    <w:uiPriority w:val="99"/>
    <w:rsid w:val="000E3927"/>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0E3927"/>
    <w:pPr>
      <w:tabs>
        <w:tab w:val="center" w:pos="4419"/>
        <w:tab w:val="right" w:pos="8838"/>
      </w:tabs>
    </w:pPr>
  </w:style>
  <w:style w:type="character" w:customStyle="1" w:styleId="PiedepginaCar">
    <w:name w:val="Pie de página Car"/>
    <w:basedOn w:val="Fuentedeprrafopredeter"/>
    <w:link w:val="Piedepgina"/>
    <w:uiPriority w:val="99"/>
    <w:rsid w:val="000E3927"/>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514</Words>
  <Characters>2832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2019-12-16T18:42:00Z</dcterms:created>
  <dcterms:modified xsi:type="dcterms:W3CDTF">2019-12-16T18:42:00Z</dcterms:modified>
</cp:coreProperties>
</file>