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9A3" w:rsidRPr="007D2DCF" w:rsidRDefault="009359A3" w:rsidP="009359A3">
      <w:pPr>
        <w:rPr>
          <w:rFonts w:cs="Arial"/>
          <w:b/>
          <w:snapToGrid w:val="0"/>
          <w:sz w:val="24"/>
          <w:szCs w:val="24"/>
          <w:lang w:val="es-ES_tradnl"/>
        </w:rPr>
      </w:pPr>
    </w:p>
    <w:p w:rsidR="009359A3" w:rsidRPr="007D2DCF" w:rsidRDefault="009359A3" w:rsidP="009359A3">
      <w:pPr>
        <w:rPr>
          <w:rFonts w:cs="Arial"/>
          <w:b/>
          <w:snapToGrid w:val="0"/>
          <w:sz w:val="24"/>
          <w:szCs w:val="24"/>
          <w:lang w:val="es-ES_tradnl"/>
        </w:rPr>
      </w:pPr>
    </w:p>
    <w:p w:rsidR="009359A3" w:rsidRPr="007D2DCF" w:rsidRDefault="009359A3" w:rsidP="009359A3">
      <w:pPr>
        <w:rPr>
          <w:rFonts w:cs="Arial"/>
          <w:b/>
          <w:snapToGrid w:val="0"/>
          <w:sz w:val="24"/>
          <w:szCs w:val="24"/>
          <w:lang w:val="es-ES_tradnl"/>
        </w:rPr>
      </w:pPr>
    </w:p>
    <w:p w:rsidR="009359A3" w:rsidRPr="007D2DCF" w:rsidRDefault="009359A3" w:rsidP="009359A3">
      <w:pPr>
        <w:rPr>
          <w:rFonts w:cs="Arial"/>
          <w:b/>
          <w:snapToGrid w:val="0"/>
          <w:sz w:val="24"/>
          <w:szCs w:val="24"/>
          <w:lang w:val="es-ES_tradnl"/>
        </w:rPr>
      </w:pPr>
    </w:p>
    <w:p w:rsidR="009359A3" w:rsidRPr="007D2DCF" w:rsidRDefault="009359A3" w:rsidP="009359A3">
      <w:pPr>
        <w:rPr>
          <w:rFonts w:cs="Arial"/>
          <w:b/>
          <w:snapToGrid w:val="0"/>
          <w:sz w:val="24"/>
          <w:szCs w:val="24"/>
          <w:lang w:val="es-ES_tradnl"/>
        </w:rPr>
      </w:pPr>
      <w:r w:rsidRPr="007D2DCF">
        <w:rPr>
          <w:rFonts w:cs="Arial"/>
          <w:b/>
          <w:snapToGrid w:val="0"/>
          <w:sz w:val="24"/>
          <w:szCs w:val="24"/>
          <w:lang w:val="es-ES_tradnl"/>
        </w:rPr>
        <w:t>QUE EL CONGRESO DEL ESTADO INDEPENDIENTE, LIBRE Y SOBERANO DE COAHUILA DE ZARAGOZA;</w:t>
      </w:r>
    </w:p>
    <w:p w:rsidR="009359A3" w:rsidRPr="007D2DCF" w:rsidRDefault="009359A3" w:rsidP="009359A3">
      <w:pPr>
        <w:rPr>
          <w:rFonts w:cs="Arial"/>
          <w:b/>
          <w:snapToGrid w:val="0"/>
          <w:sz w:val="24"/>
          <w:szCs w:val="24"/>
          <w:lang w:val="es-ES_tradnl"/>
        </w:rPr>
      </w:pPr>
    </w:p>
    <w:p w:rsidR="009359A3" w:rsidRPr="007D2DCF" w:rsidRDefault="009359A3" w:rsidP="009359A3">
      <w:pPr>
        <w:rPr>
          <w:rFonts w:cs="Arial"/>
          <w:b/>
          <w:snapToGrid w:val="0"/>
          <w:sz w:val="24"/>
          <w:szCs w:val="24"/>
          <w:lang w:val="es-ES_tradnl"/>
        </w:rPr>
      </w:pPr>
    </w:p>
    <w:p w:rsidR="009359A3" w:rsidRPr="007D2DCF" w:rsidRDefault="009359A3" w:rsidP="009359A3">
      <w:pPr>
        <w:widowControl w:val="0"/>
        <w:rPr>
          <w:rFonts w:cs="Arial"/>
          <w:b/>
          <w:snapToGrid w:val="0"/>
          <w:sz w:val="24"/>
          <w:szCs w:val="24"/>
          <w:lang w:val="es-ES_tradnl"/>
        </w:rPr>
      </w:pPr>
      <w:r w:rsidRPr="007D2DCF">
        <w:rPr>
          <w:rFonts w:cs="Arial"/>
          <w:b/>
          <w:snapToGrid w:val="0"/>
          <w:sz w:val="24"/>
          <w:szCs w:val="24"/>
          <w:lang w:val="es-ES_tradnl"/>
        </w:rPr>
        <w:t>DECRETA:</w:t>
      </w:r>
    </w:p>
    <w:p w:rsidR="009359A3" w:rsidRPr="007D2DCF" w:rsidRDefault="009359A3" w:rsidP="009359A3">
      <w:pPr>
        <w:widowControl w:val="0"/>
        <w:rPr>
          <w:rFonts w:cs="Arial"/>
          <w:b/>
          <w:snapToGrid w:val="0"/>
          <w:sz w:val="24"/>
          <w:szCs w:val="24"/>
          <w:lang w:val="es-ES_tradnl"/>
        </w:rPr>
      </w:pPr>
    </w:p>
    <w:p w:rsidR="009359A3" w:rsidRPr="007D2DCF" w:rsidRDefault="009359A3" w:rsidP="009359A3">
      <w:pPr>
        <w:widowControl w:val="0"/>
        <w:rPr>
          <w:rFonts w:cs="Arial"/>
          <w:b/>
          <w:snapToGrid w:val="0"/>
          <w:sz w:val="24"/>
          <w:szCs w:val="24"/>
          <w:lang w:val="es-ES_tradnl"/>
        </w:rPr>
      </w:pPr>
      <w:r>
        <w:rPr>
          <w:rFonts w:cs="Arial"/>
          <w:b/>
          <w:snapToGrid w:val="0"/>
          <w:sz w:val="24"/>
          <w:szCs w:val="24"/>
          <w:lang w:val="es-ES_tradnl"/>
        </w:rPr>
        <w:t>NÚMERO 495</w:t>
      </w:r>
      <w:r w:rsidRPr="007D2DCF">
        <w:rPr>
          <w:rFonts w:cs="Arial"/>
          <w:b/>
          <w:snapToGrid w:val="0"/>
          <w:sz w:val="24"/>
          <w:szCs w:val="24"/>
          <w:lang w:val="es-ES_tradnl"/>
        </w:rPr>
        <w:t xml:space="preserve">.- </w:t>
      </w:r>
    </w:p>
    <w:p w:rsidR="009359A3" w:rsidRDefault="009359A3" w:rsidP="009359A3">
      <w:pPr>
        <w:widowControl w:val="0"/>
        <w:rPr>
          <w:rFonts w:cs="Arial"/>
          <w:b/>
          <w:snapToGrid w:val="0"/>
          <w:sz w:val="24"/>
          <w:szCs w:val="24"/>
          <w:lang w:val="es-ES_tradnl"/>
        </w:rPr>
      </w:pPr>
    </w:p>
    <w:p w:rsidR="000A58C9" w:rsidRPr="007D2DCF" w:rsidRDefault="000A58C9" w:rsidP="009359A3">
      <w:pPr>
        <w:widowControl w:val="0"/>
        <w:rPr>
          <w:rFonts w:cs="Arial"/>
          <w:b/>
          <w:snapToGrid w:val="0"/>
          <w:sz w:val="24"/>
          <w:szCs w:val="24"/>
          <w:lang w:val="es-ES_tradnl"/>
        </w:rPr>
      </w:pPr>
    </w:p>
    <w:p w:rsidR="000A58C9" w:rsidRPr="00B4140D" w:rsidRDefault="000A58C9" w:rsidP="000A58C9">
      <w:pPr>
        <w:spacing w:line="360" w:lineRule="auto"/>
        <w:rPr>
          <w:rFonts w:eastAsia="Calibri" w:cs="Arial"/>
          <w:sz w:val="24"/>
          <w:szCs w:val="24"/>
        </w:rPr>
      </w:pPr>
      <w:r w:rsidRPr="00B4140D">
        <w:rPr>
          <w:rFonts w:eastAsia="Calibri" w:cs="Arial"/>
          <w:b/>
          <w:sz w:val="24"/>
          <w:szCs w:val="24"/>
        </w:rPr>
        <w:t>ARTÍCULO PRIMERO.</w:t>
      </w:r>
      <w:r w:rsidRPr="00B4140D">
        <w:rPr>
          <w:rFonts w:eastAsia="Calibri" w:cs="Arial"/>
          <w:sz w:val="24"/>
          <w:szCs w:val="24"/>
        </w:rPr>
        <w:t xml:space="preserve"> Se </w:t>
      </w:r>
      <w:r w:rsidRPr="00B4140D">
        <w:rPr>
          <w:rFonts w:eastAsia="Calibri" w:cs="Arial"/>
          <w:b/>
          <w:sz w:val="24"/>
          <w:szCs w:val="24"/>
        </w:rPr>
        <w:t xml:space="preserve">reforma </w:t>
      </w:r>
      <w:r w:rsidRPr="00B4140D">
        <w:rPr>
          <w:rFonts w:eastAsia="Calibri" w:cs="Arial"/>
          <w:sz w:val="24"/>
          <w:szCs w:val="24"/>
        </w:rPr>
        <w:t>la fracción XIII del artículo 4,</w:t>
      </w:r>
      <w:r w:rsidRPr="00B4140D">
        <w:rPr>
          <w:rFonts w:eastAsia="Calibri" w:cs="Arial"/>
          <w:b/>
          <w:sz w:val="24"/>
          <w:szCs w:val="24"/>
        </w:rPr>
        <w:t xml:space="preserve"> </w:t>
      </w:r>
      <w:r w:rsidRPr="00B4140D">
        <w:rPr>
          <w:rFonts w:eastAsia="Calibri" w:cs="Arial"/>
          <w:sz w:val="24"/>
          <w:szCs w:val="24"/>
        </w:rPr>
        <w:t xml:space="preserve">el artículo 13, el párrafo segundo del artículo 33 y la fracción VI del artículo 158; y se </w:t>
      </w:r>
      <w:r w:rsidRPr="00B4140D">
        <w:rPr>
          <w:rFonts w:eastAsia="Calibri" w:cs="Arial"/>
          <w:b/>
          <w:sz w:val="24"/>
          <w:szCs w:val="24"/>
        </w:rPr>
        <w:t>adiciona</w:t>
      </w:r>
      <w:r w:rsidRPr="00B4140D">
        <w:rPr>
          <w:rFonts w:eastAsia="Calibri" w:cs="Arial"/>
          <w:sz w:val="24"/>
          <w:szCs w:val="24"/>
        </w:rPr>
        <w:t xml:space="preserve"> un párrafo quinto al artículo 158, y los párrafos segundo y tercero al artículo 191, de la Ley de Asentamientos Humanos, Ordenamiento Territorial y Desarrollo Urbano del Estado de Coahuila de Zaragoza, para quedar como sigue:</w:t>
      </w:r>
    </w:p>
    <w:p w:rsidR="000A58C9" w:rsidRPr="00B4140D" w:rsidRDefault="000A58C9" w:rsidP="000A58C9">
      <w:pPr>
        <w:spacing w:line="360" w:lineRule="auto"/>
        <w:rPr>
          <w:rFonts w:eastAsia="Calibri" w:cs="Arial"/>
          <w:sz w:val="24"/>
          <w:szCs w:val="24"/>
        </w:rPr>
      </w:pPr>
    </w:p>
    <w:p w:rsidR="000A58C9" w:rsidRPr="00B4140D" w:rsidRDefault="000A58C9" w:rsidP="000A58C9">
      <w:pPr>
        <w:spacing w:line="360" w:lineRule="auto"/>
        <w:rPr>
          <w:rFonts w:eastAsia="Calibri" w:cs="Arial"/>
          <w:color w:val="000000"/>
          <w:sz w:val="24"/>
          <w:szCs w:val="24"/>
        </w:rPr>
      </w:pPr>
      <w:r w:rsidRPr="00B4140D">
        <w:rPr>
          <w:rFonts w:eastAsia="Calibri" w:cs="Arial"/>
          <w:b/>
          <w:bCs/>
          <w:color w:val="000000"/>
          <w:sz w:val="24"/>
          <w:szCs w:val="24"/>
        </w:rPr>
        <w:t xml:space="preserve">Artículo </w:t>
      </w:r>
      <w:r w:rsidRPr="00B4140D">
        <w:rPr>
          <w:rFonts w:eastAsia="Calibri" w:cs="Arial"/>
          <w:b/>
          <w:color w:val="000000"/>
          <w:sz w:val="24"/>
          <w:szCs w:val="24"/>
        </w:rPr>
        <w:t>4.</w:t>
      </w:r>
      <w:r w:rsidRPr="00B4140D">
        <w:rPr>
          <w:rFonts w:eastAsia="Calibri" w:cs="Arial"/>
          <w:color w:val="000000"/>
          <w:sz w:val="24"/>
          <w:szCs w:val="24"/>
        </w:rPr>
        <w:t xml:space="preserve"> Para los efectos de esta la Ley</w:t>
      </w:r>
      <w:r w:rsidRPr="00B4140D">
        <w:rPr>
          <w:rFonts w:eastAsia="Calibri" w:cs="Arial"/>
          <w:bCs/>
          <w:color w:val="000000"/>
          <w:sz w:val="24"/>
          <w:szCs w:val="24"/>
          <w:lang w:eastAsia="es-MX"/>
        </w:rPr>
        <w:t xml:space="preserve"> </w:t>
      </w:r>
      <w:r w:rsidRPr="00B4140D">
        <w:rPr>
          <w:rFonts w:eastAsia="Calibri" w:cs="Arial"/>
          <w:color w:val="000000"/>
          <w:sz w:val="24"/>
          <w:szCs w:val="24"/>
        </w:rPr>
        <w:t>se entenderá por:</w:t>
      </w:r>
    </w:p>
    <w:p w:rsidR="000A58C9" w:rsidRPr="00B4140D" w:rsidRDefault="000A58C9" w:rsidP="000A58C9"/>
    <w:p w:rsidR="000A58C9" w:rsidRPr="00B4140D" w:rsidRDefault="000A58C9" w:rsidP="000A58C9">
      <w:pPr>
        <w:spacing w:line="360" w:lineRule="auto"/>
        <w:rPr>
          <w:rFonts w:eastAsia="Calibri" w:cs="Arial"/>
          <w:color w:val="000000"/>
          <w:sz w:val="24"/>
          <w:szCs w:val="24"/>
        </w:rPr>
      </w:pPr>
      <w:r w:rsidRPr="00B4140D">
        <w:rPr>
          <w:rFonts w:eastAsia="Calibri" w:cs="Arial"/>
          <w:b/>
          <w:color w:val="000000"/>
          <w:sz w:val="24"/>
          <w:szCs w:val="24"/>
        </w:rPr>
        <w:t>I.</w:t>
      </w:r>
      <w:r w:rsidRPr="00B4140D">
        <w:rPr>
          <w:rFonts w:eastAsia="Calibri" w:cs="Arial"/>
          <w:color w:val="000000"/>
          <w:sz w:val="24"/>
          <w:szCs w:val="24"/>
        </w:rPr>
        <w:t xml:space="preserve"> a </w:t>
      </w:r>
      <w:r w:rsidRPr="00B4140D">
        <w:rPr>
          <w:rFonts w:eastAsia="Calibri" w:cs="Arial"/>
          <w:b/>
          <w:color w:val="000000"/>
          <w:sz w:val="24"/>
          <w:szCs w:val="24"/>
        </w:rPr>
        <w:t>XII.</w:t>
      </w:r>
      <w:r w:rsidRPr="00B4140D">
        <w:rPr>
          <w:rFonts w:eastAsia="Calibri" w:cs="Arial"/>
          <w:color w:val="000000"/>
          <w:sz w:val="24"/>
          <w:szCs w:val="24"/>
        </w:rPr>
        <w:t xml:space="preserve"> …</w:t>
      </w:r>
    </w:p>
    <w:p w:rsidR="000A58C9" w:rsidRPr="00B4140D" w:rsidRDefault="000A58C9" w:rsidP="000A58C9"/>
    <w:p w:rsidR="000A58C9" w:rsidRPr="00B4140D" w:rsidRDefault="000A58C9" w:rsidP="000A58C9">
      <w:pPr>
        <w:spacing w:line="360" w:lineRule="auto"/>
        <w:rPr>
          <w:rFonts w:eastAsia="Calibri" w:cs="Arial"/>
          <w:sz w:val="24"/>
          <w:szCs w:val="24"/>
        </w:rPr>
      </w:pPr>
      <w:r w:rsidRPr="00B4140D">
        <w:rPr>
          <w:rFonts w:eastAsia="Calibri" w:cs="Arial"/>
          <w:b/>
          <w:color w:val="0D0D0D"/>
          <w:sz w:val="24"/>
          <w:szCs w:val="24"/>
        </w:rPr>
        <w:t>XIII.</w:t>
      </w:r>
      <w:r w:rsidRPr="00B4140D">
        <w:rPr>
          <w:rFonts w:eastAsia="Calibri" w:cs="Arial"/>
          <w:color w:val="0D0D0D"/>
          <w:sz w:val="24"/>
          <w:szCs w:val="24"/>
        </w:rPr>
        <w:t xml:space="preserve"> Constancia de factibilidad educativa: Documento emitido por el Instituto Coahuilense de la Infraestructura Física Educativa, mediante el cual se hace constar que las áreas de cesión destinadas a equipamiento urbano, que sean necesarias para la construcción de espacios educativos, cuentan con las superficies, características y especificaciones, de conformidad con las disposiciones aplicables;</w:t>
      </w:r>
    </w:p>
    <w:p w:rsidR="000A58C9" w:rsidRPr="00B4140D" w:rsidRDefault="000A58C9" w:rsidP="000A58C9"/>
    <w:p w:rsidR="000A58C9" w:rsidRPr="00B4140D" w:rsidRDefault="000A58C9" w:rsidP="000A58C9">
      <w:pPr>
        <w:spacing w:line="360" w:lineRule="auto"/>
        <w:rPr>
          <w:rFonts w:eastAsia="Calibri" w:cs="Arial"/>
          <w:sz w:val="24"/>
          <w:szCs w:val="24"/>
        </w:rPr>
      </w:pPr>
      <w:r w:rsidRPr="00B4140D">
        <w:rPr>
          <w:rFonts w:eastAsia="Calibri" w:cs="Arial"/>
          <w:b/>
          <w:sz w:val="24"/>
          <w:szCs w:val="24"/>
        </w:rPr>
        <w:t xml:space="preserve">XIV. </w:t>
      </w:r>
      <w:r w:rsidRPr="00B4140D">
        <w:rPr>
          <w:rFonts w:eastAsia="Calibri" w:cs="Arial"/>
          <w:sz w:val="24"/>
          <w:szCs w:val="24"/>
        </w:rPr>
        <w:t xml:space="preserve">a </w:t>
      </w:r>
      <w:r w:rsidRPr="00B4140D">
        <w:rPr>
          <w:rFonts w:eastAsia="Calibri" w:cs="Arial"/>
          <w:b/>
          <w:sz w:val="24"/>
          <w:szCs w:val="24"/>
        </w:rPr>
        <w:t>LXI.</w:t>
      </w:r>
      <w:r w:rsidRPr="00B4140D">
        <w:rPr>
          <w:rFonts w:eastAsia="Calibri" w:cs="Arial"/>
          <w:sz w:val="24"/>
          <w:szCs w:val="24"/>
        </w:rPr>
        <w:t xml:space="preserve"> …</w:t>
      </w:r>
    </w:p>
    <w:p w:rsidR="000A58C9" w:rsidRPr="00B4140D" w:rsidRDefault="000A58C9" w:rsidP="000A58C9"/>
    <w:p w:rsidR="000A58C9" w:rsidRPr="000A58C9" w:rsidRDefault="000A58C9" w:rsidP="000A58C9">
      <w:pPr>
        <w:spacing w:line="360" w:lineRule="auto"/>
        <w:rPr>
          <w:rFonts w:eastAsia="Calibri" w:cs="Arial"/>
          <w:sz w:val="24"/>
          <w:szCs w:val="24"/>
        </w:rPr>
      </w:pPr>
      <w:r w:rsidRPr="00B4140D">
        <w:rPr>
          <w:rFonts w:eastAsia="Calibri" w:cs="Arial"/>
          <w:b/>
          <w:bCs/>
          <w:sz w:val="24"/>
          <w:szCs w:val="24"/>
        </w:rPr>
        <w:t xml:space="preserve">Artículo 13. </w:t>
      </w:r>
      <w:r w:rsidRPr="00B4140D">
        <w:rPr>
          <w:rFonts w:eastAsia="Calibri" w:cs="Arial"/>
          <w:sz w:val="24"/>
          <w:szCs w:val="24"/>
        </w:rPr>
        <w:t xml:space="preserve">Los municipios podrán suscribir convenios de coordinación con el Gobierno del Estado de Coahuila de Zaragoza, con el propósito de que este último asuma el ejercicio de funciones que en materia de asentamientos humanos y desarrollo urbano le corresponden a los municipios, o bien para que los municipios asuman las funciones o servicios que les corresponden al Estado a través </w:t>
      </w:r>
      <w:r w:rsidRPr="00B4140D">
        <w:rPr>
          <w:rFonts w:eastAsia="Calibri" w:cs="Arial"/>
          <w:sz w:val="24"/>
          <w:szCs w:val="24"/>
        </w:rPr>
        <w:lastRenderedPageBreak/>
        <w:t>de la Secretaría, justificando sus razones para ello. Dichos convenios serán publicados en el Periódico Oficial del Gobierno del Estado.</w:t>
      </w:r>
    </w:p>
    <w:p w:rsidR="000A58C9" w:rsidRPr="00B4140D" w:rsidRDefault="000A58C9" w:rsidP="000A58C9">
      <w:pPr>
        <w:spacing w:line="360" w:lineRule="auto"/>
        <w:rPr>
          <w:rFonts w:eastAsia="Calibri" w:cs="Arial"/>
          <w:sz w:val="24"/>
          <w:szCs w:val="24"/>
        </w:rPr>
      </w:pPr>
      <w:r w:rsidRPr="00B4140D">
        <w:rPr>
          <w:rFonts w:eastAsia="Calibri" w:cs="Arial"/>
          <w:sz w:val="24"/>
          <w:szCs w:val="24"/>
        </w:rPr>
        <w:t>Los municipios deberán informar a la Secretaría, dentro de los cinco días hábiles siguientes, los trámites que realicen derivados del ejercicio de las funciones asumidas en virtud de los convenios de coordinación a que se refiere el párrafo anterior.</w:t>
      </w:r>
    </w:p>
    <w:p w:rsidR="000A58C9" w:rsidRPr="00B4140D" w:rsidRDefault="000A58C9" w:rsidP="000A58C9">
      <w:pPr>
        <w:spacing w:line="360" w:lineRule="auto"/>
        <w:rPr>
          <w:rFonts w:eastAsia="Calibri" w:cs="Arial"/>
          <w:sz w:val="24"/>
          <w:szCs w:val="24"/>
        </w:rPr>
      </w:pPr>
    </w:p>
    <w:p w:rsidR="000A58C9" w:rsidRPr="00B4140D" w:rsidRDefault="000A58C9" w:rsidP="000A58C9">
      <w:pPr>
        <w:spacing w:line="360" w:lineRule="auto"/>
        <w:rPr>
          <w:rFonts w:eastAsia="Calibri" w:cs="Arial"/>
          <w:sz w:val="24"/>
          <w:szCs w:val="24"/>
          <w:lang w:val="es-ES_tradnl"/>
        </w:rPr>
      </w:pPr>
      <w:r w:rsidRPr="00B4140D">
        <w:rPr>
          <w:rFonts w:eastAsia="Calibri" w:cs="Arial"/>
          <w:b/>
          <w:bCs/>
          <w:sz w:val="24"/>
          <w:szCs w:val="24"/>
          <w:lang w:val="es-ES_tradnl"/>
        </w:rPr>
        <w:t>Artículo 33</w:t>
      </w:r>
      <w:r w:rsidRPr="00B4140D">
        <w:rPr>
          <w:rFonts w:eastAsia="Calibri" w:cs="Arial"/>
          <w:b/>
          <w:sz w:val="24"/>
          <w:szCs w:val="24"/>
          <w:lang w:val="es-ES_tradnl"/>
        </w:rPr>
        <w:t xml:space="preserve">. </w:t>
      </w:r>
      <w:r w:rsidRPr="00B4140D">
        <w:rPr>
          <w:rFonts w:eastAsia="Calibri" w:cs="Arial"/>
          <w:sz w:val="24"/>
          <w:szCs w:val="24"/>
          <w:lang w:val="es-ES_tradnl"/>
        </w:rPr>
        <w:t>...</w:t>
      </w:r>
    </w:p>
    <w:p w:rsidR="000A58C9" w:rsidRPr="00B4140D" w:rsidRDefault="000A58C9" w:rsidP="000A58C9">
      <w:pPr>
        <w:spacing w:line="360" w:lineRule="auto"/>
        <w:rPr>
          <w:rFonts w:eastAsia="Calibri" w:cs="Arial"/>
          <w:b/>
          <w:sz w:val="24"/>
          <w:szCs w:val="24"/>
          <w:lang w:val="es-ES_tradnl"/>
        </w:rPr>
      </w:pPr>
    </w:p>
    <w:p w:rsidR="000A58C9" w:rsidRPr="00B4140D" w:rsidRDefault="000A58C9" w:rsidP="000A58C9">
      <w:pPr>
        <w:spacing w:line="360" w:lineRule="auto"/>
        <w:rPr>
          <w:rFonts w:eastAsia="Calibri" w:cs="Arial"/>
          <w:sz w:val="24"/>
          <w:szCs w:val="24"/>
          <w:lang w:val="es-ES_tradnl"/>
        </w:rPr>
      </w:pPr>
      <w:r w:rsidRPr="00B4140D">
        <w:rPr>
          <w:rFonts w:eastAsia="Calibri" w:cs="Arial"/>
          <w:b/>
          <w:sz w:val="24"/>
          <w:szCs w:val="24"/>
          <w:lang w:val="es-ES_tradnl"/>
        </w:rPr>
        <w:t>I.</w:t>
      </w:r>
      <w:r w:rsidRPr="00B4140D">
        <w:rPr>
          <w:rFonts w:eastAsia="Calibri" w:cs="Arial"/>
          <w:sz w:val="24"/>
          <w:szCs w:val="24"/>
          <w:lang w:val="es-ES_tradnl"/>
        </w:rPr>
        <w:t xml:space="preserve"> a </w:t>
      </w:r>
      <w:r w:rsidRPr="00B4140D">
        <w:rPr>
          <w:rFonts w:eastAsia="Calibri" w:cs="Arial"/>
          <w:b/>
          <w:sz w:val="24"/>
          <w:szCs w:val="24"/>
          <w:lang w:val="es-ES_tradnl"/>
        </w:rPr>
        <w:t>XII.</w:t>
      </w:r>
      <w:r w:rsidRPr="00B4140D">
        <w:rPr>
          <w:rFonts w:eastAsia="Calibri" w:cs="Arial"/>
          <w:sz w:val="24"/>
          <w:szCs w:val="24"/>
          <w:lang w:val="es-ES_tradnl"/>
        </w:rPr>
        <w:t xml:space="preserve"> ...</w:t>
      </w:r>
    </w:p>
    <w:p w:rsidR="000A58C9" w:rsidRPr="00B4140D" w:rsidRDefault="000A58C9" w:rsidP="000A58C9">
      <w:pPr>
        <w:spacing w:line="360" w:lineRule="auto"/>
        <w:rPr>
          <w:rFonts w:eastAsia="Calibri" w:cs="Arial"/>
          <w:sz w:val="24"/>
          <w:szCs w:val="24"/>
          <w:lang w:val="es-ES_tradnl"/>
        </w:rPr>
      </w:pPr>
    </w:p>
    <w:p w:rsidR="000A58C9" w:rsidRPr="00B4140D" w:rsidRDefault="000A58C9" w:rsidP="000A58C9">
      <w:pPr>
        <w:spacing w:line="360" w:lineRule="auto"/>
        <w:rPr>
          <w:rFonts w:eastAsia="Calibri" w:cs="Arial"/>
          <w:sz w:val="24"/>
          <w:szCs w:val="24"/>
          <w:lang w:val="es-ES_tradnl"/>
        </w:rPr>
      </w:pPr>
      <w:r w:rsidRPr="00B4140D">
        <w:rPr>
          <w:rFonts w:eastAsia="Calibri" w:cs="Arial"/>
          <w:sz w:val="24"/>
          <w:szCs w:val="24"/>
          <w:lang w:val="es-ES_tradnl"/>
        </w:rPr>
        <w:t>La unidad administrativa de desarrollo urbano municipal, podrá autorizar la modificación de densidad habitacional a una densidad inmediata mayor o menor, siempre que se acredite que se tiene la capacidad y viabilidad de la infraestructura y los servicios correspondientes.</w:t>
      </w:r>
    </w:p>
    <w:p w:rsidR="000A58C9" w:rsidRPr="00B4140D" w:rsidRDefault="000A58C9" w:rsidP="000A58C9">
      <w:pPr>
        <w:spacing w:line="360" w:lineRule="auto"/>
        <w:rPr>
          <w:rFonts w:eastAsia="Calibri" w:cs="Arial"/>
          <w:sz w:val="24"/>
          <w:szCs w:val="24"/>
          <w:lang w:val="es-ES_tradnl"/>
        </w:rPr>
      </w:pPr>
    </w:p>
    <w:p w:rsidR="000A58C9" w:rsidRPr="00B4140D" w:rsidRDefault="000A58C9" w:rsidP="000A58C9">
      <w:pPr>
        <w:spacing w:line="360" w:lineRule="auto"/>
        <w:rPr>
          <w:rFonts w:eastAsia="Calibri" w:cs="Arial"/>
          <w:sz w:val="24"/>
          <w:szCs w:val="24"/>
        </w:rPr>
      </w:pPr>
      <w:r w:rsidRPr="00B4140D">
        <w:rPr>
          <w:rFonts w:eastAsia="Calibri" w:cs="Arial"/>
          <w:b/>
          <w:bCs/>
          <w:sz w:val="24"/>
          <w:szCs w:val="24"/>
        </w:rPr>
        <w:t xml:space="preserve">Artículo </w:t>
      </w:r>
      <w:r w:rsidRPr="00B4140D">
        <w:rPr>
          <w:rFonts w:eastAsia="Calibri" w:cs="Arial"/>
          <w:b/>
          <w:sz w:val="24"/>
          <w:szCs w:val="24"/>
        </w:rPr>
        <w:t xml:space="preserve">158. </w:t>
      </w:r>
      <w:r w:rsidRPr="00B4140D">
        <w:rPr>
          <w:rFonts w:eastAsia="Calibri" w:cs="Arial"/>
          <w:sz w:val="24"/>
          <w:szCs w:val="24"/>
        </w:rPr>
        <w:t>...</w:t>
      </w:r>
    </w:p>
    <w:p w:rsidR="000A58C9" w:rsidRPr="00B4140D" w:rsidRDefault="000A58C9" w:rsidP="000A58C9">
      <w:pPr>
        <w:spacing w:line="360" w:lineRule="auto"/>
        <w:rPr>
          <w:rFonts w:eastAsia="Calibri" w:cs="Arial"/>
          <w:sz w:val="24"/>
          <w:szCs w:val="24"/>
        </w:rPr>
      </w:pPr>
    </w:p>
    <w:p w:rsidR="000A58C9" w:rsidRPr="00B4140D" w:rsidRDefault="000A58C9" w:rsidP="000A58C9">
      <w:pPr>
        <w:tabs>
          <w:tab w:val="left" w:pos="851"/>
        </w:tabs>
        <w:spacing w:line="360" w:lineRule="auto"/>
        <w:rPr>
          <w:rFonts w:eastAsia="Calibri" w:cs="Arial"/>
          <w:sz w:val="24"/>
          <w:szCs w:val="24"/>
        </w:rPr>
      </w:pPr>
      <w:r w:rsidRPr="00B4140D">
        <w:rPr>
          <w:rFonts w:eastAsia="Calibri" w:cs="Arial"/>
          <w:b/>
          <w:sz w:val="24"/>
          <w:szCs w:val="24"/>
        </w:rPr>
        <w:t>I.</w:t>
      </w:r>
      <w:r w:rsidRPr="00B4140D">
        <w:rPr>
          <w:rFonts w:eastAsia="Calibri" w:cs="Arial"/>
          <w:sz w:val="24"/>
          <w:szCs w:val="24"/>
        </w:rPr>
        <w:t xml:space="preserve"> a </w:t>
      </w:r>
      <w:r w:rsidRPr="00B4140D">
        <w:rPr>
          <w:rFonts w:eastAsia="Calibri" w:cs="Arial"/>
          <w:b/>
          <w:sz w:val="24"/>
          <w:szCs w:val="24"/>
        </w:rPr>
        <w:t>V.</w:t>
      </w:r>
      <w:r w:rsidRPr="00B4140D">
        <w:rPr>
          <w:rFonts w:eastAsia="Calibri" w:cs="Arial"/>
          <w:sz w:val="24"/>
          <w:szCs w:val="24"/>
        </w:rPr>
        <w:t xml:space="preserve"> …</w:t>
      </w:r>
    </w:p>
    <w:p w:rsidR="000A58C9" w:rsidRPr="00B4140D" w:rsidRDefault="000A58C9" w:rsidP="000A58C9"/>
    <w:p w:rsidR="000A58C9" w:rsidRPr="00B4140D" w:rsidRDefault="000A58C9" w:rsidP="000A58C9">
      <w:pPr>
        <w:tabs>
          <w:tab w:val="left" w:pos="851"/>
        </w:tabs>
        <w:spacing w:line="360" w:lineRule="auto"/>
        <w:rPr>
          <w:rFonts w:eastAsia="Calibri" w:cs="Arial"/>
          <w:sz w:val="24"/>
          <w:szCs w:val="24"/>
        </w:rPr>
      </w:pPr>
      <w:r w:rsidRPr="00B4140D">
        <w:rPr>
          <w:rFonts w:eastAsia="Calibri" w:cs="Arial"/>
          <w:b/>
          <w:sz w:val="24"/>
          <w:szCs w:val="24"/>
        </w:rPr>
        <w:t>VI.</w:t>
      </w:r>
      <w:r w:rsidRPr="00B4140D">
        <w:rPr>
          <w:rFonts w:eastAsia="Calibri" w:cs="Arial"/>
          <w:sz w:val="24"/>
          <w:szCs w:val="24"/>
        </w:rPr>
        <w:t xml:space="preserve"> Las constancias de factibilidad, que de conformidad con las disposiciones aplicables, sean necesarias para los efectos de este artículo; </w:t>
      </w:r>
    </w:p>
    <w:p w:rsidR="000A58C9" w:rsidRPr="00B4140D" w:rsidRDefault="000A58C9" w:rsidP="000A58C9"/>
    <w:p w:rsidR="000A58C9" w:rsidRPr="00B4140D" w:rsidRDefault="000A58C9" w:rsidP="000A58C9">
      <w:pPr>
        <w:tabs>
          <w:tab w:val="left" w:pos="851"/>
        </w:tabs>
        <w:spacing w:line="360" w:lineRule="auto"/>
        <w:rPr>
          <w:rFonts w:eastAsia="Calibri" w:cs="Arial"/>
          <w:sz w:val="24"/>
          <w:szCs w:val="24"/>
        </w:rPr>
      </w:pPr>
      <w:r w:rsidRPr="00B4140D">
        <w:rPr>
          <w:rFonts w:eastAsia="Calibri" w:cs="Arial"/>
          <w:b/>
          <w:sz w:val="24"/>
          <w:szCs w:val="24"/>
        </w:rPr>
        <w:t>VII.</w:t>
      </w:r>
      <w:r w:rsidRPr="00B4140D">
        <w:rPr>
          <w:rFonts w:eastAsia="Calibri" w:cs="Arial"/>
          <w:sz w:val="24"/>
          <w:szCs w:val="24"/>
        </w:rPr>
        <w:t xml:space="preserve"> a </w:t>
      </w:r>
      <w:r w:rsidRPr="00B4140D">
        <w:rPr>
          <w:rFonts w:eastAsia="Calibri" w:cs="Arial"/>
          <w:b/>
          <w:sz w:val="24"/>
          <w:szCs w:val="24"/>
        </w:rPr>
        <w:t xml:space="preserve">XIII. </w:t>
      </w:r>
      <w:r w:rsidRPr="00B4140D">
        <w:rPr>
          <w:rFonts w:eastAsia="Calibri" w:cs="Arial"/>
          <w:sz w:val="24"/>
          <w:szCs w:val="24"/>
        </w:rPr>
        <w:t>…</w:t>
      </w:r>
    </w:p>
    <w:p w:rsidR="000A58C9" w:rsidRPr="00B4140D" w:rsidRDefault="000A58C9" w:rsidP="000A58C9">
      <w:pPr>
        <w:spacing w:line="360" w:lineRule="auto"/>
        <w:ind w:left="1068"/>
        <w:contextualSpacing/>
        <w:rPr>
          <w:rFonts w:eastAsia="Calibri" w:cs="Arial"/>
          <w:sz w:val="24"/>
          <w:szCs w:val="24"/>
        </w:rPr>
      </w:pPr>
    </w:p>
    <w:p w:rsidR="000A58C9" w:rsidRPr="00B4140D" w:rsidRDefault="000A58C9" w:rsidP="000A58C9">
      <w:pPr>
        <w:spacing w:line="360" w:lineRule="auto"/>
        <w:rPr>
          <w:rFonts w:eastAsia="Calibri" w:cs="Arial"/>
          <w:sz w:val="24"/>
          <w:szCs w:val="24"/>
        </w:rPr>
      </w:pPr>
      <w:r w:rsidRPr="00B4140D">
        <w:rPr>
          <w:rFonts w:eastAsia="Calibri" w:cs="Arial"/>
          <w:sz w:val="24"/>
          <w:szCs w:val="24"/>
        </w:rPr>
        <w:t>…</w:t>
      </w:r>
    </w:p>
    <w:p w:rsidR="000A58C9" w:rsidRPr="00B4140D" w:rsidRDefault="000A58C9" w:rsidP="000A58C9"/>
    <w:p w:rsidR="000A58C9" w:rsidRPr="00B4140D" w:rsidRDefault="000A58C9" w:rsidP="000A58C9">
      <w:pPr>
        <w:spacing w:line="360" w:lineRule="auto"/>
        <w:rPr>
          <w:rFonts w:eastAsia="Calibri" w:cs="Arial"/>
          <w:color w:val="0D0D0D"/>
          <w:sz w:val="24"/>
          <w:szCs w:val="24"/>
        </w:rPr>
      </w:pPr>
      <w:r w:rsidRPr="00B4140D">
        <w:rPr>
          <w:rFonts w:eastAsia="Calibri" w:cs="Arial"/>
          <w:sz w:val="24"/>
          <w:szCs w:val="24"/>
        </w:rPr>
        <w:t>…</w:t>
      </w:r>
    </w:p>
    <w:p w:rsidR="000A58C9" w:rsidRPr="00B4140D" w:rsidRDefault="000A58C9" w:rsidP="000A58C9"/>
    <w:p w:rsidR="000A58C9" w:rsidRPr="00B4140D" w:rsidRDefault="000A58C9" w:rsidP="000A58C9">
      <w:pPr>
        <w:spacing w:line="360" w:lineRule="auto"/>
        <w:rPr>
          <w:rFonts w:eastAsia="Calibri" w:cs="Arial"/>
          <w:sz w:val="24"/>
          <w:szCs w:val="24"/>
        </w:rPr>
      </w:pPr>
      <w:r w:rsidRPr="00B4140D">
        <w:rPr>
          <w:rFonts w:eastAsia="Calibri" w:cs="Arial"/>
          <w:sz w:val="24"/>
          <w:szCs w:val="24"/>
        </w:rPr>
        <w:t>…</w:t>
      </w:r>
    </w:p>
    <w:p w:rsidR="000A58C9" w:rsidRPr="00B4140D" w:rsidRDefault="000A58C9" w:rsidP="000A58C9"/>
    <w:p w:rsidR="000A58C9" w:rsidRPr="000A58C9" w:rsidRDefault="000A58C9" w:rsidP="000A58C9">
      <w:pPr>
        <w:spacing w:line="360" w:lineRule="auto"/>
        <w:rPr>
          <w:rFonts w:eastAsia="Calibri" w:cs="Arial"/>
          <w:sz w:val="24"/>
          <w:szCs w:val="24"/>
        </w:rPr>
      </w:pPr>
      <w:r w:rsidRPr="00B4140D">
        <w:rPr>
          <w:rFonts w:eastAsia="Calibri" w:cs="Arial"/>
          <w:sz w:val="24"/>
          <w:szCs w:val="24"/>
        </w:rPr>
        <w:t xml:space="preserve">La constancia de factibilidad educativa emitida por el Instituto Coahuilense de la Infraestructura Física Educativa en los casos de licencias de fraccionamientos, deberá obtenerse, cuando sea </w:t>
      </w:r>
      <w:r w:rsidRPr="00B4140D">
        <w:rPr>
          <w:rFonts w:eastAsia="Calibri" w:cs="Arial"/>
          <w:sz w:val="24"/>
          <w:szCs w:val="24"/>
        </w:rPr>
        <w:lastRenderedPageBreak/>
        <w:t>necesaria para la construcción de espacios educativos, por la autoridad municipal, de conformidad con el párrafo tercero de la fracción III del artículo 197 y el párrafo tercero de la fracción III del artículo 198 de esta Ley y demás disposiciones aplicables.</w:t>
      </w:r>
    </w:p>
    <w:p w:rsidR="000A58C9" w:rsidRPr="00B4140D" w:rsidRDefault="000A58C9" w:rsidP="000A58C9">
      <w:pPr>
        <w:spacing w:line="360" w:lineRule="auto"/>
        <w:rPr>
          <w:rFonts w:eastAsia="Calibri" w:cs="Arial"/>
          <w:sz w:val="24"/>
          <w:szCs w:val="24"/>
          <w:lang w:val="es-ES_tradnl"/>
        </w:rPr>
      </w:pPr>
      <w:r w:rsidRPr="00B4140D">
        <w:rPr>
          <w:rFonts w:eastAsia="Calibri" w:cs="Arial"/>
          <w:b/>
          <w:bCs/>
          <w:sz w:val="24"/>
          <w:szCs w:val="24"/>
          <w:lang w:val="es-ES_tradnl"/>
        </w:rPr>
        <w:t>Artículo 191.</w:t>
      </w:r>
      <w:r w:rsidRPr="00B4140D">
        <w:rPr>
          <w:rFonts w:eastAsia="Calibri" w:cs="Arial"/>
          <w:bCs/>
          <w:sz w:val="24"/>
          <w:szCs w:val="24"/>
          <w:lang w:val="es-ES_tradnl"/>
        </w:rPr>
        <w:t xml:space="preserve"> </w:t>
      </w:r>
      <w:r w:rsidRPr="00B4140D">
        <w:rPr>
          <w:rFonts w:eastAsia="Calibri" w:cs="Arial"/>
          <w:sz w:val="24"/>
          <w:szCs w:val="24"/>
          <w:lang w:val="es-ES_tradnl"/>
        </w:rPr>
        <w:t>...</w:t>
      </w:r>
    </w:p>
    <w:p w:rsidR="000A58C9" w:rsidRPr="00B4140D" w:rsidRDefault="000A58C9" w:rsidP="000A58C9"/>
    <w:p w:rsidR="000A58C9" w:rsidRPr="00B4140D" w:rsidRDefault="000A58C9" w:rsidP="000A58C9">
      <w:pPr>
        <w:spacing w:line="360" w:lineRule="auto"/>
        <w:rPr>
          <w:rFonts w:eastAsia="Calibri" w:cs="Arial"/>
          <w:sz w:val="24"/>
          <w:szCs w:val="24"/>
        </w:rPr>
      </w:pPr>
      <w:r w:rsidRPr="00B4140D">
        <w:rPr>
          <w:rFonts w:eastAsia="Calibri" w:cs="Arial"/>
          <w:sz w:val="24"/>
          <w:szCs w:val="24"/>
        </w:rPr>
        <w:t>Los fraccionamientos habitacionales urbanos de cualquiera de las densidades que se prevén en el artículo 166 de esta ley, estarán ubicados en las zonas, y como mínimo, con las características de lotificación, usos de suelo, cesión de áreas, vialidad e infraestructura urbana, que se establezcan en el plan director de desarrollo urbano del centro de población correspondiente y/o en los reglamentos municipales de la materia, por lo que no les serán aplicables los artículos 192 a 199 de esta Ley.</w:t>
      </w:r>
    </w:p>
    <w:p w:rsidR="000A58C9" w:rsidRPr="00B4140D" w:rsidRDefault="000A58C9" w:rsidP="000A58C9"/>
    <w:p w:rsidR="000A58C9" w:rsidRPr="00B4140D" w:rsidRDefault="000A58C9" w:rsidP="000A58C9">
      <w:pPr>
        <w:spacing w:line="360" w:lineRule="auto"/>
        <w:rPr>
          <w:rFonts w:eastAsia="Calibri" w:cs="Arial"/>
          <w:b/>
          <w:sz w:val="24"/>
          <w:szCs w:val="24"/>
        </w:rPr>
      </w:pPr>
      <w:r w:rsidRPr="00B4140D">
        <w:rPr>
          <w:rFonts w:eastAsia="Calibri" w:cs="Arial"/>
          <w:sz w:val="24"/>
          <w:szCs w:val="24"/>
        </w:rPr>
        <w:t>Cuando el plan director de desarrollo urbano de algún centro de población y/o los reglamentos municipales de la materia, no contemple las características a que se refiere el párrafo anterior, se deberá cumplir con lo dispuesto en el presente capítulo.</w:t>
      </w:r>
    </w:p>
    <w:p w:rsidR="000A58C9" w:rsidRPr="00B4140D" w:rsidRDefault="000A58C9" w:rsidP="000A58C9">
      <w:pPr>
        <w:spacing w:line="360" w:lineRule="auto"/>
        <w:rPr>
          <w:rFonts w:eastAsia="Calibri" w:cs="Arial"/>
          <w:sz w:val="24"/>
          <w:szCs w:val="24"/>
        </w:rPr>
      </w:pPr>
    </w:p>
    <w:p w:rsidR="000A58C9" w:rsidRPr="00B4140D" w:rsidRDefault="000A58C9" w:rsidP="000A58C9">
      <w:pPr>
        <w:spacing w:line="360" w:lineRule="auto"/>
        <w:rPr>
          <w:rFonts w:eastAsia="Calibri" w:cs="Arial"/>
          <w:sz w:val="24"/>
          <w:szCs w:val="24"/>
        </w:rPr>
      </w:pPr>
      <w:r w:rsidRPr="00B4140D">
        <w:rPr>
          <w:rFonts w:eastAsia="Calibri" w:cs="Arial"/>
          <w:b/>
          <w:sz w:val="24"/>
          <w:szCs w:val="24"/>
        </w:rPr>
        <w:t>ARTÍCULO SEGUNDO.</w:t>
      </w:r>
      <w:r w:rsidRPr="00B4140D">
        <w:rPr>
          <w:rFonts w:eastAsia="Calibri" w:cs="Arial"/>
          <w:sz w:val="24"/>
          <w:szCs w:val="24"/>
        </w:rPr>
        <w:t xml:space="preserve"> Se </w:t>
      </w:r>
      <w:r w:rsidRPr="00B4140D">
        <w:rPr>
          <w:rFonts w:eastAsia="Calibri" w:cs="Arial"/>
          <w:b/>
          <w:sz w:val="24"/>
          <w:szCs w:val="24"/>
        </w:rPr>
        <w:t>adicionan</w:t>
      </w:r>
      <w:r w:rsidRPr="00B4140D">
        <w:rPr>
          <w:rFonts w:eastAsia="Calibri" w:cs="Arial"/>
          <w:sz w:val="24"/>
          <w:szCs w:val="24"/>
        </w:rPr>
        <w:t xml:space="preserve"> los párrafos tercero y cuarto al artículo 8, de la Ley de Protección Civil para el Estado de Coahuila de Zaragoza, para quedar como sigue:</w:t>
      </w:r>
    </w:p>
    <w:p w:rsidR="000A58C9" w:rsidRPr="00B4140D" w:rsidRDefault="000A58C9" w:rsidP="000A58C9">
      <w:pPr>
        <w:spacing w:line="360" w:lineRule="auto"/>
        <w:rPr>
          <w:rFonts w:eastAsia="Calibri" w:cs="Arial"/>
          <w:b/>
          <w:bCs/>
          <w:sz w:val="24"/>
          <w:szCs w:val="24"/>
        </w:rPr>
      </w:pPr>
    </w:p>
    <w:p w:rsidR="000A58C9" w:rsidRPr="00B4140D" w:rsidRDefault="000A58C9" w:rsidP="000A58C9">
      <w:pPr>
        <w:spacing w:line="360" w:lineRule="auto"/>
        <w:rPr>
          <w:rFonts w:cs="Arial"/>
          <w:sz w:val="24"/>
          <w:szCs w:val="24"/>
        </w:rPr>
      </w:pPr>
      <w:r w:rsidRPr="00B4140D">
        <w:rPr>
          <w:rFonts w:cs="Arial"/>
          <w:b/>
          <w:sz w:val="24"/>
          <w:szCs w:val="24"/>
        </w:rPr>
        <w:t>ARTÍCULO 8.-</w:t>
      </w:r>
      <w:r w:rsidRPr="00B4140D">
        <w:rPr>
          <w:rFonts w:cs="Arial"/>
          <w:sz w:val="24"/>
          <w:szCs w:val="24"/>
        </w:rPr>
        <w:t xml:space="preserve"> … </w:t>
      </w:r>
    </w:p>
    <w:p w:rsidR="000A58C9" w:rsidRPr="00B4140D" w:rsidRDefault="000A58C9" w:rsidP="000A58C9">
      <w:pPr>
        <w:spacing w:line="360" w:lineRule="auto"/>
        <w:rPr>
          <w:rFonts w:cs="Arial"/>
          <w:sz w:val="24"/>
          <w:szCs w:val="24"/>
        </w:rPr>
      </w:pPr>
    </w:p>
    <w:p w:rsidR="000A58C9" w:rsidRPr="00B4140D" w:rsidRDefault="000A58C9" w:rsidP="000A58C9">
      <w:pPr>
        <w:spacing w:line="360" w:lineRule="auto"/>
        <w:rPr>
          <w:rFonts w:cs="Arial"/>
          <w:sz w:val="24"/>
          <w:szCs w:val="24"/>
        </w:rPr>
      </w:pPr>
      <w:r w:rsidRPr="00B4140D">
        <w:rPr>
          <w:rFonts w:cs="Arial"/>
          <w:sz w:val="24"/>
          <w:szCs w:val="24"/>
        </w:rPr>
        <w:t xml:space="preserve">… </w:t>
      </w:r>
    </w:p>
    <w:p w:rsidR="000A58C9" w:rsidRPr="00B4140D" w:rsidRDefault="000A58C9" w:rsidP="000A58C9">
      <w:pPr>
        <w:spacing w:line="360" w:lineRule="auto"/>
        <w:rPr>
          <w:rFonts w:cs="Arial"/>
          <w:sz w:val="24"/>
          <w:szCs w:val="24"/>
        </w:rPr>
      </w:pPr>
    </w:p>
    <w:p w:rsidR="000A58C9" w:rsidRPr="00B4140D" w:rsidRDefault="000A58C9" w:rsidP="000A58C9">
      <w:pPr>
        <w:spacing w:line="360" w:lineRule="auto"/>
        <w:rPr>
          <w:rFonts w:cs="Arial"/>
          <w:sz w:val="24"/>
          <w:szCs w:val="24"/>
        </w:rPr>
      </w:pPr>
      <w:r w:rsidRPr="00B4140D">
        <w:rPr>
          <w:rFonts w:cs="Arial"/>
          <w:sz w:val="24"/>
          <w:szCs w:val="24"/>
        </w:rPr>
        <w:t>Los ayuntamientos podrán suscribir convenios de coordinación con el Estado a través de la Secretaría de Gobierno, para que asuman la función relativa a la expedición de constancias de factibilidad en materia de protección civil. Dichos convenios serán publicados en el Periódico Oficial del Gobierno del Estado.</w:t>
      </w:r>
    </w:p>
    <w:p w:rsidR="000A58C9" w:rsidRPr="00B4140D" w:rsidRDefault="000A58C9" w:rsidP="000A58C9">
      <w:pPr>
        <w:tabs>
          <w:tab w:val="left" w:pos="5393"/>
        </w:tabs>
        <w:spacing w:line="360" w:lineRule="auto"/>
        <w:rPr>
          <w:rFonts w:cs="Arial"/>
          <w:b/>
          <w:sz w:val="24"/>
          <w:szCs w:val="24"/>
          <w:lang w:val="es-ES_tradnl" w:eastAsia="es-ES_tradnl"/>
        </w:rPr>
      </w:pPr>
    </w:p>
    <w:p w:rsidR="000A58C9" w:rsidRPr="00B4140D" w:rsidRDefault="000A58C9" w:rsidP="000A58C9">
      <w:pPr>
        <w:tabs>
          <w:tab w:val="left" w:pos="5393"/>
        </w:tabs>
        <w:spacing w:line="360" w:lineRule="auto"/>
        <w:rPr>
          <w:rFonts w:cs="Arial"/>
          <w:sz w:val="24"/>
          <w:szCs w:val="24"/>
          <w:lang w:eastAsia="es-ES_tradnl"/>
        </w:rPr>
      </w:pPr>
      <w:r w:rsidRPr="00B4140D">
        <w:rPr>
          <w:rFonts w:cs="Arial"/>
          <w:sz w:val="24"/>
          <w:szCs w:val="24"/>
          <w:lang w:eastAsia="es-ES_tradnl"/>
        </w:rPr>
        <w:lastRenderedPageBreak/>
        <w:t>Los municipios deberán informar a la Secretaría de Gobierno, dentro de los cinco días hábiles siguientes, los trámites que realicen derivados del ejercicio de las funciones asumidas en virtud de los convenios de coordinación a que se refiere el párrafo anterior.</w:t>
      </w:r>
    </w:p>
    <w:p w:rsidR="000A58C9" w:rsidRPr="00B4140D" w:rsidRDefault="000A58C9" w:rsidP="000A58C9">
      <w:pPr>
        <w:tabs>
          <w:tab w:val="left" w:pos="5393"/>
        </w:tabs>
        <w:spacing w:line="360" w:lineRule="auto"/>
        <w:rPr>
          <w:rFonts w:cs="Arial"/>
          <w:b/>
          <w:sz w:val="24"/>
          <w:szCs w:val="24"/>
          <w:lang w:eastAsia="es-ES_tradnl"/>
        </w:rPr>
      </w:pPr>
    </w:p>
    <w:p w:rsidR="000A58C9" w:rsidRPr="00B4140D" w:rsidRDefault="000A58C9" w:rsidP="000A58C9">
      <w:pPr>
        <w:tabs>
          <w:tab w:val="left" w:pos="5393"/>
        </w:tabs>
        <w:spacing w:line="360" w:lineRule="auto"/>
        <w:rPr>
          <w:rFonts w:cs="Arial"/>
          <w:b/>
          <w:sz w:val="24"/>
          <w:szCs w:val="24"/>
          <w:lang w:eastAsia="es-ES_tradnl"/>
        </w:rPr>
      </w:pPr>
    </w:p>
    <w:p w:rsidR="000A58C9" w:rsidRPr="00B4140D" w:rsidRDefault="000A58C9" w:rsidP="000A58C9">
      <w:pPr>
        <w:spacing w:line="360" w:lineRule="auto"/>
        <w:rPr>
          <w:rFonts w:eastAsia="Calibri" w:cs="Arial"/>
          <w:sz w:val="24"/>
          <w:szCs w:val="24"/>
        </w:rPr>
      </w:pPr>
      <w:bookmarkStart w:id="0" w:name="_GoBack"/>
      <w:r w:rsidRPr="00B4140D">
        <w:rPr>
          <w:rFonts w:eastAsia="Calibri" w:cs="Arial"/>
          <w:b/>
          <w:sz w:val="24"/>
          <w:szCs w:val="24"/>
        </w:rPr>
        <w:t xml:space="preserve">ARTÍCULO TERCERO. </w:t>
      </w:r>
      <w:r w:rsidRPr="00B4140D">
        <w:rPr>
          <w:rFonts w:eastAsia="Calibri" w:cs="Arial"/>
          <w:sz w:val="24"/>
          <w:szCs w:val="24"/>
        </w:rPr>
        <w:t xml:space="preserve">Se </w:t>
      </w:r>
      <w:r w:rsidRPr="00B4140D">
        <w:rPr>
          <w:rFonts w:eastAsia="Calibri" w:cs="Arial"/>
          <w:b/>
          <w:sz w:val="24"/>
          <w:szCs w:val="24"/>
        </w:rPr>
        <w:t xml:space="preserve">reforma </w:t>
      </w:r>
      <w:r w:rsidRPr="00B4140D">
        <w:rPr>
          <w:rFonts w:eastAsia="Calibri" w:cs="Arial"/>
          <w:sz w:val="24"/>
          <w:szCs w:val="24"/>
        </w:rPr>
        <w:t>el artículo 13, de la Ley del Equilibrio Ecológico y la Protección al Ambiente del Estado de Coahuila de Zaragoza</w:t>
      </w:r>
      <w:bookmarkEnd w:id="0"/>
      <w:r w:rsidRPr="00B4140D">
        <w:rPr>
          <w:rFonts w:eastAsia="Calibri" w:cs="Arial"/>
          <w:sz w:val="24"/>
          <w:szCs w:val="24"/>
        </w:rPr>
        <w:t>, para quedar como sigue:</w:t>
      </w:r>
    </w:p>
    <w:p w:rsidR="000A58C9" w:rsidRDefault="000A58C9" w:rsidP="000A58C9">
      <w:pPr>
        <w:tabs>
          <w:tab w:val="left" w:pos="5393"/>
        </w:tabs>
        <w:spacing w:line="360" w:lineRule="auto"/>
        <w:rPr>
          <w:rFonts w:eastAsia="Calibri" w:cs="Arial"/>
          <w:sz w:val="16"/>
          <w:szCs w:val="16"/>
        </w:rPr>
      </w:pPr>
    </w:p>
    <w:p w:rsidR="000A58C9" w:rsidRPr="000A58C9" w:rsidRDefault="000A58C9" w:rsidP="000A58C9">
      <w:pPr>
        <w:tabs>
          <w:tab w:val="left" w:pos="5393"/>
        </w:tabs>
        <w:spacing w:line="360" w:lineRule="auto"/>
        <w:rPr>
          <w:rFonts w:eastAsia="Calibri" w:cs="Arial"/>
          <w:sz w:val="16"/>
          <w:szCs w:val="16"/>
        </w:rPr>
      </w:pPr>
    </w:p>
    <w:p w:rsidR="000A58C9" w:rsidRPr="00B4140D" w:rsidRDefault="000A58C9" w:rsidP="000A58C9">
      <w:pPr>
        <w:tabs>
          <w:tab w:val="left" w:pos="5393"/>
        </w:tabs>
        <w:spacing w:line="360" w:lineRule="auto"/>
        <w:rPr>
          <w:rFonts w:eastAsia="Calibri" w:cs="Arial"/>
          <w:sz w:val="24"/>
          <w:szCs w:val="24"/>
        </w:rPr>
      </w:pPr>
      <w:r w:rsidRPr="00B4140D">
        <w:rPr>
          <w:rFonts w:eastAsia="Calibri" w:cs="Arial"/>
          <w:b/>
          <w:bCs/>
          <w:sz w:val="24"/>
          <w:szCs w:val="24"/>
        </w:rPr>
        <w:t>ARTÍCULO 13.-</w:t>
      </w:r>
      <w:r w:rsidRPr="00B4140D">
        <w:rPr>
          <w:rFonts w:eastAsia="Calibri" w:cs="Arial"/>
          <w:sz w:val="24"/>
          <w:szCs w:val="24"/>
        </w:rPr>
        <w:t xml:space="preserve"> El Ejecutivo del Estado y las autoridades competentes de los municipios podrán celebrar acuerdos de coordinación para la realización de acciones conjuntas en materia de educación, conservación y desarrollo ecológico y protección al ambiente.</w:t>
      </w:r>
    </w:p>
    <w:p w:rsidR="000A58C9" w:rsidRDefault="000A58C9" w:rsidP="000A58C9">
      <w:pPr>
        <w:tabs>
          <w:tab w:val="left" w:pos="5393"/>
        </w:tabs>
        <w:spacing w:line="360" w:lineRule="auto"/>
      </w:pPr>
    </w:p>
    <w:p w:rsidR="000A58C9" w:rsidRDefault="000A58C9" w:rsidP="000A58C9">
      <w:pPr>
        <w:tabs>
          <w:tab w:val="left" w:pos="5393"/>
        </w:tabs>
        <w:spacing w:line="360" w:lineRule="auto"/>
      </w:pPr>
    </w:p>
    <w:p w:rsidR="000A58C9" w:rsidRPr="00B4140D" w:rsidRDefault="000A58C9" w:rsidP="000A58C9">
      <w:pPr>
        <w:tabs>
          <w:tab w:val="left" w:pos="5393"/>
        </w:tabs>
        <w:spacing w:line="360" w:lineRule="auto"/>
        <w:rPr>
          <w:rFonts w:eastAsia="Calibri" w:cs="Arial"/>
          <w:sz w:val="24"/>
          <w:szCs w:val="24"/>
        </w:rPr>
      </w:pPr>
      <w:r w:rsidRPr="00B4140D">
        <w:rPr>
          <w:rFonts w:eastAsia="Calibri" w:cs="Arial"/>
          <w:sz w:val="24"/>
          <w:szCs w:val="24"/>
        </w:rPr>
        <w:t xml:space="preserve">Los ayuntamientos podrán suscribir convenios de coordinación con el Estado a través de la Secretaría, para que asuman la función relativa a la evaluación del impacto ambiental, cuando este se requiera para conjuntos habitacionales, fraccionamientos y nuevos centros de población. Dichos convenios serán publicados en el Periódico Oficial del Gobierno del Estado. </w:t>
      </w:r>
    </w:p>
    <w:p w:rsidR="000A58C9" w:rsidRPr="000A58C9" w:rsidRDefault="000A58C9" w:rsidP="000A58C9">
      <w:pPr>
        <w:rPr>
          <w:sz w:val="16"/>
          <w:szCs w:val="16"/>
        </w:rPr>
      </w:pPr>
    </w:p>
    <w:p w:rsidR="000A58C9" w:rsidRDefault="000A58C9" w:rsidP="000A58C9">
      <w:pPr>
        <w:tabs>
          <w:tab w:val="left" w:pos="5393"/>
        </w:tabs>
        <w:spacing w:line="360" w:lineRule="auto"/>
        <w:rPr>
          <w:rFonts w:eastAsia="Calibri" w:cs="Arial"/>
          <w:sz w:val="24"/>
          <w:szCs w:val="24"/>
        </w:rPr>
      </w:pPr>
    </w:p>
    <w:p w:rsidR="000A58C9" w:rsidRPr="00B4140D" w:rsidRDefault="000A58C9" w:rsidP="000A58C9">
      <w:pPr>
        <w:tabs>
          <w:tab w:val="left" w:pos="5393"/>
        </w:tabs>
        <w:spacing w:line="360" w:lineRule="auto"/>
        <w:rPr>
          <w:rFonts w:eastAsia="Calibri" w:cs="Arial"/>
          <w:sz w:val="24"/>
          <w:szCs w:val="24"/>
        </w:rPr>
      </w:pPr>
      <w:r w:rsidRPr="00B4140D">
        <w:rPr>
          <w:rFonts w:eastAsia="Calibri" w:cs="Arial"/>
          <w:sz w:val="24"/>
          <w:szCs w:val="24"/>
        </w:rPr>
        <w:t>Los municipios deberán informar a la Secretaría, dentro de los cinco días hábiles siguientes, los trámites que realicen derivados del ejercicio de las funciones asumidas en virtud de los convenios de coordinación a que se refiere el párrafo anterior.</w:t>
      </w:r>
    </w:p>
    <w:p w:rsidR="000A58C9" w:rsidRPr="00B4140D" w:rsidRDefault="000A58C9" w:rsidP="000A58C9"/>
    <w:p w:rsidR="000A58C9" w:rsidRPr="000A58C9" w:rsidRDefault="000A58C9" w:rsidP="000A58C9">
      <w:pPr>
        <w:tabs>
          <w:tab w:val="left" w:pos="5393"/>
        </w:tabs>
        <w:spacing w:line="360" w:lineRule="auto"/>
        <w:rPr>
          <w:rFonts w:eastAsia="Calibri" w:cs="Arial"/>
          <w:sz w:val="16"/>
          <w:szCs w:val="16"/>
        </w:rPr>
      </w:pPr>
    </w:p>
    <w:p w:rsidR="000A58C9" w:rsidRPr="00B4140D" w:rsidRDefault="000A58C9" w:rsidP="000A58C9">
      <w:pPr>
        <w:tabs>
          <w:tab w:val="left" w:pos="5393"/>
        </w:tabs>
        <w:spacing w:line="360" w:lineRule="auto"/>
        <w:rPr>
          <w:rFonts w:eastAsia="Calibri" w:cs="Arial"/>
          <w:sz w:val="24"/>
          <w:szCs w:val="24"/>
        </w:rPr>
      </w:pPr>
      <w:r w:rsidRPr="00B4140D">
        <w:rPr>
          <w:rFonts w:eastAsia="Calibri" w:cs="Arial"/>
          <w:sz w:val="24"/>
          <w:szCs w:val="24"/>
        </w:rPr>
        <w:t>El Estado y los municipios podrán suscribir convenios de concertación con los sectores social y privado, para los efectos citados en el párrafo primero.</w:t>
      </w:r>
    </w:p>
    <w:p w:rsidR="000A58C9" w:rsidRPr="00B4140D" w:rsidRDefault="000A58C9" w:rsidP="000A58C9">
      <w:pPr>
        <w:tabs>
          <w:tab w:val="left" w:pos="5393"/>
        </w:tabs>
        <w:spacing w:line="360" w:lineRule="auto"/>
        <w:rPr>
          <w:rFonts w:eastAsia="Calibri" w:cs="Arial"/>
          <w:sz w:val="24"/>
          <w:szCs w:val="24"/>
        </w:rPr>
      </w:pPr>
    </w:p>
    <w:p w:rsidR="000A58C9" w:rsidRPr="00B4140D" w:rsidRDefault="000A58C9" w:rsidP="000A58C9">
      <w:pPr>
        <w:tabs>
          <w:tab w:val="left" w:pos="5393"/>
        </w:tabs>
        <w:spacing w:line="360" w:lineRule="auto"/>
        <w:rPr>
          <w:rFonts w:cs="Arial"/>
          <w:b/>
          <w:sz w:val="24"/>
          <w:szCs w:val="24"/>
          <w:lang w:val="es-ES_tradnl" w:eastAsia="es-ES_tradnl"/>
        </w:rPr>
      </w:pPr>
    </w:p>
    <w:p w:rsidR="000A58C9" w:rsidRPr="00FA60EB" w:rsidRDefault="000A58C9" w:rsidP="000A58C9">
      <w:pPr>
        <w:spacing w:line="360" w:lineRule="auto"/>
        <w:jc w:val="center"/>
        <w:rPr>
          <w:rFonts w:eastAsia="Calibri" w:cs="Arial"/>
          <w:b/>
          <w:sz w:val="24"/>
          <w:szCs w:val="24"/>
          <w:lang w:val="en-US"/>
        </w:rPr>
      </w:pPr>
      <w:r w:rsidRPr="00FA60EB">
        <w:rPr>
          <w:rFonts w:eastAsia="Calibri" w:cs="Arial"/>
          <w:b/>
          <w:sz w:val="24"/>
          <w:szCs w:val="24"/>
          <w:lang w:val="en-US"/>
        </w:rPr>
        <w:t>T R A N S I T O R I O S</w:t>
      </w:r>
    </w:p>
    <w:p w:rsidR="000A58C9" w:rsidRPr="00FA60EB" w:rsidRDefault="000A58C9" w:rsidP="000A58C9">
      <w:pPr>
        <w:spacing w:line="360" w:lineRule="auto"/>
        <w:rPr>
          <w:rFonts w:eastAsia="Calibri" w:cs="Arial"/>
          <w:b/>
          <w:sz w:val="24"/>
          <w:szCs w:val="24"/>
          <w:lang w:val="en-US"/>
        </w:rPr>
      </w:pPr>
    </w:p>
    <w:p w:rsidR="000A58C9" w:rsidRPr="00FA60EB" w:rsidRDefault="000A58C9" w:rsidP="000A58C9">
      <w:pPr>
        <w:spacing w:line="360" w:lineRule="auto"/>
        <w:rPr>
          <w:rFonts w:eastAsia="Calibri" w:cs="Arial"/>
          <w:b/>
          <w:sz w:val="24"/>
          <w:szCs w:val="24"/>
          <w:lang w:val="en-US"/>
        </w:rPr>
      </w:pPr>
    </w:p>
    <w:p w:rsidR="000A58C9" w:rsidRPr="00B4140D" w:rsidRDefault="000A58C9" w:rsidP="000A58C9">
      <w:pPr>
        <w:spacing w:line="360" w:lineRule="auto"/>
        <w:rPr>
          <w:rFonts w:eastAsia="Calibri" w:cs="Arial"/>
          <w:sz w:val="24"/>
          <w:szCs w:val="24"/>
        </w:rPr>
      </w:pPr>
      <w:r w:rsidRPr="00B4140D">
        <w:rPr>
          <w:rFonts w:eastAsia="Calibri" w:cs="Arial"/>
          <w:b/>
          <w:sz w:val="24"/>
          <w:szCs w:val="24"/>
        </w:rPr>
        <w:t>ARTÍCULO PRIMERO.</w:t>
      </w:r>
      <w:r>
        <w:rPr>
          <w:rFonts w:eastAsia="Calibri" w:cs="Arial"/>
          <w:b/>
          <w:sz w:val="24"/>
          <w:szCs w:val="24"/>
        </w:rPr>
        <w:t>-</w:t>
      </w:r>
      <w:r w:rsidRPr="00B4140D">
        <w:rPr>
          <w:rFonts w:eastAsia="Calibri" w:cs="Arial"/>
          <w:b/>
          <w:sz w:val="24"/>
          <w:szCs w:val="24"/>
        </w:rPr>
        <w:t xml:space="preserve"> </w:t>
      </w:r>
      <w:r w:rsidRPr="00B4140D">
        <w:rPr>
          <w:rFonts w:eastAsia="Calibri" w:cs="Arial"/>
          <w:sz w:val="24"/>
          <w:szCs w:val="24"/>
        </w:rPr>
        <w:t>El presente decreto entrará en vigor al día siguiente de su publicación en el Periódico Oficial del Gobierno del Estado.</w:t>
      </w:r>
    </w:p>
    <w:p w:rsidR="000A58C9" w:rsidRPr="00B4140D" w:rsidRDefault="000A58C9" w:rsidP="000A58C9">
      <w:pPr>
        <w:spacing w:line="360" w:lineRule="auto"/>
        <w:rPr>
          <w:rFonts w:eastAsia="Calibri" w:cs="Arial"/>
          <w:sz w:val="24"/>
          <w:szCs w:val="24"/>
        </w:rPr>
      </w:pPr>
    </w:p>
    <w:p w:rsidR="000A58C9" w:rsidRPr="00B4140D" w:rsidRDefault="000A58C9" w:rsidP="000A58C9">
      <w:pPr>
        <w:spacing w:line="360" w:lineRule="auto"/>
        <w:rPr>
          <w:rFonts w:eastAsia="Calibri" w:cs="Arial"/>
          <w:sz w:val="24"/>
          <w:szCs w:val="24"/>
        </w:rPr>
      </w:pPr>
    </w:p>
    <w:p w:rsidR="000A58C9" w:rsidRPr="00B4140D" w:rsidRDefault="000A58C9" w:rsidP="000A58C9">
      <w:pPr>
        <w:spacing w:line="360" w:lineRule="auto"/>
        <w:rPr>
          <w:rFonts w:eastAsia="Calibri" w:cs="Arial"/>
          <w:sz w:val="24"/>
          <w:szCs w:val="24"/>
        </w:rPr>
      </w:pPr>
      <w:r w:rsidRPr="00B4140D">
        <w:rPr>
          <w:rFonts w:eastAsia="Calibri" w:cs="Arial"/>
          <w:b/>
          <w:sz w:val="24"/>
          <w:szCs w:val="24"/>
        </w:rPr>
        <w:t>ARTÍCULO SEGUNDO.</w:t>
      </w:r>
      <w:r>
        <w:rPr>
          <w:rFonts w:eastAsia="Calibri" w:cs="Arial"/>
          <w:b/>
          <w:sz w:val="24"/>
          <w:szCs w:val="24"/>
        </w:rPr>
        <w:t>-</w:t>
      </w:r>
      <w:r w:rsidRPr="00B4140D">
        <w:rPr>
          <w:rFonts w:eastAsia="Calibri" w:cs="Arial"/>
          <w:b/>
          <w:sz w:val="24"/>
          <w:szCs w:val="24"/>
        </w:rPr>
        <w:t xml:space="preserve"> </w:t>
      </w:r>
      <w:r w:rsidRPr="00B4140D">
        <w:rPr>
          <w:rFonts w:eastAsia="Calibri" w:cs="Arial"/>
          <w:sz w:val="24"/>
          <w:szCs w:val="24"/>
        </w:rPr>
        <w:t>Se derogan las disposiciones que se opongan al presente decreto.</w:t>
      </w:r>
    </w:p>
    <w:p w:rsidR="000A58C9" w:rsidRDefault="000A58C9" w:rsidP="009359A3">
      <w:pPr>
        <w:widowControl w:val="0"/>
        <w:tabs>
          <w:tab w:val="left" w:pos="8749"/>
        </w:tabs>
        <w:rPr>
          <w:rFonts w:cs="Arial"/>
          <w:b/>
          <w:snapToGrid w:val="0"/>
          <w:sz w:val="24"/>
          <w:szCs w:val="24"/>
          <w:lang w:val="es-ES_tradnl"/>
        </w:rPr>
      </w:pPr>
    </w:p>
    <w:p w:rsidR="009359A3" w:rsidRPr="007D2DCF" w:rsidRDefault="009359A3" w:rsidP="009359A3">
      <w:pPr>
        <w:widowControl w:val="0"/>
        <w:tabs>
          <w:tab w:val="left" w:pos="8749"/>
        </w:tabs>
        <w:rPr>
          <w:rFonts w:cs="Arial"/>
          <w:b/>
          <w:snapToGrid w:val="0"/>
          <w:sz w:val="24"/>
          <w:szCs w:val="24"/>
          <w:lang w:val="es-ES_tradnl"/>
        </w:rPr>
      </w:pPr>
      <w:r w:rsidRPr="007D2DCF">
        <w:rPr>
          <w:rFonts w:cs="Arial"/>
          <w:b/>
          <w:snapToGrid w:val="0"/>
          <w:sz w:val="24"/>
          <w:szCs w:val="24"/>
          <w:lang w:val="es-ES_tradnl"/>
        </w:rPr>
        <w:t>DADO en la Ciudad de Saltillo, Coahu</w:t>
      </w:r>
      <w:r>
        <w:rPr>
          <w:rFonts w:cs="Arial"/>
          <w:b/>
          <w:snapToGrid w:val="0"/>
          <w:sz w:val="24"/>
          <w:szCs w:val="24"/>
          <w:lang w:val="es-ES_tradnl"/>
        </w:rPr>
        <w:t>ila de Zaragoza, a los diecinueve</w:t>
      </w:r>
      <w:r w:rsidRPr="007D2DCF">
        <w:rPr>
          <w:rFonts w:cs="Arial"/>
          <w:b/>
          <w:snapToGrid w:val="0"/>
          <w:sz w:val="24"/>
          <w:szCs w:val="24"/>
          <w:lang w:val="es-ES_tradnl"/>
        </w:rPr>
        <w:t xml:space="preserve"> días del mes de diciembre del año dos mil diecinueve.</w:t>
      </w:r>
    </w:p>
    <w:p w:rsidR="009359A3" w:rsidRPr="007D2DCF" w:rsidRDefault="009359A3" w:rsidP="009359A3">
      <w:pPr>
        <w:tabs>
          <w:tab w:val="left" w:pos="8749"/>
        </w:tabs>
        <w:rPr>
          <w:rFonts w:cs="Arial"/>
          <w:b/>
          <w:snapToGrid w:val="0"/>
          <w:sz w:val="24"/>
          <w:szCs w:val="24"/>
          <w:lang w:val="es-ES_tradnl"/>
        </w:rPr>
      </w:pPr>
    </w:p>
    <w:p w:rsidR="009359A3" w:rsidRPr="007D2DCF" w:rsidRDefault="009359A3" w:rsidP="009359A3">
      <w:pPr>
        <w:tabs>
          <w:tab w:val="left" w:pos="8749"/>
        </w:tabs>
        <w:rPr>
          <w:rFonts w:cs="Arial"/>
          <w:b/>
          <w:snapToGrid w:val="0"/>
          <w:sz w:val="24"/>
          <w:szCs w:val="24"/>
          <w:lang w:val="es-ES_tradnl"/>
        </w:rPr>
      </w:pPr>
    </w:p>
    <w:p w:rsidR="009359A3" w:rsidRPr="007D2DCF" w:rsidRDefault="009359A3" w:rsidP="009359A3">
      <w:pPr>
        <w:tabs>
          <w:tab w:val="left" w:pos="8749"/>
        </w:tabs>
        <w:rPr>
          <w:rFonts w:cs="Arial"/>
          <w:b/>
          <w:snapToGrid w:val="0"/>
          <w:sz w:val="24"/>
          <w:szCs w:val="24"/>
          <w:lang w:val="es-ES_tradnl"/>
        </w:rPr>
      </w:pPr>
    </w:p>
    <w:p w:rsidR="009359A3" w:rsidRPr="007D2DCF" w:rsidRDefault="009359A3" w:rsidP="009359A3">
      <w:pPr>
        <w:tabs>
          <w:tab w:val="left" w:pos="8749"/>
        </w:tabs>
        <w:jc w:val="center"/>
        <w:rPr>
          <w:rFonts w:cs="Arial"/>
          <w:b/>
          <w:snapToGrid w:val="0"/>
          <w:sz w:val="24"/>
          <w:szCs w:val="24"/>
          <w:lang w:val="es-ES_tradnl"/>
        </w:rPr>
      </w:pPr>
      <w:r w:rsidRPr="007D2DCF">
        <w:rPr>
          <w:rFonts w:cs="Arial"/>
          <w:b/>
          <w:snapToGrid w:val="0"/>
          <w:sz w:val="24"/>
          <w:szCs w:val="24"/>
          <w:lang w:val="es-ES_tradnl"/>
        </w:rPr>
        <w:t>DIPUTADO PRESIDENTE</w:t>
      </w:r>
    </w:p>
    <w:p w:rsidR="009359A3" w:rsidRPr="007D2DCF" w:rsidRDefault="009359A3" w:rsidP="009359A3">
      <w:pPr>
        <w:tabs>
          <w:tab w:val="left" w:pos="8749"/>
        </w:tabs>
        <w:jc w:val="left"/>
        <w:rPr>
          <w:rFonts w:cs="Arial"/>
          <w:b/>
          <w:snapToGrid w:val="0"/>
          <w:sz w:val="24"/>
          <w:szCs w:val="24"/>
          <w:lang w:val="es-ES_tradnl"/>
        </w:rPr>
      </w:pPr>
    </w:p>
    <w:p w:rsidR="009359A3" w:rsidRPr="007D2DCF" w:rsidRDefault="009359A3" w:rsidP="009359A3">
      <w:pPr>
        <w:tabs>
          <w:tab w:val="left" w:pos="8749"/>
        </w:tabs>
        <w:jc w:val="left"/>
        <w:rPr>
          <w:rFonts w:cs="Arial"/>
          <w:b/>
          <w:snapToGrid w:val="0"/>
          <w:sz w:val="24"/>
          <w:szCs w:val="24"/>
          <w:lang w:val="es-ES_tradnl"/>
        </w:rPr>
      </w:pPr>
    </w:p>
    <w:p w:rsidR="009359A3" w:rsidRPr="007D2DCF" w:rsidRDefault="009359A3" w:rsidP="009359A3">
      <w:pPr>
        <w:tabs>
          <w:tab w:val="left" w:pos="8749"/>
        </w:tabs>
        <w:jc w:val="left"/>
        <w:rPr>
          <w:rFonts w:cs="Arial"/>
          <w:b/>
          <w:snapToGrid w:val="0"/>
          <w:sz w:val="24"/>
          <w:szCs w:val="24"/>
          <w:lang w:val="es-ES_tradnl"/>
        </w:rPr>
      </w:pPr>
    </w:p>
    <w:p w:rsidR="009359A3" w:rsidRPr="007D2DCF" w:rsidRDefault="009359A3" w:rsidP="009359A3">
      <w:pPr>
        <w:tabs>
          <w:tab w:val="left" w:pos="8749"/>
        </w:tabs>
        <w:jc w:val="left"/>
        <w:rPr>
          <w:rFonts w:cs="Arial"/>
          <w:b/>
          <w:snapToGrid w:val="0"/>
          <w:sz w:val="24"/>
          <w:szCs w:val="24"/>
          <w:lang w:val="es-ES_tradnl"/>
        </w:rPr>
      </w:pPr>
    </w:p>
    <w:p w:rsidR="009359A3" w:rsidRPr="007D2DCF" w:rsidRDefault="009359A3" w:rsidP="009359A3">
      <w:pPr>
        <w:tabs>
          <w:tab w:val="left" w:pos="8749"/>
        </w:tabs>
        <w:jc w:val="left"/>
        <w:rPr>
          <w:rFonts w:cs="Arial"/>
          <w:b/>
          <w:snapToGrid w:val="0"/>
          <w:sz w:val="24"/>
          <w:szCs w:val="24"/>
          <w:lang w:val="es-ES_tradnl"/>
        </w:rPr>
      </w:pPr>
    </w:p>
    <w:p w:rsidR="009359A3" w:rsidRPr="007D2DCF" w:rsidRDefault="009359A3" w:rsidP="009359A3">
      <w:pPr>
        <w:tabs>
          <w:tab w:val="left" w:pos="8749"/>
        </w:tabs>
        <w:jc w:val="center"/>
        <w:rPr>
          <w:rFonts w:cs="Arial"/>
          <w:b/>
          <w:snapToGrid w:val="0"/>
          <w:sz w:val="24"/>
          <w:szCs w:val="24"/>
          <w:lang w:val="es-ES_tradnl"/>
        </w:rPr>
      </w:pPr>
      <w:r w:rsidRPr="007D2DCF">
        <w:rPr>
          <w:rFonts w:cs="Arial"/>
          <w:b/>
          <w:snapToGrid w:val="0"/>
          <w:sz w:val="24"/>
          <w:szCs w:val="24"/>
          <w:lang w:val="es-ES_tradnl"/>
        </w:rPr>
        <w:t>JAIME BUENO ZERTUCHE</w:t>
      </w:r>
    </w:p>
    <w:p w:rsidR="009359A3" w:rsidRPr="007D2DCF" w:rsidRDefault="009359A3" w:rsidP="009359A3">
      <w:pPr>
        <w:tabs>
          <w:tab w:val="left" w:pos="8749"/>
        </w:tabs>
        <w:rPr>
          <w:rFonts w:cs="Arial"/>
          <w:b/>
          <w:snapToGrid w:val="0"/>
          <w:sz w:val="24"/>
          <w:szCs w:val="24"/>
          <w:lang w:val="es-ES_tradnl"/>
        </w:rPr>
      </w:pPr>
    </w:p>
    <w:p w:rsidR="009359A3" w:rsidRPr="007D2DCF" w:rsidRDefault="009359A3" w:rsidP="009359A3">
      <w:pPr>
        <w:tabs>
          <w:tab w:val="left" w:pos="8749"/>
        </w:tabs>
        <w:rPr>
          <w:rFonts w:cs="Arial"/>
          <w:b/>
          <w:snapToGrid w:val="0"/>
          <w:sz w:val="24"/>
          <w:szCs w:val="24"/>
          <w:lang w:val="es-ES_tradnl"/>
        </w:rPr>
      </w:pPr>
    </w:p>
    <w:p w:rsidR="009359A3" w:rsidRPr="007D2DCF" w:rsidRDefault="009359A3" w:rsidP="009359A3">
      <w:pPr>
        <w:tabs>
          <w:tab w:val="left" w:pos="8749"/>
        </w:tabs>
        <w:rPr>
          <w:rFonts w:cs="Arial"/>
          <w:b/>
          <w:snapToGrid w:val="0"/>
          <w:sz w:val="24"/>
          <w:szCs w:val="24"/>
          <w:lang w:val="es-ES_tradnl"/>
        </w:rPr>
      </w:pPr>
    </w:p>
    <w:p w:rsidR="009359A3" w:rsidRPr="007D2DCF" w:rsidRDefault="009359A3" w:rsidP="009359A3">
      <w:pPr>
        <w:tabs>
          <w:tab w:val="left" w:pos="8749"/>
        </w:tabs>
        <w:rPr>
          <w:rFonts w:cs="Arial"/>
          <w:b/>
          <w:snapToGrid w:val="0"/>
          <w:sz w:val="24"/>
          <w:szCs w:val="24"/>
          <w:lang w:val="es-ES_tradnl"/>
        </w:rPr>
      </w:pPr>
    </w:p>
    <w:p w:rsidR="009359A3" w:rsidRPr="007D2DCF" w:rsidRDefault="009359A3" w:rsidP="009359A3">
      <w:pPr>
        <w:tabs>
          <w:tab w:val="left" w:pos="8749"/>
        </w:tabs>
        <w:rPr>
          <w:rFonts w:cs="Arial"/>
          <w:b/>
          <w:snapToGrid w:val="0"/>
          <w:sz w:val="24"/>
          <w:szCs w:val="24"/>
          <w:lang w:val="es-ES_tradnl"/>
        </w:rPr>
      </w:pPr>
      <w:r>
        <w:rPr>
          <w:rFonts w:cs="Arial"/>
          <w:b/>
          <w:snapToGrid w:val="0"/>
          <w:sz w:val="24"/>
          <w:szCs w:val="24"/>
          <w:lang w:val="es-ES_tradnl"/>
        </w:rPr>
        <w:t xml:space="preserve">             </w:t>
      </w:r>
      <w:r w:rsidR="000A58C9">
        <w:rPr>
          <w:rFonts w:cs="Arial"/>
          <w:b/>
          <w:snapToGrid w:val="0"/>
          <w:sz w:val="24"/>
          <w:szCs w:val="24"/>
          <w:lang w:val="es-ES_tradnl"/>
        </w:rPr>
        <w:t>DIPUTADO SECRETARIO</w:t>
      </w:r>
      <w:r w:rsidRPr="007D2DCF">
        <w:rPr>
          <w:rFonts w:cs="Arial"/>
          <w:b/>
          <w:snapToGrid w:val="0"/>
          <w:sz w:val="24"/>
          <w:szCs w:val="24"/>
          <w:lang w:val="es-ES_tradnl"/>
        </w:rPr>
        <w:t xml:space="preserve">                                       </w:t>
      </w:r>
      <w:r>
        <w:rPr>
          <w:rFonts w:cs="Arial"/>
          <w:b/>
          <w:snapToGrid w:val="0"/>
          <w:sz w:val="24"/>
          <w:szCs w:val="24"/>
          <w:lang w:val="es-ES_tradnl"/>
        </w:rPr>
        <w:t xml:space="preserve">  </w:t>
      </w:r>
      <w:r w:rsidRPr="007D2DCF">
        <w:rPr>
          <w:rFonts w:cs="Arial"/>
          <w:b/>
          <w:snapToGrid w:val="0"/>
          <w:sz w:val="24"/>
          <w:szCs w:val="24"/>
          <w:lang w:val="es-ES_tradnl"/>
        </w:rPr>
        <w:t xml:space="preserve"> DIPUTADO SECRETARIO</w:t>
      </w:r>
    </w:p>
    <w:p w:rsidR="009359A3" w:rsidRPr="007D2DCF" w:rsidRDefault="009359A3" w:rsidP="009359A3">
      <w:pPr>
        <w:rPr>
          <w:rFonts w:cs="Arial"/>
          <w:b/>
          <w:snapToGrid w:val="0"/>
          <w:sz w:val="24"/>
          <w:szCs w:val="24"/>
          <w:lang w:val="es-ES_tradnl"/>
        </w:rPr>
      </w:pPr>
    </w:p>
    <w:p w:rsidR="009359A3" w:rsidRPr="007D2DCF" w:rsidRDefault="009359A3" w:rsidP="009359A3">
      <w:pPr>
        <w:rPr>
          <w:rFonts w:cs="Arial"/>
          <w:b/>
          <w:snapToGrid w:val="0"/>
          <w:sz w:val="24"/>
          <w:szCs w:val="24"/>
          <w:lang w:val="es-ES_tradnl"/>
        </w:rPr>
      </w:pPr>
    </w:p>
    <w:p w:rsidR="009359A3" w:rsidRPr="007D2DCF" w:rsidRDefault="009359A3" w:rsidP="009359A3">
      <w:pPr>
        <w:rPr>
          <w:rFonts w:cs="Arial"/>
          <w:b/>
          <w:snapToGrid w:val="0"/>
          <w:sz w:val="24"/>
          <w:szCs w:val="24"/>
          <w:lang w:val="es-ES_tradnl"/>
        </w:rPr>
      </w:pPr>
    </w:p>
    <w:p w:rsidR="009359A3" w:rsidRPr="007D2DCF" w:rsidRDefault="009359A3" w:rsidP="009359A3">
      <w:pPr>
        <w:rPr>
          <w:rFonts w:cs="Arial"/>
          <w:b/>
          <w:snapToGrid w:val="0"/>
          <w:sz w:val="24"/>
          <w:szCs w:val="24"/>
          <w:lang w:val="es-ES_tradnl"/>
        </w:rPr>
      </w:pPr>
    </w:p>
    <w:p w:rsidR="009359A3" w:rsidRPr="007D2DCF" w:rsidRDefault="009359A3" w:rsidP="009359A3">
      <w:pPr>
        <w:rPr>
          <w:rFonts w:cs="Arial"/>
          <w:b/>
          <w:snapToGrid w:val="0"/>
          <w:sz w:val="24"/>
          <w:szCs w:val="24"/>
          <w:lang w:val="es-ES_tradnl"/>
        </w:rPr>
      </w:pPr>
      <w:r w:rsidRPr="007D2DCF">
        <w:rPr>
          <w:rFonts w:cs="Arial"/>
          <w:b/>
          <w:snapToGrid w:val="0"/>
          <w:sz w:val="24"/>
          <w:szCs w:val="24"/>
          <w:lang w:val="es-ES_tradnl"/>
        </w:rPr>
        <w:t xml:space="preserve">         </w:t>
      </w:r>
    </w:p>
    <w:p w:rsidR="009359A3" w:rsidRPr="007D2DCF" w:rsidRDefault="009359A3" w:rsidP="009359A3">
      <w:pPr>
        <w:rPr>
          <w:rFonts w:cs="Arial"/>
          <w:b/>
          <w:snapToGrid w:val="0"/>
          <w:sz w:val="24"/>
          <w:szCs w:val="24"/>
          <w:lang w:val="es-ES_tradnl"/>
        </w:rPr>
      </w:pPr>
      <w:r>
        <w:rPr>
          <w:rFonts w:eastAsiaTheme="minorHAnsi" w:cs="Arial"/>
          <w:b/>
          <w:sz w:val="24"/>
          <w:szCs w:val="24"/>
          <w:lang w:eastAsia="en-US"/>
        </w:rPr>
        <w:t xml:space="preserve">      JESÚS ANDRÉS LOYA CARDONA                         EDGAR GERARDO SÁNCHEZ GARZA</w:t>
      </w:r>
    </w:p>
    <w:p w:rsidR="009359A3" w:rsidRPr="007D2DCF" w:rsidRDefault="009359A3" w:rsidP="009359A3">
      <w:pPr>
        <w:rPr>
          <w:rFonts w:cs="Arial"/>
          <w:sz w:val="24"/>
          <w:szCs w:val="24"/>
        </w:rPr>
      </w:pPr>
    </w:p>
    <w:p w:rsidR="009359A3" w:rsidRPr="007D2DCF" w:rsidRDefault="009359A3" w:rsidP="009359A3">
      <w:pPr>
        <w:rPr>
          <w:rFonts w:cs="Arial"/>
          <w:sz w:val="24"/>
          <w:szCs w:val="24"/>
        </w:rPr>
      </w:pPr>
    </w:p>
    <w:p w:rsidR="009359A3" w:rsidRPr="007D2DCF" w:rsidRDefault="009359A3" w:rsidP="009359A3">
      <w:pPr>
        <w:rPr>
          <w:rFonts w:cs="Arial"/>
          <w:sz w:val="24"/>
          <w:szCs w:val="24"/>
        </w:rPr>
      </w:pPr>
    </w:p>
    <w:p w:rsidR="009359A3" w:rsidRPr="007D2DCF" w:rsidRDefault="009359A3" w:rsidP="009359A3">
      <w:pPr>
        <w:jc w:val="left"/>
        <w:rPr>
          <w:rFonts w:eastAsiaTheme="minorHAnsi" w:cs="Arial"/>
          <w:sz w:val="24"/>
          <w:szCs w:val="24"/>
          <w:lang w:eastAsia="en-US"/>
        </w:rPr>
      </w:pPr>
    </w:p>
    <w:p w:rsidR="009359A3" w:rsidRPr="007D2DCF" w:rsidRDefault="009359A3" w:rsidP="009359A3">
      <w:pPr>
        <w:jc w:val="left"/>
        <w:rPr>
          <w:rFonts w:eastAsia="Calibri" w:cs="Arial"/>
          <w:sz w:val="24"/>
          <w:szCs w:val="24"/>
          <w:lang w:eastAsia="en-US"/>
        </w:rPr>
      </w:pPr>
    </w:p>
    <w:p w:rsidR="009359A3" w:rsidRPr="007D2DCF" w:rsidRDefault="009359A3" w:rsidP="009359A3">
      <w:pPr>
        <w:rPr>
          <w:rFonts w:cs="Arial"/>
          <w:sz w:val="24"/>
          <w:szCs w:val="24"/>
        </w:rPr>
      </w:pPr>
    </w:p>
    <w:p w:rsidR="009359A3" w:rsidRPr="007D2DCF" w:rsidRDefault="009359A3" w:rsidP="009359A3">
      <w:pPr>
        <w:rPr>
          <w:rFonts w:cs="Arial"/>
          <w:sz w:val="24"/>
          <w:szCs w:val="24"/>
        </w:rPr>
      </w:pPr>
    </w:p>
    <w:p w:rsidR="009359A3" w:rsidRPr="007D2DCF" w:rsidRDefault="009359A3" w:rsidP="009359A3">
      <w:pPr>
        <w:rPr>
          <w:rFonts w:cs="Arial"/>
          <w:sz w:val="24"/>
          <w:szCs w:val="24"/>
        </w:rPr>
      </w:pPr>
    </w:p>
    <w:p w:rsidR="009359A3" w:rsidRPr="007D2DCF" w:rsidRDefault="009359A3" w:rsidP="009359A3">
      <w:pPr>
        <w:rPr>
          <w:rFonts w:cs="Arial"/>
          <w:sz w:val="24"/>
          <w:szCs w:val="24"/>
        </w:rPr>
      </w:pPr>
    </w:p>
    <w:p w:rsidR="009359A3" w:rsidRPr="007D2DCF" w:rsidRDefault="009359A3" w:rsidP="009359A3">
      <w:pPr>
        <w:rPr>
          <w:rFonts w:cs="Arial"/>
          <w:sz w:val="24"/>
          <w:szCs w:val="24"/>
        </w:rPr>
      </w:pPr>
    </w:p>
    <w:p w:rsidR="009359A3" w:rsidRPr="007D2DCF" w:rsidRDefault="009359A3" w:rsidP="009359A3">
      <w:pPr>
        <w:rPr>
          <w:rFonts w:cs="Arial"/>
          <w:sz w:val="24"/>
          <w:szCs w:val="24"/>
        </w:rPr>
      </w:pPr>
    </w:p>
    <w:p w:rsidR="009359A3" w:rsidRPr="007D2DCF" w:rsidRDefault="009359A3" w:rsidP="009359A3">
      <w:pPr>
        <w:rPr>
          <w:rFonts w:cs="Arial"/>
          <w:sz w:val="24"/>
          <w:szCs w:val="24"/>
        </w:rPr>
      </w:pPr>
    </w:p>
    <w:p w:rsidR="009359A3" w:rsidRPr="007D2DCF" w:rsidRDefault="009359A3" w:rsidP="009359A3">
      <w:pPr>
        <w:rPr>
          <w:rFonts w:cs="Arial"/>
          <w:sz w:val="24"/>
          <w:szCs w:val="24"/>
        </w:rPr>
      </w:pPr>
    </w:p>
    <w:p w:rsidR="009359A3" w:rsidRPr="007D2DCF" w:rsidRDefault="009359A3" w:rsidP="009359A3">
      <w:pPr>
        <w:rPr>
          <w:rFonts w:cs="Arial"/>
          <w:sz w:val="24"/>
          <w:szCs w:val="24"/>
        </w:rPr>
      </w:pPr>
    </w:p>
    <w:p w:rsidR="009359A3" w:rsidRPr="007D2DCF" w:rsidRDefault="009359A3" w:rsidP="009359A3">
      <w:pPr>
        <w:rPr>
          <w:rFonts w:cs="Arial"/>
          <w:sz w:val="24"/>
          <w:szCs w:val="24"/>
        </w:rPr>
      </w:pPr>
    </w:p>
    <w:p w:rsidR="009359A3" w:rsidRPr="007D2DCF" w:rsidRDefault="009359A3" w:rsidP="009359A3">
      <w:pPr>
        <w:rPr>
          <w:rFonts w:cs="Arial"/>
          <w:sz w:val="24"/>
          <w:szCs w:val="24"/>
        </w:rPr>
      </w:pPr>
    </w:p>
    <w:p w:rsidR="009359A3" w:rsidRPr="007D2DCF" w:rsidRDefault="009359A3" w:rsidP="009359A3">
      <w:pPr>
        <w:rPr>
          <w:rFonts w:cs="Arial"/>
          <w:sz w:val="24"/>
          <w:szCs w:val="24"/>
        </w:rPr>
      </w:pPr>
    </w:p>
    <w:p w:rsidR="009359A3" w:rsidRPr="007D2DCF" w:rsidRDefault="009359A3" w:rsidP="009359A3">
      <w:pPr>
        <w:rPr>
          <w:rFonts w:cs="Arial"/>
          <w:sz w:val="24"/>
          <w:szCs w:val="24"/>
        </w:rPr>
      </w:pPr>
    </w:p>
    <w:p w:rsidR="009359A3" w:rsidRPr="007D2DCF" w:rsidRDefault="009359A3" w:rsidP="009359A3">
      <w:pPr>
        <w:rPr>
          <w:rFonts w:cs="Arial"/>
          <w:sz w:val="24"/>
          <w:szCs w:val="24"/>
        </w:rPr>
      </w:pPr>
    </w:p>
    <w:p w:rsidR="009359A3" w:rsidRPr="007D2DCF" w:rsidRDefault="009359A3" w:rsidP="009359A3">
      <w:pPr>
        <w:rPr>
          <w:rFonts w:cs="Arial"/>
          <w:sz w:val="24"/>
          <w:szCs w:val="24"/>
        </w:rPr>
      </w:pPr>
    </w:p>
    <w:p w:rsidR="009359A3" w:rsidRPr="007D2DCF" w:rsidRDefault="009359A3" w:rsidP="009359A3">
      <w:pPr>
        <w:rPr>
          <w:rFonts w:cs="Arial"/>
          <w:sz w:val="24"/>
          <w:szCs w:val="24"/>
        </w:rPr>
      </w:pPr>
    </w:p>
    <w:p w:rsidR="009359A3" w:rsidRPr="007D2DCF" w:rsidRDefault="009359A3" w:rsidP="009359A3">
      <w:pPr>
        <w:rPr>
          <w:rFonts w:cs="Arial"/>
          <w:sz w:val="24"/>
          <w:szCs w:val="24"/>
        </w:rPr>
      </w:pPr>
    </w:p>
    <w:p w:rsidR="009359A3" w:rsidRPr="007D2DCF" w:rsidRDefault="009359A3" w:rsidP="009359A3">
      <w:pPr>
        <w:rPr>
          <w:rFonts w:cs="Arial"/>
          <w:sz w:val="24"/>
          <w:szCs w:val="24"/>
        </w:rPr>
      </w:pPr>
    </w:p>
    <w:p w:rsidR="009359A3" w:rsidRPr="007D2DCF" w:rsidRDefault="009359A3" w:rsidP="009359A3">
      <w:pPr>
        <w:rPr>
          <w:rFonts w:cs="Arial"/>
          <w:sz w:val="24"/>
          <w:szCs w:val="24"/>
        </w:rPr>
      </w:pPr>
    </w:p>
    <w:p w:rsidR="009359A3" w:rsidRPr="007D2DCF" w:rsidRDefault="009359A3" w:rsidP="009359A3">
      <w:pPr>
        <w:rPr>
          <w:rFonts w:cs="Arial"/>
          <w:sz w:val="24"/>
          <w:szCs w:val="24"/>
        </w:rPr>
      </w:pPr>
    </w:p>
    <w:p w:rsidR="009359A3" w:rsidRPr="007D2DCF" w:rsidRDefault="009359A3" w:rsidP="009359A3">
      <w:pPr>
        <w:rPr>
          <w:rFonts w:cs="Arial"/>
          <w:sz w:val="24"/>
          <w:szCs w:val="24"/>
        </w:rPr>
      </w:pPr>
    </w:p>
    <w:p w:rsidR="009359A3" w:rsidRPr="007D2DCF" w:rsidRDefault="009359A3" w:rsidP="009359A3">
      <w:pPr>
        <w:rPr>
          <w:rFonts w:cs="Arial"/>
          <w:sz w:val="24"/>
          <w:szCs w:val="24"/>
        </w:rPr>
      </w:pPr>
    </w:p>
    <w:p w:rsidR="009359A3" w:rsidRPr="007D2DCF" w:rsidRDefault="009359A3" w:rsidP="009359A3">
      <w:pPr>
        <w:rPr>
          <w:rFonts w:cs="Arial"/>
          <w:sz w:val="24"/>
          <w:szCs w:val="24"/>
        </w:rPr>
      </w:pPr>
    </w:p>
    <w:p w:rsidR="009359A3" w:rsidRPr="007D2DCF" w:rsidRDefault="009359A3" w:rsidP="009359A3">
      <w:pPr>
        <w:rPr>
          <w:rFonts w:cs="Arial"/>
          <w:sz w:val="24"/>
          <w:szCs w:val="24"/>
        </w:rPr>
      </w:pPr>
    </w:p>
    <w:p w:rsidR="009359A3" w:rsidRPr="007D2DCF" w:rsidRDefault="009359A3" w:rsidP="009359A3">
      <w:pPr>
        <w:rPr>
          <w:rFonts w:cs="Arial"/>
          <w:sz w:val="24"/>
          <w:szCs w:val="24"/>
        </w:rPr>
      </w:pPr>
    </w:p>
    <w:p w:rsidR="009359A3" w:rsidRPr="007D2DCF" w:rsidRDefault="009359A3" w:rsidP="009359A3">
      <w:pPr>
        <w:rPr>
          <w:rFonts w:cs="Arial"/>
          <w:sz w:val="24"/>
          <w:szCs w:val="24"/>
        </w:rPr>
      </w:pPr>
    </w:p>
    <w:p w:rsidR="009359A3" w:rsidRPr="007D2DCF" w:rsidRDefault="009359A3" w:rsidP="009359A3">
      <w:pPr>
        <w:rPr>
          <w:rFonts w:cs="Arial"/>
          <w:sz w:val="24"/>
          <w:szCs w:val="24"/>
        </w:rPr>
      </w:pPr>
    </w:p>
    <w:p w:rsidR="009359A3" w:rsidRPr="007D2DCF" w:rsidRDefault="009359A3" w:rsidP="009359A3">
      <w:pPr>
        <w:rPr>
          <w:rFonts w:cs="Arial"/>
          <w:sz w:val="24"/>
          <w:szCs w:val="24"/>
        </w:rPr>
      </w:pPr>
    </w:p>
    <w:p w:rsidR="009359A3" w:rsidRPr="007D2DCF" w:rsidRDefault="009359A3" w:rsidP="009359A3">
      <w:pPr>
        <w:rPr>
          <w:rFonts w:cs="Arial"/>
          <w:sz w:val="24"/>
          <w:szCs w:val="24"/>
        </w:rPr>
      </w:pPr>
    </w:p>
    <w:p w:rsidR="009359A3" w:rsidRPr="007D2DCF" w:rsidRDefault="009359A3" w:rsidP="009359A3">
      <w:pPr>
        <w:rPr>
          <w:rFonts w:cs="Arial"/>
          <w:sz w:val="24"/>
          <w:szCs w:val="24"/>
        </w:rPr>
      </w:pPr>
    </w:p>
    <w:p w:rsidR="009359A3" w:rsidRPr="007D2DCF" w:rsidRDefault="009359A3" w:rsidP="009359A3">
      <w:pPr>
        <w:rPr>
          <w:rFonts w:cs="Arial"/>
          <w:sz w:val="24"/>
          <w:szCs w:val="24"/>
        </w:rPr>
      </w:pPr>
    </w:p>
    <w:p w:rsidR="009359A3" w:rsidRPr="007D2DCF" w:rsidRDefault="009359A3" w:rsidP="009359A3">
      <w:pPr>
        <w:rPr>
          <w:rFonts w:cs="Arial"/>
          <w:sz w:val="24"/>
          <w:szCs w:val="24"/>
        </w:rPr>
      </w:pPr>
    </w:p>
    <w:p w:rsidR="009359A3" w:rsidRPr="007D2DCF" w:rsidRDefault="009359A3" w:rsidP="009359A3">
      <w:pPr>
        <w:rPr>
          <w:rFonts w:cs="Arial"/>
          <w:sz w:val="24"/>
          <w:szCs w:val="24"/>
        </w:rPr>
      </w:pPr>
    </w:p>
    <w:p w:rsidR="009359A3" w:rsidRPr="007D2DCF" w:rsidRDefault="009359A3" w:rsidP="009359A3">
      <w:pPr>
        <w:rPr>
          <w:rFonts w:cs="Arial"/>
          <w:sz w:val="24"/>
          <w:szCs w:val="24"/>
        </w:rPr>
      </w:pPr>
    </w:p>
    <w:p w:rsidR="009359A3" w:rsidRPr="007D2DCF" w:rsidRDefault="009359A3" w:rsidP="009359A3">
      <w:pPr>
        <w:rPr>
          <w:rFonts w:cs="Arial"/>
          <w:sz w:val="24"/>
          <w:szCs w:val="24"/>
        </w:rPr>
      </w:pPr>
    </w:p>
    <w:p w:rsidR="009359A3" w:rsidRPr="007D2DCF" w:rsidRDefault="009359A3" w:rsidP="009359A3">
      <w:pPr>
        <w:rPr>
          <w:rFonts w:cs="Arial"/>
          <w:sz w:val="24"/>
          <w:szCs w:val="24"/>
        </w:rPr>
      </w:pPr>
    </w:p>
    <w:p w:rsidR="009359A3" w:rsidRPr="007D2DCF" w:rsidRDefault="009359A3" w:rsidP="009359A3">
      <w:pPr>
        <w:rPr>
          <w:rFonts w:cs="Arial"/>
          <w:sz w:val="24"/>
          <w:szCs w:val="24"/>
        </w:rPr>
      </w:pPr>
    </w:p>
    <w:p w:rsidR="009359A3" w:rsidRPr="007D2DCF" w:rsidRDefault="009359A3" w:rsidP="009359A3">
      <w:pPr>
        <w:rPr>
          <w:rFonts w:cs="Arial"/>
          <w:sz w:val="24"/>
          <w:szCs w:val="24"/>
        </w:rPr>
      </w:pPr>
    </w:p>
    <w:p w:rsidR="009359A3" w:rsidRPr="007D2DCF" w:rsidRDefault="009359A3" w:rsidP="009359A3">
      <w:pPr>
        <w:rPr>
          <w:rFonts w:cs="Arial"/>
          <w:sz w:val="24"/>
          <w:szCs w:val="24"/>
        </w:rPr>
      </w:pPr>
    </w:p>
    <w:p w:rsidR="009359A3" w:rsidRPr="007D2DCF" w:rsidRDefault="009359A3" w:rsidP="009359A3">
      <w:pPr>
        <w:rPr>
          <w:rFonts w:cs="Arial"/>
          <w:sz w:val="24"/>
          <w:szCs w:val="24"/>
        </w:rPr>
      </w:pPr>
    </w:p>
    <w:p w:rsidR="009359A3" w:rsidRPr="007D2DCF" w:rsidRDefault="009359A3" w:rsidP="009359A3">
      <w:pPr>
        <w:rPr>
          <w:rFonts w:cs="Arial"/>
          <w:sz w:val="24"/>
          <w:szCs w:val="24"/>
        </w:rPr>
      </w:pPr>
    </w:p>
    <w:p w:rsidR="009359A3" w:rsidRPr="007D2DCF" w:rsidRDefault="009359A3" w:rsidP="009359A3">
      <w:pPr>
        <w:rPr>
          <w:rFonts w:cs="Arial"/>
          <w:sz w:val="24"/>
          <w:szCs w:val="24"/>
        </w:rPr>
      </w:pPr>
    </w:p>
    <w:p w:rsidR="009359A3" w:rsidRPr="007D2DCF" w:rsidRDefault="009359A3" w:rsidP="009359A3">
      <w:pPr>
        <w:rPr>
          <w:rFonts w:cs="Arial"/>
          <w:sz w:val="24"/>
          <w:szCs w:val="24"/>
        </w:rPr>
      </w:pPr>
    </w:p>
    <w:p w:rsidR="009359A3" w:rsidRPr="007D2DCF" w:rsidRDefault="009359A3" w:rsidP="009359A3">
      <w:pPr>
        <w:rPr>
          <w:rFonts w:cs="Arial"/>
          <w:sz w:val="24"/>
          <w:szCs w:val="24"/>
        </w:rPr>
      </w:pPr>
    </w:p>
    <w:p w:rsidR="009359A3" w:rsidRPr="007D2DCF" w:rsidRDefault="009359A3" w:rsidP="009359A3">
      <w:pPr>
        <w:rPr>
          <w:rFonts w:cs="Arial"/>
          <w:sz w:val="24"/>
          <w:szCs w:val="24"/>
        </w:rPr>
      </w:pPr>
    </w:p>
    <w:p w:rsidR="009359A3" w:rsidRPr="007D2DCF" w:rsidRDefault="009359A3" w:rsidP="009359A3">
      <w:pPr>
        <w:rPr>
          <w:rFonts w:cs="Arial"/>
          <w:sz w:val="24"/>
          <w:szCs w:val="24"/>
        </w:rPr>
      </w:pPr>
    </w:p>
    <w:p w:rsidR="009359A3" w:rsidRPr="007D2DCF" w:rsidRDefault="009359A3" w:rsidP="009359A3">
      <w:pPr>
        <w:rPr>
          <w:rFonts w:cs="Arial"/>
          <w:sz w:val="24"/>
          <w:szCs w:val="24"/>
        </w:rPr>
      </w:pPr>
    </w:p>
    <w:p w:rsidR="009359A3" w:rsidRPr="007D2DCF" w:rsidRDefault="009359A3" w:rsidP="009359A3">
      <w:pPr>
        <w:rPr>
          <w:rFonts w:cs="Arial"/>
          <w:sz w:val="24"/>
          <w:szCs w:val="24"/>
        </w:rPr>
      </w:pPr>
    </w:p>
    <w:p w:rsidR="009359A3" w:rsidRPr="007D2DCF" w:rsidRDefault="009359A3" w:rsidP="009359A3">
      <w:pPr>
        <w:rPr>
          <w:rFonts w:cs="Arial"/>
          <w:sz w:val="24"/>
          <w:szCs w:val="24"/>
        </w:rPr>
      </w:pPr>
    </w:p>
    <w:p w:rsidR="009359A3" w:rsidRPr="007D2DCF" w:rsidRDefault="009359A3" w:rsidP="009359A3">
      <w:pPr>
        <w:rPr>
          <w:rFonts w:cs="Arial"/>
          <w:sz w:val="24"/>
          <w:szCs w:val="24"/>
        </w:rPr>
      </w:pPr>
    </w:p>
    <w:p w:rsidR="009359A3" w:rsidRPr="007D2DCF" w:rsidRDefault="009359A3" w:rsidP="009359A3">
      <w:pPr>
        <w:rPr>
          <w:rFonts w:cs="Arial"/>
          <w:sz w:val="24"/>
          <w:szCs w:val="24"/>
        </w:rPr>
      </w:pPr>
    </w:p>
    <w:p w:rsidR="009359A3" w:rsidRPr="007D2DCF" w:rsidRDefault="009359A3" w:rsidP="009359A3">
      <w:pPr>
        <w:rPr>
          <w:rFonts w:cs="Arial"/>
          <w:sz w:val="24"/>
          <w:szCs w:val="24"/>
        </w:rPr>
      </w:pPr>
    </w:p>
    <w:p w:rsidR="009359A3" w:rsidRPr="007D2DCF" w:rsidRDefault="009359A3" w:rsidP="009359A3">
      <w:pPr>
        <w:rPr>
          <w:rFonts w:cs="Arial"/>
          <w:sz w:val="24"/>
          <w:szCs w:val="24"/>
        </w:rPr>
      </w:pPr>
    </w:p>
    <w:p w:rsidR="009359A3" w:rsidRPr="007D2DCF" w:rsidRDefault="009359A3" w:rsidP="009359A3">
      <w:pPr>
        <w:rPr>
          <w:rFonts w:cs="Arial"/>
          <w:sz w:val="24"/>
          <w:szCs w:val="24"/>
        </w:rPr>
      </w:pPr>
    </w:p>
    <w:p w:rsidR="009359A3" w:rsidRPr="007D2DCF" w:rsidRDefault="009359A3" w:rsidP="009359A3">
      <w:pPr>
        <w:rPr>
          <w:rFonts w:cs="Arial"/>
          <w:sz w:val="24"/>
          <w:szCs w:val="24"/>
        </w:rPr>
      </w:pPr>
    </w:p>
    <w:p w:rsidR="009359A3" w:rsidRPr="007D2DCF" w:rsidRDefault="009359A3" w:rsidP="009359A3">
      <w:pPr>
        <w:rPr>
          <w:rFonts w:cs="Arial"/>
          <w:sz w:val="24"/>
          <w:szCs w:val="24"/>
        </w:rPr>
      </w:pPr>
    </w:p>
    <w:p w:rsidR="009359A3" w:rsidRPr="007D2DCF" w:rsidRDefault="009359A3" w:rsidP="009359A3">
      <w:pPr>
        <w:rPr>
          <w:rFonts w:cs="Arial"/>
          <w:sz w:val="24"/>
          <w:szCs w:val="24"/>
        </w:rPr>
      </w:pPr>
    </w:p>
    <w:p w:rsidR="009359A3" w:rsidRPr="007D2DCF" w:rsidRDefault="009359A3" w:rsidP="009359A3">
      <w:pPr>
        <w:rPr>
          <w:sz w:val="24"/>
          <w:szCs w:val="24"/>
        </w:rPr>
      </w:pPr>
    </w:p>
    <w:p w:rsidR="009359A3" w:rsidRPr="007D2DCF" w:rsidRDefault="009359A3" w:rsidP="009359A3">
      <w:pPr>
        <w:rPr>
          <w:sz w:val="24"/>
          <w:szCs w:val="24"/>
        </w:rPr>
      </w:pPr>
    </w:p>
    <w:p w:rsidR="009359A3" w:rsidRPr="007D2DCF" w:rsidRDefault="009359A3" w:rsidP="009359A3">
      <w:pPr>
        <w:rPr>
          <w:sz w:val="24"/>
          <w:szCs w:val="24"/>
        </w:rPr>
      </w:pPr>
    </w:p>
    <w:p w:rsidR="009359A3" w:rsidRDefault="009359A3" w:rsidP="009359A3"/>
    <w:p w:rsidR="009359A3" w:rsidRDefault="009359A3" w:rsidP="009359A3"/>
    <w:p w:rsidR="00245157" w:rsidRDefault="00602A00"/>
    <w:sectPr w:rsidR="00245157" w:rsidSect="00D87320">
      <w:headerReference w:type="default" r:id="rId6"/>
      <w:pgSz w:w="12240" w:h="15840"/>
      <w:pgMar w:top="2268"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A00" w:rsidRDefault="00602A00" w:rsidP="0008782C">
      <w:r>
        <w:separator/>
      </w:r>
    </w:p>
  </w:endnote>
  <w:endnote w:type="continuationSeparator" w:id="0">
    <w:p w:rsidR="00602A00" w:rsidRDefault="00602A00" w:rsidP="00087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A00" w:rsidRDefault="00602A00" w:rsidP="0008782C">
      <w:r>
        <w:separator/>
      </w:r>
    </w:p>
  </w:footnote>
  <w:footnote w:type="continuationSeparator" w:id="0">
    <w:p w:rsidR="00602A00" w:rsidRDefault="00602A00" w:rsidP="000878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08782C" w:rsidRPr="00D775E4" w:rsidTr="00DE74FA">
      <w:trPr>
        <w:jc w:val="center"/>
      </w:trPr>
      <w:tc>
        <w:tcPr>
          <w:tcW w:w="1253" w:type="dxa"/>
        </w:tcPr>
        <w:p w:rsidR="0008782C" w:rsidRPr="00D775E4" w:rsidRDefault="0008782C" w:rsidP="0008782C">
          <w:pPr>
            <w:jc w:val="center"/>
            <w:rPr>
              <w:b/>
              <w:bCs/>
              <w:sz w:val="12"/>
            </w:rPr>
          </w:pPr>
        </w:p>
        <w:p w:rsidR="0008782C" w:rsidRPr="00D775E4" w:rsidRDefault="0008782C" w:rsidP="0008782C">
          <w:pPr>
            <w:jc w:val="center"/>
            <w:rPr>
              <w:b/>
              <w:bCs/>
              <w:sz w:val="12"/>
            </w:rPr>
          </w:pPr>
        </w:p>
        <w:p w:rsidR="0008782C" w:rsidRPr="00D775E4" w:rsidRDefault="0008782C" w:rsidP="0008782C">
          <w:pPr>
            <w:jc w:val="center"/>
            <w:rPr>
              <w:b/>
              <w:bCs/>
              <w:sz w:val="12"/>
            </w:rPr>
          </w:pPr>
        </w:p>
        <w:p w:rsidR="0008782C" w:rsidRPr="00D775E4" w:rsidRDefault="0008782C" w:rsidP="0008782C">
          <w:pPr>
            <w:jc w:val="center"/>
            <w:rPr>
              <w:b/>
              <w:bCs/>
              <w:sz w:val="12"/>
            </w:rPr>
          </w:pPr>
        </w:p>
        <w:p w:rsidR="0008782C" w:rsidRPr="00D775E4" w:rsidRDefault="0008782C" w:rsidP="0008782C">
          <w:pPr>
            <w:jc w:val="center"/>
            <w:rPr>
              <w:b/>
              <w:bCs/>
              <w:sz w:val="12"/>
            </w:rPr>
          </w:pPr>
        </w:p>
        <w:p w:rsidR="0008782C" w:rsidRPr="00D775E4" w:rsidRDefault="0008782C" w:rsidP="0008782C">
          <w:pPr>
            <w:jc w:val="center"/>
            <w:rPr>
              <w:b/>
              <w:bCs/>
              <w:sz w:val="12"/>
            </w:rPr>
          </w:pPr>
        </w:p>
        <w:p w:rsidR="0008782C" w:rsidRPr="00D775E4" w:rsidRDefault="0008782C" w:rsidP="0008782C">
          <w:pPr>
            <w:jc w:val="center"/>
            <w:rPr>
              <w:b/>
              <w:bCs/>
              <w:sz w:val="12"/>
            </w:rPr>
          </w:pPr>
        </w:p>
        <w:p w:rsidR="0008782C" w:rsidRPr="00D775E4" w:rsidRDefault="0008782C" w:rsidP="0008782C">
          <w:pPr>
            <w:jc w:val="center"/>
            <w:rPr>
              <w:b/>
              <w:bCs/>
              <w:sz w:val="12"/>
            </w:rPr>
          </w:pPr>
        </w:p>
        <w:p w:rsidR="0008782C" w:rsidRPr="00D775E4" w:rsidRDefault="0008782C" w:rsidP="0008782C">
          <w:pPr>
            <w:jc w:val="center"/>
            <w:rPr>
              <w:b/>
              <w:bCs/>
              <w:sz w:val="12"/>
            </w:rPr>
          </w:pPr>
        </w:p>
        <w:p w:rsidR="0008782C" w:rsidRPr="00D775E4" w:rsidRDefault="0008782C" w:rsidP="0008782C">
          <w:pPr>
            <w:jc w:val="center"/>
            <w:rPr>
              <w:b/>
              <w:bCs/>
              <w:sz w:val="12"/>
            </w:rPr>
          </w:pPr>
        </w:p>
        <w:p w:rsidR="0008782C" w:rsidRPr="00D775E4" w:rsidRDefault="0008782C" w:rsidP="0008782C">
          <w:pPr>
            <w:jc w:val="center"/>
            <w:rPr>
              <w:b/>
              <w:bCs/>
              <w:sz w:val="12"/>
            </w:rPr>
          </w:pPr>
        </w:p>
        <w:p w:rsidR="0008782C" w:rsidRPr="00D775E4" w:rsidRDefault="0008782C" w:rsidP="0008782C">
          <w:pPr>
            <w:jc w:val="center"/>
            <w:rPr>
              <w:b/>
              <w:bCs/>
              <w:sz w:val="12"/>
            </w:rPr>
          </w:pPr>
        </w:p>
      </w:tc>
      <w:tc>
        <w:tcPr>
          <w:tcW w:w="8623" w:type="dxa"/>
        </w:tcPr>
        <w:p w:rsidR="0008782C" w:rsidRPr="00815938" w:rsidRDefault="0008782C" w:rsidP="0008782C">
          <w:pPr>
            <w:jc w:val="center"/>
            <w:rPr>
              <w:b/>
              <w:bCs/>
              <w:sz w:val="24"/>
            </w:rPr>
          </w:pPr>
          <w:r>
            <w:rPr>
              <w:b/>
              <w:bCs/>
              <w:noProof/>
              <w:sz w:val="12"/>
              <w:lang w:eastAsia="es-MX"/>
            </w:rPr>
            <w:drawing>
              <wp:anchor distT="0" distB="0" distL="114300" distR="114300" simplePos="0" relativeHeight="251660288" behindDoc="0" locked="0" layoutInCell="1" allowOverlap="1" wp14:anchorId="04DF3FC1" wp14:editId="039D76E7">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59264" behindDoc="0" locked="0" layoutInCell="1" allowOverlap="1" wp14:anchorId="4AE740B4" wp14:editId="24AA097E">
                <wp:simplePos x="0" y="0"/>
                <wp:positionH relativeFrom="column">
                  <wp:posOffset>-700405</wp:posOffset>
                </wp:positionH>
                <wp:positionV relativeFrom="paragraph">
                  <wp:posOffset>54610</wp:posOffset>
                </wp:positionV>
                <wp:extent cx="902335" cy="886460"/>
                <wp:effectExtent l="0" t="0" r="0" b="0"/>
                <wp:wrapNone/>
                <wp:docPr id="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782C" w:rsidRPr="002E1219" w:rsidRDefault="0008782C" w:rsidP="0008782C">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08782C" w:rsidRDefault="0008782C" w:rsidP="0008782C">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08782C" w:rsidRPr="00530EA8" w:rsidRDefault="0008782C" w:rsidP="0008782C">
          <w:pPr>
            <w:pStyle w:val="Encabezado"/>
            <w:tabs>
              <w:tab w:val="left" w:pos="-1528"/>
              <w:tab w:val="center" w:pos="-1386"/>
            </w:tabs>
            <w:jc w:val="center"/>
            <w:rPr>
              <w:rFonts w:cs="Arial"/>
              <w:bCs/>
              <w:smallCaps/>
              <w:spacing w:val="20"/>
              <w:sz w:val="16"/>
              <w:szCs w:val="32"/>
            </w:rPr>
          </w:pPr>
        </w:p>
        <w:p w:rsidR="0008782C" w:rsidRPr="00D775B7" w:rsidRDefault="0008782C" w:rsidP="0008782C">
          <w:pPr>
            <w:jc w:val="center"/>
            <w:rPr>
              <w:rFonts w:ascii="Arial Narrow" w:hAnsi="Arial Narrow" w:cs="Arial"/>
              <w:sz w:val="18"/>
            </w:rPr>
          </w:pPr>
          <w:r w:rsidRPr="00D775B7">
            <w:rPr>
              <w:rFonts w:ascii="Arial Narrow" w:hAnsi="Arial Narrow" w:cs="Arial"/>
              <w:sz w:val="18"/>
            </w:rPr>
            <w:t>“</w:t>
          </w:r>
          <w:r w:rsidRPr="00D775B7">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D775B7">
            <w:rPr>
              <w:rFonts w:ascii="Arial Narrow" w:hAnsi="Arial Narrow" w:cs="Arial"/>
              <w:sz w:val="18"/>
            </w:rPr>
            <w:t>”</w:t>
          </w:r>
        </w:p>
        <w:p w:rsidR="0008782C" w:rsidRPr="00D775E4" w:rsidRDefault="0008782C" w:rsidP="0008782C">
          <w:pPr>
            <w:ind w:left="-434" w:right="-672"/>
            <w:jc w:val="center"/>
            <w:rPr>
              <w:b/>
              <w:bCs/>
              <w:sz w:val="12"/>
            </w:rPr>
          </w:pPr>
        </w:p>
      </w:tc>
      <w:tc>
        <w:tcPr>
          <w:tcW w:w="1181" w:type="dxa"/>
        </w:tcPr>
        <w:p w:rsidR="0008782C" w:rsidRDefault="0008782C" w:rsidP="0008782C">
          <w:pPr>
            <w:jc w:val="center"/>
            <w:rPr>
              <w:b/>
              <w:bCs/>
              <w:sz w:val="12"/>
            </w:rPr>
          </w:pPr>
        </w:p>
        <w:p w:rsidR="0008782C" w:rsidRDefault="0008782C" w:rsidP="0008782C">
          <w:pPr>
            <w:jc w:val="center"/>
            <w:rPr>
              <w:b/>
              <w:bCs/>
              <w:sz w:val="12"/>
            </w:rPr>
          </w:pPr>
        </w:p>
        <w:p w:rsidR="0008782C" w:rsidRPr="00D775E4" w:rsidRDefault="0008782C" w:rsidP="0008782C">
          <w:pPr>
            <w:jc w:val="center"/>
            <w:rPr>
              <w:b/>
              <w:bCs/>
              <w:sz w:val="12"/>
            </w:rPr>
          </w:pPr>
        </w:p>
      </w:tc>
    </w:tr>
  </w:tbl>
  <w:p w:rsidR="0008782C" w:rsidRDefault="0008782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9A3"/>
    <w:rsid w:val="000653EC"/>
    <w:rsid w:val="0008782C"/>
    <w:rsid w:val="000A58C9"/>
    <w:rsid w:val="004562E7"/>
    <w:rsid w:val="00602A00"/>
    <w:rsid w:val="009359A3"/>
    <w:rsid w:val="00B909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50DFE-C345-4BA8-9DD3-B57B87B6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9A3"/>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A58C9"/>
    <w:pPr>
      <w:spacing w:after="0" w:line="240" w:lineRule="auto"/>
    </w:pPr>
  </w:style>
  <w:style w:type="paragraph" w:styleId="Textodeglobo">
    <w:name w:val="Balloon Text"/>
    <w:basedOn w:val="Normal"/>
    <w:link w:val="TextodegloboCar"/>
    <w:uiPriority w:val="99"/>
    <w:semiHidden/>
    <w:unhideWhenUsed/>
    <w:rsid w:val="000A58C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58C9"/>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08782C"/>
    <w:pPr>
      <w:tabs>
        <w:tab w:val="center" w:pos="4419"/>
        <w:tab w:val="right" w:pos="8838"/>
      </w:tabs>
    </w:pPr>
  </w:style>
  <w:style w:type="character" w:customStyle="1" w:styleId="EncabezadoCar">
    <w:name w:val="Encabezado Car"/>
    <w:basedOn w:val="Fuentedeprrafopredeter"/>
    <w:link w:val="Encabezado"/>
    <w:uiPriority w:val="99"/>
    <w:rsid w:val="0008782C"/>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08782C"/>
    <w:pPr>
      <w:tabs>
        <w:tab w:val="center" w:pos="4419"/>
        <w:tab w:val="right" w:pos="8838"/>
      </w:tabs>
    </w:pPr>
  </w:style>
  <w:style w:type="character" w:customStyle="1" w:styleId="PiedepginaCar">
    <w:name w:val="Pie de página Car"/>
    <w:basedOn w:val="Fuentedeprrafopredeter"/>
    <w:link w:val="Piedepgina"/>
    <w:uiPriority w:val="99"/>
    <w:rsid w:val="0008782C"/>
    <w:rPr>
      <w:rFonts w:ascii="Arial" w:eastAsia="Times New Roman" w:hAnsi="Arial"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948</Words>
  <Characters>5218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2019-12-19T17:34:00Z</cp:lastPrinted>
  <dcterms:created xsi:type="dcterms:W3CDTF">2019-12-26T17:06:00Z</dcterms:created>
  <dcterms:modified xsi:type="dcterms:W3CDTF">2019-12-26T17:06:00Z</dcterms:modified>
</cp:coreProperties>
</file>