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ED2CA5" w:rsidRPr="00821E00" w:rsidRDefault="00ED2CA5" w:rsidP="00ED2CA5">
      <w:pPr>
        <w:rPr>
          <w:rFonts w:cs="Arial"/>
          <w:b/>
          <w:snapToGrid w:val="0"/>
          <w:sz w:val="18"/>
          <w:szCs w:val="18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18"/>
          <w:szCs w:val="18"/>
          <w:lang w:val="es-ES_tradnl"/>
        </w:rPr>
      </w:pPr>
    </w:p>
    <w:p w:rsidR="00ED2CA5" w:rsidRPr="00821E00" w:rsidRDefault="00ED2CA5" w:rsidP="00ED2CA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ED2CA5" w:rsidRPr="00821E00" w:rsidRDefault="00ED2CA5" w:rsidP="00ED2CA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cs="Arial"/>
          <w:b/>
          <w:snapToGrid w:val="0"/>
          <w:sz w:val="24"/>
          <w:szCs w:val="24"/>
          <w:lang w:val="es-ES_tradnl"/>
        </w:rPr>
        <w:t xml:space="preserve">NÚMERO 497.- </w:t>
      </w:r>
    </w:p>
    <w:p w:rsidR="00ED2CA5" w:rsidRPr="00821E00" w:rsidRDefault="00ED2CA5" w:rsidP="00ED2CA5">
      <w:pPr>
        <w:widowControl w:val="0"/>
        <w:rPr>
          <w:rFonts w:cs="Arial"/>
          <w:b/>
          <w:snapToGrid w:val="0"/>
          <w:sz w:val="18"/>
          <w:szCs w:val="18"/>
          <w:lang w:val="es-ES_tradnl"/>
        </w:rPr>
      </w:pPr>
    </w:p>
    <w:p w:rsidR="00821E00" w:rsidRPr="00821E00" w:rsidRDefault="00821E00" w:rsidP="00821E00">
      <w:pPr>
        <w:jc w:val="lef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821E00" w:rsidRPr="00821E00" w:rsidRDefault="00821E00" w:rsidP="00821E00">
      <w:pPr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bookmarkStart w:id="0" w:name="_GoBack"/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ÚNICO.-</w:t>
      </w:r>
      <w:r w:rsidRPr="00821E00"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Se adiciona un último párrafo al artículo 201 del Código Penal de Coahuila De Zaragoza</w:t>
      </w:r>
      <w:bookmarkEnd w:id="0"/>
      <w:r w:rsidRPr="00821E00"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, para quedar como sigue:</w:t>
      </w:r>
    </w:p>
    <w:p w:rsidR="00821E00" w:rsidRPr="00821E00" w:rsidRDefault="00821E00" w:rsidP="00821E00">
      <w:pPr>
        <w:jc w:val="left"/>
        <w:rPr>
          <w:rFonts w:asciiTheme="minorHAnsi" w:eastAsiaTheme="minorHAnsi" w:hAnsiTheme="minorHAnsi" w:cstheme="minorBid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Artículo 201</w:t>
      </w:r>
      <w:r w:rsidRPr="00821E00"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…</w:t>
      </w:r>
    </w:p>
    <w:p w:rsidR="00821E00" w:rsidRDefault="00821E00" w:rsidP="00821E00">
      <w:pPr>
        <w:jc w:val="left"/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…</w:t>
      </w: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…</w:t>
      </w: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…</w:t>
      </w: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…</w:t>
      </w: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16"/>
          <w:szCs w:val="16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…</w:t>
      </w: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…</w:t>
      </w: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…</w:t>
      </w:r>
    </w:p>
    <w:p w:rsidR="00821E00" w:rsidRPr="00821E00" w:rsidRDefault="00821E00" w:rsidP="00821E00">
      <w:pPr>
        <w:jc w:val="left"/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Se aumentará en una mitad del mínimo y el máximo de las penas señaladas para las lesiones, según las mismas de que se trate conforme al artículo 200 de este Código, a quien se las infiera a una persona adulta mayor de 60 años o más.</w:t>
      </w:r>
    </w:p>
    <w:p w:rsidR="00821E00" w:rsidRDefault="00821E00" w:rsidP="00821E00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1E00" w:rsidRPr="00821E00" w:rsidRDefault="00821E00" w:rsidP="00821E00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1E00" w:rsidRPr="00A96E20" w:rsidRDefault="00821E00" w:rsidP="00821E00">
      <w:pPr>
        <w:jc w:val="center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r w:rsidRPr="00A96E2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T R </w:t>
      </w:r>
      <w:proofErr w:type="gramStart"/>
      <w:r w:rsidRPr="00A96E2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</w:t>
      </w:r>
      <w:proofErr w:type="gramEnd"/>
      <w:r w:rsidRPr="00A96E2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N S I T O R I O S</w:t>
      </w:r>
    </w:p>
    <w:p w:rsidR="00821E00" w:rsidRPr="00A96E20" w:rsidRDefault="00821E00" w:rsidP="00821E00">
      <w:pPr>
        <w:jc w:val="center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proofErr w:type="gramStart"/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PRIMERO.-</w:t>
      </w:r>
      <w:proofErr w:type="gramEnd"/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821E00"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Publíquese el presente Decreto en el Periódico Oficial del Gobierno del Estado.</w:t>
      </w:r>
    </w:p>
    <w:p w:rsid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821E00" w:rsidRDefault="00821E00" w:rsidP="00821E00">
      <w:pPr>
        <w:jc w:val="left"/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SEGUNDO.-</w:t>
      </w:r>
      <w:r w:rsidRPr="00821E00"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La publicación referida en el artículo transitorio primero deberá hacerse una vez que haza entrado en vigor el Decreto 403, de 2019.</w:t>
      </w:r>
    </w:p>
    <w:p w:rsidR="00821E00" w:rsidRPr="00821E00" w:rsidRDefault="00821E00" w:rsidP="00821E00">
      <w:pPr>
        <w:jc w:val="left"/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821E00" w:rsidRPr="00821E00" w:rsidRDefault="00821E00" w:rsidP="00821E00">
      <w:pPr>
        <w:jc w:val="left"/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821E00">
        <w:rPr>
          <w:rFonts w:eastAsia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lastRenderedPageBreak/>
        <w:t xml:space="preserve">TERCERO.- </w:t>
      </w:r>
      <w:r w:rsidRPr="00821E00">
        <w:rPr>
          <w:rFonts w:eastAsiaTheme="minorHAnsi" w:cs="Arial"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El presente decreto entrará en vigor al día siguiente de su publicación en el Periódico Oficial del Gobierno del Estado.</w:t>
      </w:r>
    </w:p>
    <w:p w:rsidR="00ED2CA5" w:rsidRPr="00821E00" w:rsidRDefault="00ED2CA5" w:rsidP="00821E0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diecinueve días del mes de diciembre del año dos mil diecinueve.</w:t>
      </w:r>
    </w:p>
    <w:p w:rsidR="00ED2CA5" w:rsidRPr="00821E00" w:rsidRDefault="00ED2CA5" w:rsidP="00ED2CA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ED2CA5" w:rsidRPr="00821E00" w:rsidRDefault="00ED2CA5" w:rsidP="00ED2CA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ED2CA5" w:rsidRPr="00821E00" w:rsidRDefault="00ED2CA5" w:rsidP="00ED2CA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cs="Arial"/>
          <w:b/>
          <w:snapToGrid w:val="0"/>
          <w:sz w:val="24"/>
          <w:szCs w:val="24"/>
          <w:lang w:val="es-ES_tradnl"/>
        </w:rPr>
        <w:t xml:space="preserve">             </w:t>
      </w:r>
      <w:r w:rsidR="00821E00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  <w:r w:rsidRPr="00821E00">
        <w:rPr>
          <w:rFonts w:cs="Arial"/>
          <w:b/>
          <w:snapToGrid w:val="0"/>
          <w:sz w:val="24"/>
          <w:szCs w:val="24"/>
          <w:lang w:val="es-ES_tradnl"/>
        </w:rPr>
        <w:t xml:space="preserve">                                          </w:t>
      </w:r>
      <w:r w:rsidR="0005525B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821E00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ED2CA5" w:rsidRPr="00821E00" w:rsidRDefault="00ED2CA5" w:rsidP="00ED2CA5">
      <w:pPr>
        <w:rPr>
          <w:rFonts w:cs="Arial"/>
          <w:b/>
          <w:snapToGrid w:val="0"/>
          <w:sz w:val="24"/>
          <w:szCs w:val="24"/>
          <w:lang w:val="es-ES_tradnl"/>
        </w:rPr>
      </w:pPr>
      <w:r w:rsidRPr="00821E00">
        <w:rPr>
          <w:rFonts w:eastAsiaTheme="minorHAnsi" w:cs="Arial"/>
          <w:b/>
          <w:sz w:val="24"/>
          <w:szCs w:val="24"/>
          <w:lang w:eastAsia="en-US"/>
        </w:rPr>
        <w:t xml:space="preserve">      JESÚS ANDRÉS LOYA CARDONA                         EDGAR GERARDO SÁNCHEZ GARZA</w:t>
      </w: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ED2CA5" w:rsidRPr="00821E00" w:rsidRDefault="00ED2CA5" w:rsidP="00ED2CA5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rFonts w:cs="Arial"/>
          <w:sz w:val="24"/>
          <w:szCs w:val="24"/>
        </w:rPr>
      </w:pPr>
    </w:p>
    <w:p w:rsidR="00ED2CA5" w:rsidRPr="00821E00" w:rsidRDefault="00ED2CA5" w:rsidP="00ED2CA5">
      <w:pPr>
        <w:rPr>
          <w:sz w:val="24"/>
          <w:szCs w:val="24"/>
        </w:rPr>
      </w:pPr>
    </w:p>
    <w:p w:rsidR="00ED2CA5" w:rsidRPr="00821E00" w:rsidRDefault="00ED2CA5" w:rsidP="00ED2CA5">
      <w:pPr>
        <w:rPr>
          <w:sz w:val="24"/>
          <w:szCs w:val="24"/>
        </w:rPr>
      </w:pPr>
    </w:p>
    <w:p w:rsidR="00ED2CA5" w:rsidRPr="00821E00" w:rsidRDefault="00ED2CA5" w:rsidP="00ED2CA5">
      <w:pPr>
        <w:rPr>
          <w:sz w:val="24"/>
          <w:szCs w:val="24"/>
        </w:rPr>
      </w:pPr>
    </w:p>
    <w:p w:rsidR="00ED2CA5" w:rsidRPr="00821E00" w:rsidRDefault="00ED2CA5" w:rsidP="00ED2CA5"/>
    <w:p w:rsidR="00ED2CA5" w:rsidRPr="00821E00" w:rsidRDefault="00ED2CA5" w:rsidP="00ED2CA5"/>
    <w:p w:rsidR="00ED2CA5" w:rsidRPr="00821E00" w:rsidRDefault="00ED2CA5" w:rsidP="00ED2CA5"/>
    <w:p w:rsidR="00ED2CA5" w:rsidRPr="00821E00" w:rsidRDefault="00ED2CA5" w:rsidP="00ED2CA5"/>
    <w:p w:rsidR="00245157" w:rsidRPr="00821E00" w:rsidRDefault="004F1E50"/>
    <w:sectPr w:rsidR="00245157" w:rsidRPr="00821E00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50" w:rsidRDefault="004F1E50" w:rsidP="00A96E20">
      <w:r>
        <w:separator/>
      </w:r>
    </w:p>
  </w:endnote>
  <w:endnote w:type="continuationSeparator" w:id="0">
    <w:p w:rsidR="004F1E50" w:rsidRDefault="004F1E50" w:rsidP="00A9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50" w:rsidRDefault="004F1E50" w:rsidP="00A96E20">
      <w:r>
        <w:separator/>
      </w:r>
    </w:p>
  </w:footnote>
  <w:footnote w:type="continuationSeparator" w:id="0">
    <w:p w:rsidR="004F1E50" w:rsidRDefault="004F1E50" w:rsidP="00A9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96E20" w:rsidRPr="00D775E4" w:rsidTr="00DE74FA">
      <w:trPr>
        <w:jc w:val="center"/>
      </w:trPr>
      <w:tc>
        <w:tcPr>
          <w:tcW w:w="1253" w:type="dxa"/>
        </w:tcPr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96E20" w:rsidRPr="00815938" w:rsidRDefault="00A96E20" w:rsidP="00A96E20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8F51E1A" wp14:editId="1E90B9E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1382FA1" wp14:editId="5387F81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6E20" w:rsidRPr="002E1219" w:rsidRDefault="00A96E20" w:rsidP="00A96E2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96E20" w:rsidRDefault="00A96E20" w:rsidP="00A96E2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96E20" w:rsidRPr="00530EA8" w:rsidRDefault="00A96E20" w:rsidP="00A96E2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96E20" w:rsidRPr="00D775B7" w:rsidRDefault="00A96E20" w:rsidP="00A96E20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A96E20" w:rsidRPr="00D775E4" w:rsidRDefault="00A96E20" w:rsidP="00A96E2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96E20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Default="00A96E20" w:rsidP="00A96E20">
          <w:pPr>
            <w:jc w:val="center"/>
            <w:rPr>
              <w:b/>
              <w:bCs/>
              <w:sz w:val="12"/>
            </w:rPr>
          </w:pPr>
        </w:p>
        <w:p w:rsidR="00A96E20" w:rsidRPr="00D775E4" w:rsidRDefault="00A96E20" w:rsidP="00A96E20">
          <w:pPr>
            <w:jc w:val="center"/>
            <w:rPr>
              <w:b/>
              <w:bCs/>
              <w:sz w:val="12"/>
            </w:rPr>
          </w:pPr>
        </w:p>
      </w:tc>
    </w:tr>
  </w:tbl>
  <w:p w:rsidR="00A96E20" w:rsidRDefault="00A96E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A5"/>
    <w:rsid w:val="0005525B"/>
    <w:rsid w:val="000653EC"/>
    <w:rsid w:val="00277AE3"/>
    <w:rsid w:val="004562E7"/>
    <w:rsid w:val="004F1E50"/>
    <w:rsid w:val="00821E00"/>
    <w:rsid w:val="00A96E20"/>
    <w:rsid w:val="00E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7A9A1-98F0-46F3-96DB-1253925F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E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E0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6E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2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6E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2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2019-12-19T17:48:00Z</cp:lastPrinted>
  <dcterms:created xsi:type="dcterms:W3CDTF">2019-12-26T17:08:00Z</dcterms:created>
  <dcterms:modified xsi:type="dcterms:W3CDTF">2019-12-26T17:08:00Z</dcterms:modified>
</cp:coreProperties>
</file>