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59" w:rsidRPr="00D70659" w:rsidRDefault="00D70659" w:rsidP="00D70659">
      <w:pPr>
        <w:rPr>
          <w:rFonts w:cs="Arial"/>
          <w:b/>
          <w:bCs/>
          <w:sz w:val="28"/>
          <w:szCs w:val="28"/>
        </w:rPr>
      </w:pPr>
    </w:p>
    <w:p w:rsidR="00D70659" w:rsidRPr="00D70659" w:rsidRDefault="00D70659" w:rsidP="00D70659">
      <w:pPr>
        <w:rPr>
          <w:rFonts w:cs="Arial"/>
          <w:b/>
          <w:bCs/>
          <w:sz w:val="28"/>
          <w:szCs w:val="28"/>
        </w:rPr>
      </w:pPr>
    </w:p>
    <w:p w:rsidR="00D70659" w:rsidRPr="00D70659" w:rsidRDefault="00D70659" w:rsidP="00D70659">
      <w:pPr>
        <w:rPr>
          <w:rFonts w:cs="Arial"/>
          <w:b/>
          <w:bCs/>
          <w:sz w:val="28"/>
          <w:szCs w:val="28"/>
        </w:rPr>
      </w:pPr>
    </w:p>
    <w:p w:rsidR="00D70659" w:rsidRPr="00D70659" w:rsidRDefault="00D70659" w:rsidP="00D70659">
      <w:pPr>
        <w:rPr>
          <w:rFonts w:cs="Arial"/>
          <w:b/>
          <w:bCs/>
          <w:sz w:val="28"/>
          <w:szCs w:val="28"/>
        </w:rPr>
      </w:pPr>
    </w:p>
    <w:p w:rsidR="00D70659" w:rsidRPr="00D70659" w:rsidRDefault="00D70659" w:rsidP="00D70659">
      <w:pPr>
        <w:rPr>
          <w:rFonts w:cs="Arial"/>
          <w:b/>
          <w:bCs/>
          <w:sz w:val="28"/>
          <w:szCs w:val="28"/>
        </w:rPr>
      </w:pPr>
    </w:p>
    <w:p w:rsidR="00D70659" w:rsidRPr="00D70659" w:rsidRDefault="00D70659" w:rsidP="00D70659">
      <w:pPr>
        <w:rPr>
          <w:rFonts w:cs="Arial"/>
          <w:b/>
          <w:snapToGrid w:val="0"/>
          <w:sz w:val="28"/>
          <w:szCs w:val="28"/>
          <w:lang w:val="es-ES_tradnl"/>
        </w:rPr>
      </w:pPr>
      <w:r w:rsidRPr="00D70659">
        <w:rPr>
          <w:rFonts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D70659" w:rsidRPr="00D70659" w:rsidRDefault="00D70659" w:rsidP="00D7065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  <w:r w:rsidRPr="00D70659">
        <w:rPr>
          <w:rFonts w:cs="Arial"/>
          <w:b/>
          <w:snapToGrid w:val="0"/>
          <w:sz w:val="28"/>
          <w:szCs w:val="28"/>
          <w:lang w:val="es-ES_tradnl"/>
        </w:rPr>
        <w:t>DECRETA:</w:t>
      </w:r>
    </w:p>
    <w:p w:rsidR="00D70659" w:rsidRPr="00D70659" w:rsidRDefault="00D70659" w:rsidP="00D7065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  <w:r w:rsidRPr="00D70659">
        <w:rPr>
          <w:rFonts w:cs="Arial"/>
          <w:b/>
          <w:snapToGrid w:val="0"/>
          <w:sz w:val="28"/>
          <w:szCs w:val="28"/>
          <w:lang w:val="es-ES_tradnl"/>
        </w:rPr>
        <w:t xml:space="preserve">NÚMERO 579.- </w:t>
      </w:r>
    </w:p>
    <w:p w:rsidR="00D70659" w:rsidRPr="00D70659" w:rsidRDefault="00D70659" w:rsidP="00D7065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spacing w:line="276" w:lineRule="auto"/>
        <w:rPr>
          <w:rFonts w:cs="Arial"/>
          <w:sz w:val="28"/>
          <w:szCs w:val="28"/>
        </w:rPr>
      </w:pPr>
      <w:r w:rsidRPr="00D70659">
        <w:rPr>
          <w:rFonts w:cs="Arial"/>
          <w:b/>
          <w:sz w:val="28"/>
          <w:szCs w:val="28"/>
        </w:rPr>
        <w:t>ARTÍCULO ÚNICO.</w:t>
      </w:r>
      <w:r w:rsidR="0026192D">
        <w:rPr>
          <w:rFonts w:cs="Arial"/>
          <w:b/>
          <w:sz w:val="28"/>
          <w:szCs w:val="28"/>
        </w:rPr>
        <w:t>-</w:t>
      </w:r>
      <w:r w:rsidRPr="00D70659">
        <w:rPr>
          <w:rFonts w:cs="Arial"/>
          <w:b/>
          <w:sz w:val="28"/>
          <w:szCs w:val="28"/>
        </w:rPr>
        <w:t xml:space="preserve">  </w:t>
      </w:r>
      <w:r w:rsidRPr="00D70659">
        <w:rPr>
          <w:rFonts w:cs="Arial"/>
          <w:sz w:val="28"/>
          <w:szCs w:val="28"/>
        </w:rPr>
        <w:t xml:space="preserve">Se reforma el primer párrafo de la fracción I y se adicionan los incisos a) y b) a la misma y se adiciona un tercer y cuarto párrafo al inciso b) de la fracción II del Artículo 33-B de la </w:t>
      </w:r>
      <w:bookmarkStart w:id="0" w:name="_GoBack"/>
      <w:r w:rsidRPr="00D70659">
        <w:rPr>
          <w:rFonts w:cs="Arial"/>
          <w:sz w:val="28"/>
          <w:szCs w:val="28"/>
        </w:rPr>
        <w:t xml:space="preserve">Ley Reglamentaria del Presupuesto de Egresos del Estado </w:t>
      </w:r>
      <w:bookmarkEnd w:id="0"/>
      <w:r w:rsidRPr="00D70659">
        <w:rPr>
          <w:rFonts w:cs="Arial"/>
          <w:sz w:val="28"/>
          <w:szCs w:val="28"/>
        </w:rPr>
        <w:t>de Coahuila de Zaragoza, para quedar como sigue:</w:t>
      </w:r>
    </w:p>
    <w:p w:rsidR="00D70659" w:rsidRPr="00D70659" w:rsidRDefault="00D70659" w:rsidP="00D70659">
      <w:pPr>
        <w:spacing w:line="276" w:lineRule="auto"/>
        <w:rPr>
          <w:rFonts w:eastAsia="Calibri" w:cs="Arial"/>
          <w:b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b/>
          <w:sz w:val="28"/>
          <w:szCs w:val="28"/>
        </w:rPr>
      </w:pPr>
      <w:r w:rsidRPr="00D70659">
        <w:rPr>
          <w:rFonts w:eastAsia="Calibri" w:cs="Arial"/>
          <w:b/>
          <w:sz w:val="28"/>
          <w:szCs w:val="28"/>
        </w:rPr>
        <w:t xml:space="preserve">ARTÍCULO 33-B.- </w:t>
      </w:r>
      <w:proofErr w:type="gramStart"/>
      <w:r w:rsidRPr="00D70659">
        <w:rPr>
          <w:rFonts w:eastAsia="Calibri" w:cs="Arial"/>
          <w:b/>
          <w:sz w:val="28"/>
          <w:szCs w:val="28"/>
        </w:rPr>
        <w:t>. . . .</w:t>
      </w:r>
      <w:proofErr w:type="gramEnd"/>
    </w:p>
    <w:p w:rsidR="00D70659" w:rsidRPr="00D70659" w:rsidRDefault="00D70659" w:rsidP="00D70659">
      <w:pPr>
        <w:spacing w:line="276" w:lineRule="auto"/>
        <w:rPr>
          <w:rFonts w:eastAsia="Calibri" w:cs="Arial"/>
          <w:b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  <w:r w:rsidRPr="00D70659">
        <w:rPr>
          <w:rFonts w:eastAsia="Calibri" w:cs="Arial"/>
          <w:b/>
          <w:sz w:val="28"/>
          <w:szCs w:val="28"/>
        </w:rPr>
        <w:t>I.</w:t>
      </w:r>
      <w:r w:rsidRPr="00D70659">
        <w:rPr>
          <w:rFonts w:eastAsia="Calibri" w:cs="Arial"/>
          <w:sz w:val="28"/>
          <w:szCs w:val="28"/>
        </w:rPr>
        <w:t xml:space="preserve"> </w:t>
      </w:r>
      <w:r w:rsidRPr="00D70659">
        <w:rPr>
          <w:rFonts w:eastAsia="Calibri" w:cs="Arial"/>
          <w:sz w:val="28"/>
          <w:szCs w:val="28"/>
        </w:rPr>
        <w:tab/>
        <w:t>Para la amortización anticipada de la Deuda Pública, el pago de adeudos de ejercicios fiscales anteriores, pasivos circulantes y otras obligaciones, en cuyos contratos se haya pactado el pago anticipado sin incurrir en penalidades y representen una disminución del saldo registrado en la cuenta pública del cierre del ejercicio inmediato anterior, así como el pago de sentencias definitivas emitidas por la autoridad competente, la aportación a fondos para la atención de desastres naturales y de pensiones, conforme a lo siguiente:</w:t>
      </w: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  <w:r w:rsidRPr="00D70659">
        <w:rPr>
          <w:rFonts w:eastAsia="Calibri" w:cs="Arial"/>
          <w:b/>
          <w:sz w:val="28"/>
          <w:szCs w:val="28"/>
        </w:rPr>
        <w:t>a)</w:t>
      </w:r>
      <w:r w:rsidRPr="00D70659">
        <w:rPr>
          <w:rFonts w:eastAsia="Calibri" w:cs="Arial"/>
          <w:sz w:val="28"/>
          <w:szCs w:val="28"/>
        </w:rPr>
        <w:t xml:space="preserve"> </w:t>
      </w:r>
      <w:r w:rsidRPr="00D70659">
        <w:rPr>
          <w:rFonts w:eastAsia="Calibri" w:cs="Arial"/>
          <w:sz w:val="28"/>
          <w:szCs w:val="28"/>
        </w:rPr>
        <w:tab/>
        <w:t>Cuando la Entidad Federativa se clasifique en un nivel de endeudamiento elevado, de acuerdo al Sistema de Alertas, cuando menos el 50 por ciento;</w:t>
      </w: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  <w:r w:rsidRPr="00D70659">
        <w:rPr>
          <w:rFonts w:eastAsia="Calibri" w:cs="Arial"/>
          <w:b/>
          <w:sz w:val="28"/>
          <w:szCs w:val="28"/>
        </w:rPr>
        <w:lastRenderedPageBreak/>
        <w:t>b)</w:t>
      </w:r>
      <w:r w:rsidRPr="00D70659">
        <w:rPr>
          <w:rFonts w:eastAsia="Calibri" w:cs="Arial"/>
          <w:sz w:val="28"/>
          <w:szCs w:val="28"/>
        </w:rPr>
        <w:t xml:space="preserve"> </w:t>
      </w:r>
      <w:r w:rsidRPr="00D70659">
        <w:rPr>
          <w:rFonts w:eastAsia="Calibri" w:cs="Arial"/>
          <w:sz w:val="28"/>
          <w:szCs w:val="28"/>
        </w:rPr>
        <w:tab/>
        <w:t>Cuando la Entidad Federativa se clasifique en un nivel de endeudamiento en observación, de acuerdo al Sistema de Alertas, cuando menos el 30 por ciento, y</w:t>
      </w: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  <w:r w:rsidRPr="00D70659">
        <w:rPr>
          <w:rFonts w:eastAsia="Calibri" w:cs="Arial"/>
          <w:sz w:val="28"/>
          <w:szCs w:val="28"/>
        </w:rPr>
        <w:t xml:space="preserve"> </w:t>
      </w:r>
    </w:p>
    <w:p w:rsidR="00D70659" w:rsidRPr="00D70659" w:rsidRDefault="00D70659" w:rsidP="00D70659">
      <w:pPr>
        <w:spacing w:line="276" w:lineRule="auto"/>
        <w:rPr>
          <w:rFonts w:eastAsia="Calibri" w:cs="Arial"/>
          <w:b/>
          <w:sz w:val="28"/>
          <w:szCs w:val="28"/>
        </w:rPr>
      </w:pPr>
      <w:r w:rsidRPr="00D70659">
        <w:rPr>
          <w:rFonts w:eastAsia="Calibri" w:cs="Arial"/>
          <w:b/>
          <w:sz w:val="28"/>
          <w:szCs w:val="28"/>
        </w:rPr>
        <w:t>II……</w:t>
      </w: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b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b/>
          <w:sz w:val="28"/>
          <w:szCs w:val="28"/>
        </w:rPr>
      </w:pPr>
      <w:r w:rsidRPr="00D70659">
        <w:rPr>
          <w:rFonts w:eastAsia="Calibri" w:cs="Arial"/>
          <w:b/>
          <w:sz w:val="28"/>
          <w:szCs w:val="28"/>
        </w:rPr>
        <w:t>a)……</w:t>
      </w:r>
    </w:p>
    <w:p w:rsidR="00D70659" w:rsidRDefault="00D70659" w:rsidP="00D70659">
      <w:pPr>
        <w:spacing w:line="276" w:lineRule="auto"/>
        <w:rPr>
          <w:rFonts w:eastAsia="Calibri" w:cs="Arial"/>
          <w:b/>
          <w:sz w:val="28"/>
          <w:szCs w:val="28"/>
        </w:rPr>
      </w:pPr>
    </w:p>
    <w:p w:rsidR="0026192D" w:rsidRPr="00D70659" w:rsidRDefault="0026192D" w:rsidP="00D70659">
      <w:pPr>
        <w:spacing w:line="276" w:lineRule="auto"/>
        <w:rPr>
          <w:rFonts w:eastAsia="Calibri" w:cs="Arial"/>
          <w:b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b/>
          <w:sz w:val="28"/>
          <w:szCs w:val="28"/>
        </w:rPr>
      </w:pPr>
      <w:r w:rsidRPr="00D70659">
        <w:rPr>
          <w:rFonts w:eastAsia="Calibri" w:cs="Arial"/>
          <w:b/>
          <w:sz w:val="28"/>
          <w:szCs w:val="28"/>
        </w:rPr>
        <w:t>b</w:t>
      </w:r>
      <w:proofErr w:type="gramStart"/>
      <w:r w:rsidRPr="00D70659">
        <w:rPr>
          <w:rFonts w:eastAsia="Calibri" w:cs="Arial"/>
          <w:b/>
          <w:sz w:val="28"/>
          <w:szCs w:val="28"/>
        </w:rPr>
        <w:t>)….</w:t>
      </w:r>
      <w:proofErr w:type="gramEnd"/>
      <w:r w:rsidRPr="00D70659">
        <w:rPr>
          <w:rFonts w:eastAsia="Calibri" w:cs="Arial"/>
          <w:b/>
          <w:sz w:val="28"/>
          <w:szCs w:val="28"/>
        </w:rPr>
        <w:t>.</w:t>
      </w: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</w:p>
    <w:p w:rsidR="00D70659" w:rsidRDefault="00D70659" w:rsidP="00D70659">
      <w:pPr>
        <w:spacing w:line="276" w:lineRule="auto"/>
        <w:rPr>
          <w:rFonts w:eastAsia="Calibri" w:cs="Arial"/>
          <w:b/>
          <w:sz w:val="28"/>
          <w:szCs w:val="28"/>
        </w:rPr>
      </w:pPr>
      <w:r w:rsidRPr="00D70659">
        <w:rPr>
          <w:rFonts w:eastAsia="Calibri" w:cs="Arial"/>
          <w:b/>
          <w:sz w:val="28"/>
          <w:szCs w:val="28"/>
        </w:rPr>
        <w:t>….</w:t>
      </w:r>
    </w:p>
    <w:p w:rsidR="0026192D" w:rsidRPr="00D70659" w:rsidRDefault="0026192D" w:rsidP="00D70659">
      <w:pPr>
        <w:spacing w:line="276" w:lineRule="auto"/>
        <w:rPr>
          <w:rFonts w:eastAsia="Calibri" w:cs="Arial"/>
          <w:b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  <w:r w:rsidRPr="00D70659">
        <w:rPr>
          <w:rFonts w:eastAsia="Calibri" w:cs="Arial"/>
          <w:sz w:val="28"/>
          <w:szCs w:val="28"/>
        </w:rPr>
        <w:t>Cuando la Entidad Federativa se clasifique en un nivel de endeudamiento sostenible de acuerdo al Sistema de Alertas, podrá utilizar hasta un 5 por ciento de los recursos a los que se refiere el presente artículo para cubrir Gasto corriente.</w:t>
      </w:r>
    </w:p>
    <w:p w:rsid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</w:p>
    <w:p w:rsidR="0026192D" w:rsidRPr="00D70659" w:rsidRDefault="0026192D" w:rsidP="00D70659">
      <w:pPr>
        <w:spacing w:line="276" w:lineRule="auto"/>
        <w:rPr>
          <w:rFonts w:eastAsia="Calibri" w:cs="Arial"/>
          <w:sz w:val="28"/>
          <w:szCs w:val="28"/>
        </w:rPr>
      </w:pPr>
    </w:p>
    <w:p w:rsidR="00D70659" w:rsidRPr="00D70659" w:rsidRDefault="00D70659" w:rsidP="00D70659">
      <w:pPr>
        <w:spacing w:line="276" w:lineRule="auto"/>
        <w:rPr>
          <w:rFonts w:eastAsia="Calibri" w:cs="Arial"/>
          <w:sz w:val="28"/>
          <w:szCs w:val="28"/>
        </w:rPr>
      </w:pPr>
      <w:r w:rsidRPr="00D70659">
        <w:rPr>
          <w:rFonts w:eastAsia="Calibri" w:cs="Arial"/>
          <w:sz w:val="28"/>
          <w:szCs w:val="28"/>
        </w:rPr>
        <w:t>Tratándose de Ingresos de libre disposición que se encuentren destinados a un fin específico en términos de las leyes, no resultarán aplicables las disposiciones establecidas en el presente artículo.</w:t>
      </w:r>
    </w:p>
    <w:p w:rsidR="00D70659" w:rsidRPr="00D70659" w:rsidRDefault="00D70659" w:rsidP="00D70659">
      <w:pPr>
        <w:spacing w:line="276" w:lineRule="auto"/>
        <w:rPr>
          <w:rFonts w:cs="Arial"/>
          <w:sz w:val="28"/>
          <w:szCs w:val="28"/>
        </w:rPr>
      </w:pPr>
      <w:r w:rsidRPr="00D70659">
        <w:rPr>
          <w:rFonts w:cs="Arial"/>
          <w:sz w:val="28"/>
          <w:szCs w:val="28"/>
        </w:rPr>
        <w:t xml:space="preserve"> </w:t>
      </w:r>
    </w:p>
    <w:p w:rsidR="00D70659" w:rsidRPr="00D70659" w:rsidRDefault="00D70659" w:rsidP="00D70659">
      <w:pPr>
        <w:spacing w:line="276" w:lineRule="auto"/>
        <w:rPr>
          <w:rFonts w:cs="Arial"/>
          <w:sz w:val="28"/>
          <w:szCs w:val="28"/>
        </w:rPr>
      </w:pPr>
    </w:p>
    <w:p w:rsidR="00D70659" w:rsidRPr="00535FED" w:rsidRDefault="00D70659" w:rsidP="00D70659">
      <w:pPr>
        <w:jc w:val="center"/>
        <w:rPr>
          <w:rFonts w:cs="Arial"/>
          <w:b/>
          <w:sz w:val="28"/>
          <w:szCs w:val="28"/>
          <w:lang w:val="en-US"/>
        </w:rPr>
      </w:pPr>
      <w:r w:rsidRPr="00535FED">
        <w:rPr>
          <w:rFonts w:cs="Arial"/>
          <w:b/>
          <w:sz w:val="28"/>
          <w:szCs w:val="28"/>
          <w:lang w:val="en-US"/>
        </w:rPr>
        <w:t xml:space="preserve">T R </w:t>
      </w:r>
      <w:proofErr w:type="gramStart"/>
      <w:r w:rsidRPr="00535FED">
        <w:rPr>
          <w:rFonts w:cs="Arial"/>
          <w:b/>
          <w:sz w:val="28"/>
          <w:szCs w:val="28"/>
          <w:lang w:val="en-US"/>
        </w:rPr>
        <w:t>A</w:t>
      </w:r>
      <w:proofErr w:type="gramEnd"/>
      <w:r w:rsidRPr="00535FED">
        <w:rPr>
          <w:rFonts w:cs="Arial"/>
          <w:b/>
          <w:sz w:val="28"/>
          <w:szCs w:val="28"/>
          <w:lang w:val="en-US"/>
        </w:rPr>
        <w:t xml:space="preserve"> N S I T O R I O S</w:t>
      </w:r>
    </w:p>
    <w:p w:rsidR="00D70659" w:rsidRPr="00535FED" w:rsidRDefault="00D70659" w:rsidP="00D70659">
      <w:pPr>
        <w:jc w:val="center"/>
        <w:rPr>
          <w:rFonts w:cs="Arial"/>
          <w:b/>
          <w:sz w:val="28"/>
          <w:szCs w:val="28"/>
          <w:lang w:val="en-US"/>
        </w:rPr>
      </w:pPr>
    </w:p>
    <w:p w:rsidR="00D70659" w:rsidRPr="00535FED" w:rsidRDefault="00D70659" w:rsidP="00D70659">
      <w:pPr>
        <w:spacing w:line="276" w:lineRule="auto"/>
        <w:rPr>
          <w:rFonts w:cs="Arial"/>
          <w:b/>
          <w:sz w:val="28"/>
          <w:szCs w:val="28"/>
          <w:lang w:val="en-US"/>
        </w:rPr>
      </w:pPr>
    </w:p>
    <w:p w:rsidR="00D70659" w:rsidRPr="00D70659" w:rsidRDefault="00D70659" w:rsidP="00D70659">
      <w:pPr>
        <w:spacing w:line="276" w:lineRule="auto"/>
        <w:rPr>
          <w:rFonts w:cs="Arial"/>
          <w:sz w:val="28"/>
          <w:szCs w:val="28"/>
        </w:rPr>
      </w:pPr>
      <w:proofErr w:type="gramStart"/>
      <w:r w:rsidRPr="00D70659">
        <w:rPr>
          <w:rFonts w:cs="Arial"/>
          <w:b/>
          <w:sz w:val="28"/>
          <w:szCs w:val="28"/>
        </w:rPr>
        <w:t>PRIMERO.-</w:t>
      </w:r>
      <w:proofErr w:type="gramEnd"/>
      <w:r w:rsidRPr="00D70659">
        <w:rPr>
          <w:rFonts w:cs="Arial"/>
          <w:b/>
          <w:sz w:val="28"/>
          <w:szCs w:val="28"/>
        </w:rPr>
        <w:t xml:space="preserve"> </w:t>
      </w:r>
      <w:r w:rsidRPr="00D70659">
        <w:rPr>
          <w:rFonts w:cs="Arial"/>
          <w:sz w:val="28"/>
          <w:szCs w:val="28"/>
        </w:rPr>
        <w:t>El presente Decreto entrará en vigor al día siguiente de su publicación en el Periódico Oficial del Gobierno del Estado.</w:t>
      </w:r>
    </w:p>
    <w:p w:rsidR="00D70659" w:rsidRPr="00D70659" w:rsidRDefault="00D70659" w:rsidP="00D70659">
      <w:pPr>
        <w:spacing w:line="276" w:lineRule="auto"/>
        <w:rPr>
          <w:rFonts w:cs="Arial"/>
          <w:sz w:val="28"/>
          <w:szCs w:val="28"/>
        </w:rPr>
      </w:pPr>
    </w:p>
    <w:p w:rsidR="00D70659" w:rsidRPr="00D70659" w:rsidRDefault="00D70659" w:rsidP="00D70659">
      <w:pPr>
        <w:spacing w:before="100" w:beforeAutospacing="1" w:after="100" w:afterAutospacing="1" w:line="276" w:lineRule="auto"/>
        <w:rPr>
          <w:rFonts w:cs="Arial"/>
          <w:sz w:val="28"/>
          <w:szCs w:val="28"/>
        </w:rPr>
      </w:pPr>
      <w:r w:rsidRPr="00D70659">
        <w:rPr>
          <w:rFonts w:cs="Arial"/>
          <w:b/>
          <w:sz w:val="28"/>
          <w:szCs w:val="28"/>
        </w:rPr>
        <w:lastRenderedPageBreak/>
        <w:t xml:space="preserve">SEGUNDO.- </w:t>
      </w:r>
      <w:r w:rsidRPr="00D70659">
        <w:rPr>
          <w:rFonts w:cs="Arial"/>
          <w:sz w:val="28"/>
          <w:szCs w:val="28"/>
        </w:rPr>
        <w:t>Publíquese en el Periódico Oficial del Gobierno del Estado.</w:t>
      </w:r>
    </w:p>
    <w:p w:rsidR="00D70659" w:rsidRPr="00D70659" w:rsidRDefault="00D70659" w:rsidP="00D7065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widowControl w:val="0"/>
        <w:tabs>
          <w:tab w:val="left" w:pos="8749"/>
        </w:tabs>
        <w:rPr>
          <w:rFonts w:cs="Arial"/>
          <w:bCs/>
          <w:sz w:val="28"/>
          <w:szCs w:val="28"/>
        </w:rPr>
      </w:pPr>
    </w:p>
    <w:p w:rsidR="00D70659" w:rsidRPr="00D70659" w:rsidRDefault="00D70659" w:rsidP="00D70659">
      <w:pPr>
        <w:widowControl w:val="0"/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widowControl w:val="0"/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  <w:r w:rsidRPr="00D70659">
        <w:rPr>
          <w:rFonts w:cs="Arial"/>
          <w:b/>
          <w:snapToGrid w:val="0"/>
          <w:sz w:val="28"/>
          <w:szCs w:val="28"/>
          <w:lang w:val="es-ES_tradnl"/>
        </w:rPr>
        <w:t>DADO en la Ciudad de Saltillo, Coahuila de Zaragoza, a los once días del mes de marzo del año dos mil veinte.</w:t>
      </w: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  <w:r w:rsidRPr="00D70659">
        <w:rPr>
          <w:rFonts w:cs="Arial"/>
          <w:b/>
          <w:snapToGrid w:val="0"/>
          <w:sz w:val="28"/>
          <w:szCs w:val="28"/>
          <w:lang w:val="es-ES_tradnl"/>
        </w:rPr>
        <w:t>DIPUTADO PRESIDENTE</w:t>
      </w:r>
    </w:p>
    <w:p w:rsidR="00D70659" w:rsidRPr="00D70659" w:rsidRDefault="00D70659" w:rsidP="00D7065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  <w:r w:rsidRPr="00D70659">
        <w:rPr>
          <w:rFonts w:cs="Arial"/>
          <w:b/>
          <w:snapToGrid w:val="0"/>
          <w:sz w:val="28"/>
          <w:szCs w:val="28"/>
          <w:lang w:val="es-ES_tradnl"/>
        </w:rPr>
        <w:t>JAIME BUENO ZERTUCHE</w:t>
      </w: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  <w:r w:rsidRPr="00D70659">
        <w:rPr>
          <w:rFonts w:cs="Arial"/>
          <w:b/>
          <w:snapToGrid w:val="0"/>
          <w:sz w:val="28"/>
          <w:szCs w:val="28"/>
          <w:lang w:val="es-ES_tradnl"/>
        </w:rPr>
        <w:t xml:space="preserve">             DIPUTADA SECRETARIA  </w:t>
      </w:r>
      <w:r w:rsidR="0026192D">
        <w:rPr>
          <w:rFonts w:cs="Arial"/>
          <w:b/>
          <w:snapToGrid w:val="0"/>
          <w:sz w:val="28"/>
          <w:szCs w:val="28"/>
          <w:lang w:val="es-ES_tradnl"/>
        </w:rPr>
        <w:t xml:space="preserve">                      </w:t>
      </w:r>
      <w:r w:rsidRPr="00D70659">
        <w:rPr>
          <w:rFonts w:cs="Arial"/>
          <w:b/>
          <w:snapToGrid w:val="0"/>
          <w:sz w:val="28"/>
          <w:szCs w:val="28"/>
          <w:lang w:val="es-ES_tradnl"/>
        </w:rPr>
        <w:t xml:space="preserve">DIPUTADA SECRETARIA </w:t>
      </w: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D70659" w:rsidRPr="00D70659" w:rsidRDefault="00D70659" w:rsidP="00D70659">
      <w:pPr>
        <w:tabs>
          <w:tab w:val="left" w:pos="8749"/>
        </w:tabs>
        <w:rPr>
          <w:rFonts w:cs="Arial"/>
          <w:b/>
          <w:sz w:val="28"/>
          <w:szCs w:val="28"/>
          <w:lang w:val="es-ES_tradnl"/>
        </w:rPr>
      </w:pPr>
      <w:r w:rsidRPr="00D70659">
        <w:rPr>
          <w:rFonts w:cs="Arial"/>
          <w:b/>
          <w:snapToGrid w:val="0"/>
          <w:sz w:val="28"/>
          <w:szCs w:val="28"/>
          <w:lang w:val="es-ES_tradnl"/>
        </w:rPr>
        <w:t xml:space="preserve">   LILIA ISABEL GUTI</w:t>
      </w:r>
      <w:r w:rsidR="0026192D">
        <w:rPr>
          <w:rFonts w:cs="Arial"/>
          <w:b/>
          <w:snapToGrid w:val="0"/>
          <w:sz w:val="28"/>
          <w:szCs w:val="28"/>
          <w:lang w:val="es-ES_tradnl"/>
        </w:rPr>
        <w:t xml:space="preserve">ÉRREZ BURCIAGA            </w:t>
      </w:r>
      <w:r w:rsidRPr="00D70659">
        <w:rPr>
          <w:rFonts w:cs="Arial"/>
          <w:b/>
          <w:snapToGrid w:val="0"/>
          <w:sz w:val="28"/>
          <w:szCs w:val="28"/>
          <w:lang w:val="es-ES_tradnl"/>
        </w:rPr>
        <w:t>JOSEFINA GARZA BARRERA</w:t>
      </w:r>
    </w:p>
    <w:p w:rsidR="00D70659" w:rsidRPr="00D70659" w:rsidRDefault="00D70659" w:rsidP="00D70659">
      <w:pPr>
        <w:widowControl w:val="0"/>
        <w:tabs>
          <w:tab w:val="left" w:pos="8749"/>
        </w:tabs>
        <w:rPr>
          <w:rFonts w:cs="Arial"/>
          <w:sz w:val="28"/>
          <w:szCs w:val="28"/>
          <w:lang w:val="es-ES_tradnl"/>
        </w:rPr>
      </w:pPr>
    </w:p>
    <w:p w:rsidR="00D70659" w:rsidRPr="00D70659" w:rsidRDefault="00D70659" w:rsidP="00D70659">
      <w:pPr>
        <w:widowControl w:val="0"/>
        <w:tabs>
          <w:tab w:val="left" w:pos="8749"/>
        </w:tabs>
        <w:rPr>
          <w:rFonts w:cs="Arial"/>
          <w:sz w:val="28"/>
          <w:szCs w:val="28"/>
          <w:lang w:val="es-ES_tradnl"/>
        </w:rPr>
      </w:pPr>
    </w:p>
    <w:p w:rsidR="00D70659" w:rsidRPr="00D70659" w:rsidRDefault="00D70659" w:rsidP="00D70659">
      <w:pPr>
        <w:rPr>
          <w:rFonts w:cs="Arial"/>
          <w:sz w:val="28"/>
          <w:szCs w:val="28"/>
          <w:lang w:val="es-ES_tradnl"/>
        </w:rPr>
      </w:pPr>
    </w:p>
    <w:p w:rsidR="00D70659" w:rsidRPr="00D70659" w:rsidRDefault="00D70659" w:rsidP="00D70659">
      <w:pPr>
        <w:rPr>
          <w:sz w:val="28"/>
          <w:szCs w:val="28"/>
          <w:lang w:val="es-ES_tradnl"/>
        </w:rPr>
      </w:pPr>
    </w:p>
    <w:p w:rsidR="00D70659" w:rsidRPr="00D70659" w:rsidRDefault="00D70659" w:rsidP="00D70659">
      <w:pPr>
        <w:jc w:val="center"/>
        <w:rPr>
          <w:rFonts w:cs="Arial"/>
          <w:b/>
          <w:sz w:val="28"/>
          <w:szCs w:val="28"/>
          <w:lang w:val="es-ES_tradnl"/>
        </w:rPr>
      </w:pPr>
    </w:p>
    <w:p w:rsidR="00D70659" w:rsidRPr="00D70659" w:rsidRDefault="00D70659" w:rsidP="00D70659">
      <w:pPr>
        <w:rPr>
          <w:sz w:val="28"/>
          <w:szCs w:val="28"/>
          <w:lang w:val="es-ES_tradnl"/>
        </w:rPr>
      </w:pPr>
    </w:p>
    <w:p w:rsidR="00D70659" w:rsidRPr="00D70659" w:rsidRDefault="00D70659" w:rsidP="00D70659">
      <w:pPr>
        <w:rPr>
          <w:sz w:val="28"/>
          <w:szCs w:val="28"/>
          <w:lang w:val="es-ES_tradnl"/>
        </w:rPr>
      </w:pPr>
    </w:p>
    <w:p w:rsidR="00D70659" w:rsidRPr="00D70659" w:rsidRDefault="00D70659" w:rsidP="00D70659">
      <w:pPr>
        <w:rPr>
          <w:sz w:val="28"/>
          <w:szCs w:val="28"/>
          <w:lang w:val="es-ES_tradnl"/>
        </w:rPr>
      </w:pPr>
    </w:p>
    <w:p w:rsidR="00D70659" w:rsidRPr="00D70659" w:rsidRDefault="00D70659" w:rsidP="00D70659">
      <w:pPr>
        <w:rPr>
          <w:sz w:val="28"/>
          <w:szCs w:val="28"/>
          <w:lang w:val="es-ES_tradnl"/>
        </w:rPr>
      </w:pPr>
    </w:p>
    <w:p w:rsidR="00D70659" w:rsidRPr="00D70659" w:rsidRDefault="00D70659" w:rsidP="00D70659">
      <w:pPr>
        <w:rPr>
          <w:sz w:val="28"/>
          <w:szCs w:val="28"/>
          <w:lang w:val="es-ES_tradnl"/>
        </w:rPr>
      </w:pPr>
    </w:p>
    <w:p w:rsidR="00D70659" w:rsidRPr="00D70659" w:rsidRDefault="00D70659" w:rsidP="00D70659">
      <w:pPr>
        <w:rPr>
          <w:sz w:val="28"/>
          <w:szCs w:val="28"/>
        </w:rPr>
      </w:pPr>
    </w:p>
    <w:p w:rsidR="00D70659" w:rsidRPr="00D70659" w:rsidRDefault="00D70659" w:rsidP="00D70659">
      <w:pPr>
        <w:rPr>
          <w:sz w:val="28"/>
          <w:szCs w:val="28"/>
        </w:rPr>
      </w:pPr>
    </w:p>
    <w:p w:rsidR="00D70659" w:rsidRPr="00D70659" w:rsidRDefault="00D70659" w:rsidP="00D70659">
      <w:pPr>
        <w:rPr>
          <w:sz w:val="28"/>
          <w:szCs w:val="28"/>
        </w:rPr>
      </w:pPr>
    </w:p>
    <w:p w:rsidR="00D70659" w:rsidRPr="00D70659" w:rsidRDefault="00D70659" w:rsidP="00D70659">
      <w:pPr>
        <w:rPr>
          <w:sz w:val="28"/>
          <w:szCs w:val="28"/>
        </w:rPr>
      </w:pPr>
    </w:p>
    <w:p w:rsidR="00D70659" w:rsidRPr="00D70659" w:rsidRDefault="00D70659" w:rsidP="00D70659">
      <w:pPr>
        <w:rPr>
          <w:sz w:val="28"/>
          <w:szCs w:val="28"/>
        </w:rPr>
      </w:pPr>
    </w:p>
    <w:p w:rsidR="00D70659" w:rsidRPr="00D70659" w:rsidRDefault="00D70659" w:rsidP="00D70659">
      <w:pPr>
        <w:rPr>
          <w:sz w:val="28"/>
          <w:szCs w:val="28"/>
        </w:rPr>
      </w:pPr>
    </w:p>
    <w:p w:rsidR="00D70659" w:rsidRPr="00D70659" w:rsidRDefault="00D70659" w:rsidP="00D70659">
      <w:pPr>
        <w:rPr>
          <w:sz w:val="28"/>
          <w:szCs w:val="28"/>
        </w:rPr>
      </w:pPr>
    </w:p>
    <w:p w:rsidR="00D70659" w:rsidRPr="00D70659" w:rsidRDefault="00D70659" w:rsidP="00D70659">
      <w:pPr>
        <w:rPr>
          <w:sz w:val="28"/>
          <w:szCs w:val="28"/>
        </w:rPr>
      </w:pPr>
    </w:p>
    <w:p w:rsidR="00D70659" w:rsidRPr="00D70659" w:rsidRDefault="00D70659" w:rsidP="00D70659">
      <w:pPr>
        <w:rPr>
          <w:sz w:val="28"/>
          <w:szCs w:val="28"/>
        </w:rPr>
      </w:pPr>
    </w:p>
    <w:p w:rsidR="00245157" w:rsidRPr="00D70659" w:rsidRDefault="004C68A9">
      <w:pPr>
        <w:rPr>
          <w:sz w:val="28"/>
          <w:szCs w:val="28"/>
        </w:rPr>
      </w:pPr>
    </w:p>
    <w:sectPr w:rsidR="00245157" w:rsidRPr="00D70659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A9" w:rsidRDefault="004C68A9" w:rsidP="00535FED">
      <w:r>
        <w:separator/>
      </w:r>
    </w:p>
  </w:endnote>
  <w:endnote w:type="continuationSeparator" w:id="0">
    <w:p w:rsidR="004C68A9" w:rsidRDefault="004C68A9" w:rsidP="0053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A9" w:rsidRDefault="004C68A9" w:rsidP="00535FED">
      <w:r>
        <w:separator/>
      </w:r>
    </w:p>
  </w:footnote>
  <w:footnote w:type="continuationSeparator" w:id="0">
    <w:p w:rsidR="004C68A9" w:rsidRDefault="004C68A9" w:rsidP="0053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35FED" w:rsidRPr="00535FED" w:rsidTr="008C0242">
      <w:trPr>
        <w:jc w:val="center"/>
      </w:trPr>
      <w:tc>
        <w:tcPr>
          <w:tcW w:w="1541" w:type="dxa"/>
        </w:tcPr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  <w:r w:rsidRPr="00535FE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DBC3866" wp14:editId="68CC9AA9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535FED" w:rsidRPr="00535FED" w:rsidRDefault="00535FED" w:rsidP="00535FED">
          <w:pPr>
            <w:jc w:val="center"/>
            <w:rPr>
              <w:b/>
              <w:bCs/>
              <w:sz w:val="22"/>
            </w:rPr>
          </w:pPr>
        </w:p>
        <w:p w:rsidR="00535FED" w:rsidRPr="00535FED" w:rsidRDefault="00535FED" w:rsidP="00535FE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535FE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535FED" w:rsidRPr="00535FED" w:rsidRDefault="00535FED" w:rsidP="00535FE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535FE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35FED" w:rsidRPr="00535FED" w:rsidRDefault="00535FED" w:rsidP="00535FE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535FED" w:rsidRPr="00535FED" w:rsidRDefault="00535FED" w:rsidP="00535FE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535FE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  <w:r w:rsidRPr="00535FE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C563E1C" wp14:editId="63995D2F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  <w:p w:rsidR="00535FED" w:rsidRPr="00535FED" w:rsidRDefault="00535FED" w:rsidP="00535FED">
          <w:pPr>
            <w:jc w:val="center"/>
            <w:rPr>
              <w:b/>
              <w:bCs/>
              <w:sz w:val="12"/>
            </w:rPr>
          </w:pPr>
        </w:p>
      </w:tc>
    </w:tr>
  </w:tbl>
  <w:p w:rsidR="00535FED" w:rsidRDefault="0053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59"/>
    <w:rsid w:val="000653EC"/>
    <w:rsid w:val="0026192D"/>
    <w:rsid w:val="004562E7"/>
    <w:rsid w:val="004C68A9"/>
    <w:rsid w:val="00535FED"/>
    <w:rsid w:val="00B33F41"/>
    <w:rsid w:val="00D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2DF34-D3B2-4469-B536-3E0935E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5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F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FE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5F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FE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2020-03-13T19:07:00Z</dcterms:created>
  <dcterms:modified xsi:type="dcterms:W3CDTF">2020-03-13T19:07:00Z</dcterms:modified>
</cp:coreProperties>
</file>