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r w:rsidRPr="00E42D2F">
        <w:rPr>
          <w:rFonts w:ascii="Arial" w:eastAsia="Times New Roman" w:hAnsi="Arial" w:cs="Arial"/>
          <w:b/>
          <w:snapToGrid w:val="0"/>
          <w:sz w:val="24"/>
          <w:szCs w:val="24"/>
          <w:lang w:val="es-ES_tradnl" w:eastAsia="es-ES"/>
        </w:rPr>
        <w:t>QUE EL CONGRESO DEL ESTADO INDEPENDIENTE, LIBRE Y SOBERANO DE COAHUILA DE ZARAGOZA;</w:t>
      </w:r>
    </w:p>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widowControl w:val="0"/>
        <w:spacing w:after="0" w:line="240" w:lineRule="auto"/>
        <w:jc w:val="both"/>
        <w:rPr>
          <w:rFonts w:ascii="Arial" w:eastAsia="Times New Roman" w:hAnsi="Arial" w:cs="Arial"/>
          <w:b/>
          <w:snapToGrid w:val="0"/>
          <w:sz w:val="24"/>
          <w:szCs w:val="24"/>
          <w:lang w:val="es-ES_tradnl" w:eastAsia="es-ES"/>
        </w:rPr>
      </w:pPr>
      <w:r w:rsidRPr="00E42D2F">
        <w:rPr>
          <w:rFonts w:ascii="Arial" w:eastAsia="Times New Roman" w:hAnsi="Arial" w:cs="Arial"/>
          <w:b/>
          <w:snapToGrid w:val="0"/>
          <w:sz w:val="24"/>
          <w:szCs w:val="24"/>
          <w:lang w:val="es-ES_tradnl" w:eastAsia="es-ES"/>
        </w:rPr>
        <w:t xml:space="preserve">DECRETA: </w:t>
      </w:r>
    </w:p>
    <w:p w:rsidR="0016177A" w:rsidRPr="00E42D2F" w:rsidRDefault="0016177A" w:rsidP="0016177A">
      <w:pPr>
        <w:widowControl w:val="0"/>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E42D2F">
      <w:pPr>
        <w:widowControl w:val="0"/>
        <w:spacing w:after="0" w:line="240" w:lineRule="auto"/>
        <w:jc w:val="both"/>
        <w:rPr>
          <w:rFonts w:ascii="Arial" w:eastAsia="Times New Roman" w:hAnsi="Arial" w:cs="Arial"/>
          <w:b/>
          <w:snapToGrid w:val="0"/>
          <w:sz w:val="24"/>
          <w:szCs w:val="24"/>
          <w:lang w:val="es-ES_tradnl" w:eastAsia="es-ES"/>
        </w:rPr>
      </w:pPr>
      <w:r w:rsidRPr="00E42D2F">
        <w:rPr>
          <w:rFonts w:ascii="Arial" w:eastAsia="Times New Roman" w:hAnsi="Arial" w:cs="Arial"/>
          <w:b/>
          <w:snapToGrid w:val="0"/>
          <w:sz w:val="24"/>
          <w:szCs w:val="24"/>
          <w:lang w:val="es-ES_tradnl" w:eastAsia="es-ES"/>
        </w:rPr>
        <w:t>NÚMERO 691.-</w:t>
      </w:r>
    </w:p>
    <w:p w:rsidR="0016177A" w:rsidRDefault="0016177A" w:rsidP="00E42D2F">
      <w:pPr>
        <w:widowControl w:val="0"/>
        <w:spacing w:after="0" w:line="240" w:lineRule="auto"/>
        <w:jc w:val="both"/>
        <w:rPr>
          <w:rFonts w:ascii="Arial" w:eastAsia="Times New Roman" w:hAnsi="Arial" w:cs="Arial"/>
          <w:b/>
          <w:snapToGrid w:val="0"/>
          <w:sz w:val="24"/>
          <w:szCs w:val="24"/>
          <w:lang w:val="es-ES_tradnl" w:eastAsia="es-ES"/>
        </w:rPr>
      </w:pPr>
    </w:p>
    <w:p w:rsidR="00E42D2F" w:rsidRPr="00E42D2F" w:rsidRDefault="00E42D2F" w:rsidP="00E42D2F">
      <w:pPr>
        <w:widowControl w:val="0"/>
        <w:spacing w:after="0" w:line="240" w:lineRule="auto"/>
        <w:jc w:val="both"/>
        <w:rPr>
          <w:rFonts w:ascii="Arial" w:eastAsia="Times New Roman" w:hAnsi="Arial" w:cs="Arial"/>
          <w:b/>
          <w:snapToGrid w:val="0"/>
          <w:sz w:val="24"/>
          <w:szCs w:val="24"/>
          <w:lang w:val="es-ES_tradnl" w:eastAsia="es-ES"/>
        </w:rPr>
      </w:pPr>
    </w:p>
    <w:p w:rsidR="00E42D2F" w:rsidRPr="00E42D2F" w:rsidRDefault="00E42D2F" w:rsidP="004424F7">
      <w:pPr>
        <w:spacing w:after="0" w:line="360" w:lineRule="exact"/>
        <w:jc w:val="both"/>
        <w:rPr>
          <w:rFonts w:ascii="Arial" w:eastAsia="Calibri" w:hAnsi="Arial" w:cs="Arial"/>
          <w:b/>
          <w:sz w:val="24"/>
          <w:szCs w:val="24"/>
          <w:lang w:val="es-ES"/>
        </w:rPr>
      </w:pPr>
      <w:proofErr w:type="gramStart"/>
      <w:r w:rsidRPr="00E42D2F">
        <w:rPr>
          <w:rFonts w:ascii="Arial" w:eastAsia="Arial" w:hAnsi="Arial" w:cs="Arial"/>
          <w:b/>
          <w:sz w:val="24"/>
          <w:szCs w:val="24"/>
        </w:rPr>
        <w:t>Primero.-</w:t>
      </w:r>
      <w:proofErr w:type="gramEnd"/>
      <w:r w:rsidRPr="00E42D2F">
        <w:rPr>
          <w:rFonts w:ascii="Arial" w:eastAsia="Arial" w:hAnsi="Arial" w:cs="Arial"/>
          <w:sz w:val="24"/>
          <w:szCs w:val="24"/>
        </w:rPr>
        <w:t xml:space="preserve"> </w:t>
      </w:r>
      <w:r w:rsidRPr="00E42D2F">
        <w:rPr>
          <w:rFonts w:ascii="Arial" w:eastAsia="Calibri" w:hAnsi="Arial" w:cs="Arial"/>
          <w:sz w:val="24"/>
          <w:szCs w:val="24"/>
          <w:lang w:val="es-ES"/>
        </w:rPr>
        <w:t xml:space="preserve">Se </w:t>
      </w:r>
      <w:r w:rsidRPr="00312AF2">
        <w:rPr>
          <w:rFonts w:ascii="Arial" w:eastAsia="Calibri" w:hAnsi="Arial" w:cs="Arial"/>
          <w:b/>
          <w:sz w:val="24"/>
          <w:szCs w:val="24"/>
          <w:lang w:val="es-ES"/>
        </w:rPr>
        <w:t>reforma</w:t>
      </w:r>
      <w:r w:rsidRPr="00E42D2F">
        <w:rPr>
          <w:rFonts w:ascii="Arial" w:eastAsia="Calibri" w:hAnsi="Arial" w:cs="Arial"/>
          <w:sz w:val="24"/>
          <w:szCs w:val="24"/>
          <w:lang w:val="es-ES"/>
        </w:rPr>
        <w:t xml:space="preserve"> la fracción II del artículo 41 y se </w:t>
      </w:r>
      <w:r w:rsidRPr="00312AF2">
        <w:rPr>
          <w:rFonts w:ascii="Arial" w:eastAsia="Calibri" w:hAnsi="Arial" w:cs="Arial"/>
          <w:b/>
          <w:sz w:val="24"/>
          <w:szCs w:val="24"/>
          <w:lang w:val="es-ES"/>
        </w:rPr>
        <w:t>adiciona</w:t>
      </w:r>
      <w:r w:rsidRPr="00E42D2F">
        <w:rPr>
          <w:rFonts w:ascii="Arial" w:eastAsia="Calibri" w:hAnsi="Arial" w:cs="Arial"/>
          <w:sz w:val="24"/>
          <w:szCs w:val="24"/>
          <w:lang w:val="es-ES"/>
        </w:rPr>
        <w:t xml:space="preserve"> el artículo 41 Bis de la </w:t>
      </w:r>
      <w:r w:rsidRPr="00312AF2">
        <w:rPr>
          <w:rFonts w:ascii="Arial" w:eastAsia="Calibri" w:hAnsi="Arial" w:cs="Arial"/>
          <w:b/>
          <w:sz w:val="24"/>
          <w:szCs w:val="24"/>
          <w:lang w:val="es-ES"/>
        </w:rPr>
        <w:t>Ley de los Derechos de las Personas Adultas Mayores para el Estado de Coahuila de Zaragoza</w:t>
      </w:r>
      <w:r w:rsidRPr="00E42D2F">
        <w:rPr>
          <w:rFonts w:ascii="Arial" w:eastAsia="Calibri" w:hAnsi="Arial" w:cs="Arial"/>
          <w:sz w:val="24"/>
          <w:szCs w:val="24"/>
          <w:lang w:val="es-ES"/>
        </w:rPr>
        <w:t>, para qued</w:t>
      </w:r>
      <w:bookmarkStart w:id="0" w:name="_GoBack"/>
      <w:bookmarkEnd w:id="0"/>
      <w:r w:rsidRPr="00E42D2F">
        <w:rPr>
          <w:rFonts w:ascii="Arial" w:eastAsia="Calibri" w:hAnsi="Arial" w:cs="Arial"/>
          <w:sz w:val="24"/>
          <w:szCs w:val="24"/>
          <w:lang w:val="es-ES"/>
        </w:rPr>
        <w:t>ar como sigue:</w:t>
      </w:r>
    </w:p>
    <w:p w:rsidR="00E42D2F" w:rsidRPr="00E42D2F" w:rsidRDefault="00E42D2F" w:rsidP="004424F7">
      <w:pPr>
        <w:spacing w:after="0" w:line="360" w:lineRule="exact"/>
        <w:rPr>
          <w:rFonts w:ascii="Arial" w:eastAsia="Calibri" w:hAnsi="Arial" w:cs="Arial"/>
          <w:sz w:val="24"/>
          <w:szCs w:val="24"/>
          <w:lang w:val="es-ES"/>
        </w:rPr>
      </w:pPr>
    </w:p>
    <w:p w:rsidR="00E42D2F" w:rsidRPr="00E42D2F" w:rsidRDefault="00E42D2F" w:rsidP="004424F7">
      <w:pPr>
        <w:tabs>
          <w:tab w:val="left" w:pos="392"/>
        </w:tabs>
        <w:spacing w:after="0" w:line="360" w:lineRule="exact"/>
        <w:jc w:val="both"/>
        <w:rPr>
          <w:rFonts w:ascii="Arial" w:eastAsia="Calibri" w:hAnsi="Arial" w:cs="Arial"/>
          <w:b/>
          <w:bCs/>
          <w:sz w:val="24"/>
          <w:szCs w:val="24"/>
          <w:lang w:val="es-ES"/>
        </w:rPr>
      </w:pPr>
      <w:r w:rsidRPr="00E42D2F">
        <w:rPr>
          <w:rFonts w:ascii="Arial" w:eastAsia="Calibri" w:hAnsi="Arial" w:cs="Arial"/>
          <w:b/>
          <w:bCs/>
          <w:sz w:val="24"/>
          <w:szCs w:val="24"/>
          <w:lang w:val="es-ES"/>
        </w:rPr>
        <w:t>Artículo 41. …</w:t>
      </w:r>
    </w:p>
    <w:p w:rsidR="00E42D2F" w:rsidRPr="00312AF2" w:rsidRDefault="00E42D2F" w:rsidP="004424F7">
      <w:pPr>
        <w:tabs>
          <w:tab w:val="left" w:pos="392"/>
        </w:tabs>
        <w:spacing w:after="0" w:line="360" w:lineRule="exact"/>
        <w:jc w:val="both"/>
        <w:rPr>
          <w:rFonts w:ascii="Arial" w:eastAsia="Calibri" w:hAnsi="Arial" w:cs="Arial"/>
          <w:bCs/>
          <w:sz w:val="24"/>
          <w:szCs w:val="24"/>
          <w:lang w:val="es-ES"/>
        </w:rPr>
      </w:pPr>
      <w:r w:rsidRPr="00312AF2">
        <w:rPr>
          <w:rFonts w:ascii="Arial" w:eastAsia="Calibri" w:hAnsi="Arial" w:cs="Arial"/>
          <w:bCs/>
          <w:sz w:val="24"/>
          <w:szCs w:val="24"/>
          <w:lang w:val="es-ES"/>
        </w:rPr>
        <w:t>I. …</w:t>
      </w:r>
    </w:p>
    <w:p w:rsidR="00312AF2" w:rsidRDefault="00312AF2" w:rsidP="004424F7">
      <w:pPr>
        <w:tabs>
          <w:tab w:val="left" w:pos="0"/>
        </w:tabs>
        <w:spacing w:after="0" w:line="360" w:lineRule="exact"/>
        <w:ind w:left="567" w:hanging="567"/>
        <w:jc w:val="both"/>
        <w:rPr>
          <w:rFonts w:ascii="Arial" w:eastAsia="Calibri" w:hAnsi="Arial" w:cs="Arial"/>
          <w:bCs/>
          <w:sz w:val="24"/>
          <w:szCs w:val="24"/>
          <w:lang w:val="es-ES"/>
        </w:rPr>
      </w:pPr>
    </w:p>
    <w:p w:rsidR="00E42D2F" w:rsidRPr="00E42D2F" w:rsidRDefault="00E42D2F" w:rsidP="004424F7">
      <w:pPr>
        <w:tabs>
          <w:tab w:val="left" w:pos="0"/>
        </w:tabs>
        <w:spacing w:after="0" w:line="360" w:lineRule="exact"/>
        <w:ind w:left="567" w:hanging="567"/>
        <w:jc w:val="both"/>
        <w:rPr>
          <w:rFonts w:ascii="Arial" w:eastAsia="Calibri" w:hAnsi="Arial" w:cs="Arial"/>
          <w:bCs/>
          <w:sz w:val="24"/>
          <w:szCs w:val="24"/>
          <w:lang w:val="es-ES"/>
        </w:rPr>
      </w:pPr>
      <w:r w:rsidRPr="00312AF2">
        <w:rPr>
          <w:rFonts w:ascii="Arial" w:eastAsia="Calibri" w:hAnsi="Arial" w:cs="Arial"/>
          <w:bCs/>
          <w:sz w:val="24"/>
          <w:szCs w:val="24"/>
          <w:lang w:val="es-ES"/>
        </w:rPr>
        <w:t>II.</w:t>
      </w:r>
      <w:r w:rsidRPr="00E42D2F">
        <w:rPr>
          <w:rFonts w:ascii="Arial" w:eastAsia="Calibri" w:hAnsi="Arial" w:cs="Arial"/>
          <w:bCs/>
          <w:sz w:val="24"/>
          <w:szCs w:val="24"/>
          <w:lang w:val="es-ES"/>
        </w:rPr>
        <w:t xml:space="preserve"> </w:t>
      </w:r>
      <w:r w:rsidRPr="00E42D2F">
        <w:rPr>
          <w:rFonts w:ascii="Arial" w:eastAsia="Calibri" w:hAnsi="Arial" w:cs="Arial"/>
          <w:bCs/>
          <w:sz w:val="24"/>
          <w:szCs w:val="24"/>
          <w:lang w:val="es-ES"/>
        </w:rPr>
        <w:tab/>
        <w:t>Celebrar convenios de colaboración con los Gobiernos Federal, Estatal y de otros Municipios de la Entidad, así como con los sectores público, social y privado en materia de atención a las personas adultas mayores, y promover en coordinación con el Instituto, la integración de Unidades de Coordinación Municipal de las Personas Adultas Mayores que establece el artículo 72 de este ordenamiento legal.</w:t>
      </w:r>
    </w:p>
    <w:p w:rsidR="00312AF2" w:rsidRDefault="00312AF2" w:rsidP="004424F7">
      <w:pPr>
        <w:tabs>
          <w:tab w:val="left" w:pos="392"/>
        </w:tabs>
        <w:spacing w:after="0" w:line="360" w:lineRule="exact"/>
        <w:jc w:val="both"/>
        <w:rPr>
          <w:rFonts w:ascii="Arial" w:eastAsia="Calibri" w:hAnsi="Arial" w:cs="Arial"/>
          <w:bCs/>
          <w:sz w:val="24"/>
          <w:szCs w:val="24"/>
          <w:lang w:val="es-ES"/>
        </w:rPr>
      </w:pPr>
    </w:p>
    <w:p w:rsidR="00E42D2F" w:rsidRPr="00312AF2" w:rsidRDefault="00E42D2F" w:rsidP="004424F7">
      <w:pPr>
        <w:tabs>
          <w:tab w:val="left" w:pos="392"/>
        </w:tabs>
        <w:spacing w:after="0" w:line="360" w:lineRule="exact"/>
        <w:jc w:val="both"/>
        <w:rPr>
          <w:rFonts w:ascii="Arial" w:eastAsia="Calibri" w:hAnsi="Arial" w:cs="Arial"/>
          <w:bCs/>
          <w:sz w:val="24"/>
          <w:szCs w:val="24"/>
          <w:lang w:val="es-ES"/>
        </w:rPr>
      </w:pPr>
      <w:r w:rsidRPr="00312AF2">
        <w:rPr>
          <w:rFonts w:ascii="Arial" w:eastAsia="Calibri" w:hAnsi="Arial" w:cs="Arial"/>
          <w:bCs/>
          <w:sz w:val="24"/>
          <w:szCs w:val="24"/>
          <w:lang w:val="es-ES"/>
        </w:rPr>
        <w:t>III. a</w:t>
      </w:r>
      <w:r w:rsidR="00312AF2" w:rsidRPr="00312AF2">
        <w:rPr>
          <w:rFonts w:ascii="Arial" w:eastAsia="Calibri" w:hAnsi="Arial" w:cs="Arial"/>
          <w:bCs/>
          <w:sz w:val="24"/>
          <w:szCs w:val="24"/>
          <w:lang w:val="es-ES"/>
        </w:rPr>
        <w:t xml:space="preserve"> </w:t>
      </w:r>
      <w:r w:rsidRPr="00312AF2">
        <w:rPr>
          <w:rFonts w:ascii="Arial" w:eastAsia="Calibri" w:hAnsi="Arial" w:cs="Arial"/>
          <w:bCs/>
          <w:sz w:val="24"/>
          <w:szCs w:val="24"/>
          <w:lang w:val="es-ES"/>
        </w:rPr>
        <w:t>l</w:t>
      </w:r>
      <w:r w:rsidR="00312AF2" w:rsidRPr="00312AF2">
        <w:rPr>
          <w:rFonts w:ascii="Arial" w:eastAsia="Calibri" w:hAnsi="Arial" w:cs="Arial"/>
          <w:bCs/>
          <w:sz w:val="24"/>
          <w:szCs w:val="24"/>
          <w:lang w:val="es-ES"/>
        </w:rPr>
        <w:t>a</w:t>
      </w:r>
      <w:r w:rsidRPr="00312AF2">
        <w:rPr>
          <w:rFonts w:ascii="Arial" w:eastAsia="Calibri" w:hAnsi="Arial" w:cs="Arial"/>
          <w:bCs/>
          <w:sz w:val="24"/>
          <w:szCs w:val="24"/>
          <w:lang w:val="es-ES"/>
        </w:rPr>
        <w:t xml:space="preserve"> VI. … </w:t>
      </w:r>
    </w:p>
    <w:p w:rsidR="00E42D2F" w:rsidRPr="00E42D2F" w:rsidRDefault="00E42D2F" w:rsidP="004424F7">
      <w:pPr>
        <w:spacing w:after="0" w:line="360" w:lineRule="exact"/>
        <w:jc w:val="both"/>
        <w:rPr>
          <w:rFonts w:ascii="Arial" w:eastAsia="Arial" w:hAnsi="Arial" w:cs="Arial"/>
          <w:b/>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
          <w:bCs/>
          <w:sz w:val="24"/>
          <w:szCs w:val="24"/>
        </w:rPr>
        <w:t xml:space="preserve">Artículo 41 </w:t>
      </w:r>
      <w:proofErr w:type="gramStart"/>
      <w:r w:rsidRPr="00E42D2F">
        <w:rPr>
          <w:rFonts w:ascii="Arial" w:eastAsia="Arial" w:hAnsi="Arial" w:cs="Arial"/>
          <w:b/>
          <w:bCs/>
          <w:sz w:val="24"/>
          <w:szCs w:val="24"/>
        </w:rPr>
        <w:t>Bis.-</w:t>
      </w:r>
      <w:proofErr w:type="gramEnd"/>
      <w:r w:rsidRPr="00E42D2F">
        <w:rPr>
          <w:rFonts w:ascii="Arial" w:eastAsia="Arial" w:hAnsi="Arial" w:cs="Arial"/>
          <w:bCs/>
          <w:sz w:val="24"/>
          <w:szCs w:val="24"/>
        </w:rPr>
        <w:t xml:space="preserve"> Los Ayuntamientos </w:t>
      </w:r>
      <w:r w:rsidR="001F005F">
        <w:rPr>
          <w:rFonts w:ascii="Arial" w:eastAsia="Arial" w:hAnsi="Arial" w:cs="Arial"/>
          <w:bCs/>
          <w:sz w:val="24"/>
          <w:szCs w:val="24"/>
        </w:rPr>
        <w:t>tendrán un enlace m</w:t>
      </w:r>
      <w:r w:rsidRPr="00E42D2F">
        <w:rPr>
          <w:rFonts w:ascii="Arial" w:eastAsia="Arial" w:hAnsi="Arial" w:cs="Arial"/>
          <w:bCs/>
          <w:sz w:val="24"/>
          <w:szCs w:val="24"/>
        </w:rPr>
        <w:t xml:space="preserve">unicipal de las Personas Adultas Mayores, cuyo objeto será coordinar, promover, gestionar, fomentar, vigilar y evaluar las acciones municipales en materia de protección a las personas adultas mayores, estará representada por los titulares de los Sistemas Municipales para el Desarrollo Integral de la Familia y tendrán las siguientes facultades: </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312AF2">
        <w:rPr>
          <w:rFonts w:ascii="Arial" w:eastAsia="Arial" w:hAnsi="Arial" w:cs="Arial"/>
          <w:bCs/>
          <w:sz w:val="24"/>
          <w:szCs w:val="24"/>
        </w:rPr>
        <w:t>a.-</w:t>
      </w:r>
      <w:r w:rsidRPr="00E42D2F">
        <w:rPr>
          <w:rFonts w:ascii="Arial" w:eastAsia="Arial" w:hAnsi="Arial" w:cs="Arial"/>
          <w:bCs/>
          <w:sz w:val="24"/>
          <w:szCs w:val="24"/>
        </w:rPr>
        <w:t xml:space="preserve"> En coordinación con el Instituto, establecer políticas públicas, estrategias, planeación, programación y </w:t>
      </w:r>
      <w:proofErr w:type="spellStart"/>
      <w:r w:rsidRPr="00E42D2F">
        <w:rPr>
          <w:rFonts w:ascii="Arial" w:eastAsia="Arial" w:hAnsi="Arial" w:cs="Arial"/>
          <w:bCs/>
          <w:sz w:val="24"/>
          <w:szCs w:val="24"/>
        </w:rPr>
        <w:t>presupuestación</w:t>
      </w:r>
      <w:proofErr w:type="spellEnd"/>
      <w:r w:rsidRPr="00E42D2F">
        <w:rPr>
          <w:rFonts w:ascii="Arial" w:eastAsia="Arial" w:hAnsi="Arial" w:cs="Arial"/>
          <w:bCs/>
          <w:sz w:val="24"/>
          <w:szCs w:val="24"/>
        </w:rPr>
        <w:t xml:space="preserve"> para las personas adultas mayores en el municipio. </w:t>
      </w:r>
    </w:p>
    <w:p w:rsidR="00E42D2F" w:rsidRPr="00E42D2F" w:rsidRDefault="00E42D2F" w:rsidP="004424F7">
      <w:pPr>
        <w:spacing w:after="0" w:line="360" w:lineRule="exact"/>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312AF2">
        <w:rPr>
          <w:rFonts w:ascii="Arial" w:eastAsia="Arial" w:hAnsi="Arial" w:cs="Arial"/>
          <w:bCs/>
          <w:sz w:val="24"/>
          <w:szCs w:val="24"/>
        </w:rPr>
        <w:t>b.-</w:t>
      </w:r>
      <w:r w:rsidRPr="00E42D2F">
        <w:rPr>
          <w:rFonts w:ascii="Arial" w:eastAsia="Arial" w:hAnsi="Arial" w:cs="Arial"/>
          <w:bCs/>
          <w:sz w:val="24"/>
          <w:szCs w:val="24"/>
        </w:rPr>
        <w:t xml:space="preserve"> Vigilar el seguimiento a la operación y evaluación de los programas de acciones dirigidos a las personas adultas mayores en el municipio;</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312AF2">
        <w:rPr>
          <w:rFonts w:ascii="Arial" w:eastAsia="Arial" w:hAnsi="Arial" w:cs="Arial"/>
          <w:bCs/>
          <w:sz w:val="24"/>
          <w:szCs w:val="24"/>
        </w:rPr>
        <w:t>c.-</w:t>
      </w:r>
      <w:r w:rsidRPr="00E42D2F">
        <w:rPr>
          <w:rFonts w:ascii="Arial" w:eastAsia="Arial" w:hAnsi="Arial" w:cs="Arial"/>
          <w:bCs/>
          <w:sz w:val="24"/>
          <w:szCs w:val="24"/>
        </w:rPr>
        <w:t xml:space="preserve"> Llevar a cabo a través de lineamientos los mecanismos e instrumentos de vigilancia de las áreas municipales que integren la atención de las personas adultas mayores;</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312AF2">
        <w:rPr>
          <w:rFonts w:ascii="Arial" w:eastAsia="Arial" w:hAnsi="Arial" w:cs="Arial"/>
          <w:bCs/>
          <w:sz w:val="24"/>
          <w:szCs w:val="24"/>
        </w:rPr>
        <w:t>d.-</w:t>
      </w:r>
      <w:r w:rsidRPr="00E42D2F">
        <w:rPr>
          <w:rFonts w:ascii="Arial" w:eastAsia="Arial" w:hAnsi="Arial" w:cs="Arial"/>
          <w:bCs/>
          <w:sz w:val="24"/>
          <w:szCs w:val="24"/>
        </w:rPr>
        <w:t xml:space="preserve"> Promover de acuerdo a sus posibilidades presupuestales, la creación de centros municipales de atención geriátrica y gerontológica, o en su caso, propiciar la canalización a centros estatales o particulares que les brinden atención;</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proofErr w:type="spellStart"/>
      <w:r w:rsidRPr="00312AF2">
        <w:rPr>
          <w:rFonts w:ascii="Arial" w:eastAsia="Arial" w:hAnsi="Arial" w:cs="Arial"/>
          <w:bCs/>
          <w:sz w:val="24"/>
          <w:szCs w:val="24"/>
        </w:rPr>
        <w:t>e</w:t>
      </w:r>
      <w:proofErr w:type="spellEnd"/>
      <w:r w:rsidRPr="00312AF2">
        <w:rPr>
          <w:rFonts w:ascii="Arial" w:eastAsia="Arial" w:hAnsi="Arial" w:cs="Arial"/>
          <w:bCs/>
          <w:sz w:val="24"/>
          <w:szCs w:val="24"/>
        </w:rPr>
        <w:t>.-</w:t>
      </w:r>
      <w:r w:rsidRPr="00E42D2F">
        <w:rPr>
          <w:rFonts w:ascii="Arial" w:eastAsia="Arial" w:hAnsi="Arial" w:cs="Arial"/>
          <w:bCs/>
          <w:sz w:val="24"/>
          <w:szCs w:val="24"/>
        </w:rPr>
        <w:t xml:space="preserve"> Promover los derechos de las personas adultas mayores y los medios de ejecución para obtenerlos;</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f.- Impulsar y promover acciones de salud física y mental, recreación cultural, capacitación profesional y económica, con el fin de lograr una mejor calidad de vida de los adultos mayores;</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g.- Fomentar en la sociedad en general una cultura de conocimiento de derechos, obligaciones, respeto y dignificación de las personas adultas mayores;</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h.- Propiciar la igualdad de oportunidades ante las distintas instancias gubernamentales frente al resto de la comunidad;</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i.- Celebrar convenios con instituciones y/</w:t>
      </w:r>
      <w:proofErr w:type="spellStart"/>
      <w:r w:rsidRPr="00E42D2F">
        <w:rPr>
          <w:rFonts w:ascii="Arial" w:eastAsia="Arial" w:hAnsi="Arial" w:cs="Arial"/>
          <w:bCs/>
          <w:sz w:val="24"/>
          <w:szCs w:val="24"/>
        </w:rPr>
        <w:t>o</w:t>
      </w:r>
      <w:proofErr w:type="spellEnd"/>
      <w:r w:rsidRPr="00E42D2F">
        <w:rPr>
          <w:rFonts w:ascii="Arial" w:eastAsia="Arial" w:hAnsi="Arial" w:cs="Arial"/>
          <w:bCs/>
          <w:sz w:val="24"/>
          <w:szCs w:val="24"/>
        </w:rPr>
        <w:t xml:space="preserve"> organizaciones de la sociedad civil, a fin de canalizar y brindar atención a los adultos mayores, que así lo requieran y que carezcan de recursos económicos; </w:t>
      </w:r>
    </w:p>
    <w:p w:rsidR="00E42D2F" w:rsidRPr="00E42D2F" w:rsidRDefault="00E42D2F" w:rsidP="004424F7">
      <w:pPr>
        <w:spacing w:after="0" w:line="360" w:lineRule="exact"/>
        <w:jc w:val="both"/>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j.- Formular y desarrollar talleres, cursos y capacitaciones a través de programas de actualización para el cuidado geriátrico; dirigidos al personal que labore en instituciones, asilos o asistentes personales de algún adulto mayor;</w:t>
      </w:r>
    </w:p>
    <w:p w:rsidR="00E42D2F" w:rsidRPr="00E42D2F" w:rsidRDefault="00E42D2F" w:rsidP="004424F7">
      <w:pPr>
        <w:spacing w:after="0" w:line="360" w:lineRule="exact"/>
        <w:rPr>
          <w:rFonts w:ascii="Arial" w:eastAsia="Arial" w:hAnsi="Arial" w:cs="Arial"/>
          <w:bCs/>
          <w:sz w:val="24"/>
          <w:szCs w:val="24"/>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 xml:space="preserve">k.- Instrumentar programas de prevención y protección para los adultos mayores que se encuentren en situación de riesgo, abuso, violencia o desamparo, incorporándolos al núcleo </w:t>
      </w:r>
      <w:r w:rsidRPr="00E42D2F">
        <w:rPr>
          <w:rFonts w:ascii="Arial" w:eastAsia="Arial" w:hAnsi="Arial" w:cs="Arial"/>
          <w:bCs/>
          <w:sz w:val="24"/>
          <w:szCs w:val="24"/>
        </w:rPr>
        <w:lastRenderedPageBreak/>
        <w:t xml:space="preserve">familiar o canalizándolos a las instituciones correspondientes para su debido resguardo y atención; </w:t>
      </w:r>
    </w:p>
    <w:p w:rsidR="00E42D2F" w:rsidRPr="00E42D2F" w:rsidRDefault="00E42D2F" w:rsidP="004424F7">
      <w:pPr>
        <w:spacing w:after="0" w:line="360" w:lineRule="exact"/>
        <w:jc w:val="both"/>
        <w:rPr>
          <w:rFonts w:ascii="Arial" w:eastAsia="Arial" w:hAnsi="Arial" w:cs="Arial"/>
          <w:bCs/>
          <w:sz w:val="16"/>
          <w:szCs w:val="16"/>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l.- Atender o canalizar a las personas adultas mayores para que reciban asesoría jurídica, psicológica, geriátrica, medica, terapéutica, ante las instancias federales y estatales que correspondan;</w:t>
      </w:r>
    </w:p>
    <w:p w:rsidR="00E42D2F" w:rsidRPr="00E42D2F" w:rsidRDefault="00E42D2F" w:rsidP="004424F7">
      <w:pPr>
        <w:spacing w:after="0" w:line="360" w:lineRule="exact"/>
        <w:jc w:val="both"/>
        <w:rPr>
          <w:rFonts w:ascii="Arial" w:eastAsia="Arial" w:hAnsi="Arial" w:cs="Arial"/>
          <w:bCs/>
          <w:sz w:val="16"/>
          <w:szCs w:val="16"/>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m.- Coadyuvar con las instancias federales y estatales para diseñar acciones con el fin de erradicar y combatir las prácticas de violencia en contra de los adultos mayores y;</w:t>
      </w:r>
    </w:p>
    <w:p w:rsidR="00E42D2F" w:rsidRPr="00E42D2F" w:rsidRDefault="00E42D2F" w:rsidP="004424F7">
      <w:pPr>
        <w:spacing w:after="0" w:line="360" w:lineRule="exact"/>
        <w:jc w:val="both"/>
        <w:rPr>
          <w:rFonts w:ascii="Arial" w:eastAsia="Arial" w:hAnsi="Arial" w:cs="Arial"/>
          <w:bCs/>
          <w:sz w:val="16"/>
          <w:szCs w:val="16"/>
        </w:rPr>
      </w:pPr>
    </w:p>
    <w:p w:rsidR="00E42D2F" w:rsidRPr="00E42D2F" w:rsidRDefault="00E42D2F" w:rsidP="004424F7">
      <w:pPr>
        <w:spacing w:after="0" w:line="360" w:lineRule="exact"/>
        <w:jc w:val="both"/>
        <w:rPr>
          <w:rFonts w:ascii="Arial" w:eastAsia="Arial" w:hAnsi="Arial" w:cs="Arial"/>
          <w:bCs/>
          <w:sz w:val="24"/>
          <w:szCs w:val="24"/>
        </w:rPr>
      </w:pPr>
      <w:r w:rsidRPr="00E42D2F">
        <w:rPr>
          <w:rFonts w:ascii="Arial" w:eastAsia="Arial" w:hAnsi="Arial" w:cs="Arial"/>
          <w:bCs/>
          <w:sz w:val="24"/>
          <w:szCs w:val="24"/>
        </w:rPr>
        <w:t xml:space="preserve">ñ.- Las demás que fueren necesarias para garantizar una atención integral a las personas adultas mayores.  </w:t>
      </w:r>
    </w:p>
    <w:p w:rsidR="00E42D2F" w:rsidRPr="00E42D2F" w:rsidRDefault="00E42D2F" w:rsidP="004424F7">
      <w:pPr>
        <w:spacing w:after="0" w:line="360" w:lineRule="exact"/>
        <w:jc w:val="both"/>
        <w:rPr>
          <w:rFonts w:ascii="Arial" w:eastAsia="Arial" w:hAnsi="Arial" w:cs="Arial"/>
          <w:bCs/>
          <w:sz w:val="16"/>
          <w:szCs w:val="16"/>
          <w:lang w:val="es-ES"/>
        </w:rPr>
      </w:pPr>
    </w:p>
    <w:p w:rsidR="00E42D2F" w:rsidRPr="00E42D2F" w:rsidRDefault="00E42D2F" w:rsidP="004424F7">
      <w:pPr>
        <w:spacing w:after="0" w:line="360" w:lineRule="exact"/>
        <w:jc w:val="both"/>
        <w:rPr>
          <w:rFonts w:ascii="Arial" w:eastAsia="Calibri" w:hAnsi="Arial" w:cs="Arial"/>
          <w:bCs/>
          <w:sz w:val="24"/>
          <w:szCs w:val="24"/>
          <w:lang w:val="es-ES"/>
        </w:rPr>
      </w:pPr>
      <w:proofErr w:type="gramStart"/>
      <w:r w:rsidRPr="00312AF2">
        <w:rPr>
          <w:rFonts w:ascii="Arial" w:eastAsia="Arial" w:hAnsi="Arial" w:cs="Arial"/>
          <w:b/>
          <w:bCs/>
          <w:sz w:val="24"/>
          <w:szCs w:val="24"/>
          <w:lang w:val="es-ES"/>
        </w:rPr>
        <w:t>Segundo.-</w:t>
      </w:r>
      <w:proofErr w:type="gramEnd"/>
      <w:r w:rsidRPr="00E42D2F">
        <w:rPr>
          <w:rFonts w:ascii="Arial" w:eastAsia="Calibri" w:hAnsi="Arial" w:cs="Arial"/>
          <w:bCs/>
          <w:sz w:val="24"/>
          <w:szCs w:val="24"/>
          <w:lang w:val="es-ES"/>
        </w:rPr>
        <w:t xml:space="preserve"> Se reforma la fracción XLIII del artículo 3 de la </w:t>
      </w:r>
      <w:r w:rsidRPr="00312AF2">
        <w:rPr>
          <w:rFonts w:ascii="Arial" w:eastAsia="Calibri" w:hAnsi="Arial" w:cs="Arial"/>
          <w:b/>
          <w:bCs/>
          <w:sz w:val="24"/>
          <w:szCs w:val="24"/>
          <w:lang w:val="es-ES"/>
        </w:rPr>
        <w:t>Ley del Instituto Coahuilense de las Personas Adultas Mayores</w:t>
      </w:r>
      <w:r w:rsidRPr="00E42D2F">
        <w:rPr>
          <w:rFonts w:ascii="Arial" w:eastAsia="Calibri" w:hAnsi="Arial" w:cs="Arial"/>
          <w:bCs/>
          <w:sz w:val="24"/>
          <w:szCs w:val="24"/>
          <w:lang w:val="es-ES"/>
        </w:rPr>
        <w:t xml:space="preserve">, para quedar como sigue: </w:t>
      </w:r>
    </w:p>
    <w:p w:rsidR="00E42D2F" w:rsidRPr="00E42D2F" w:rsidRDefault="00E42D2F" w:rsidP="004424F7">
      <w:pPr>
        <w:spacing w:after="0" w:line="360" w:lineRule="exact"/>
        <w:jc w:val="both"/>
        <w:rPr>
          <w:rFonts w:ascii="Arial" w:eastAsia="Calibri" w:hAnsi="Arial" w:cs="Arial"/>
          <w:bCs/>
          <w:sz w:val="16"/>
          <w:szCs w:val="16"/>
          <w:lang w:val="es-ES"/>
        </w:rPr>
      </w:pPr>
    </w:p>
    <w:p w:rsidR="00E42D2F" w:rsidRPr="00E42D2F" w:rsidRDefault="00E42D2F" w:rsidP="004424F7">
      <w:pPr>
        <w:spacing w:after="0" w:line="360" w:lineRule="exact"/>
        <w:jc w:val="both"/>
        <w:rPr>
          <w:rFonts w:ascii="Arial" w:eastAsia="Calibri" w:hAnsi="Arial" w:cs="Arial"/>
          <w:b/>
          <w:bCs/>
          <w:sz w:val="24"/>
          <w:szCs w:val="24"/>
          <w:lang w:val="es-ES"/>
        </w:rPr>
      </w:pPr>
      <w:r w:rsidRPr="00E42D2F">
        <w:rPr>
          <w:rFonts w:ascii="Arial" w:eastAsia="Calibri" w:hAnsi="Arial" w:cs="Arial"/>
          <w:b/>
          <w:bCs/>
          <w:sz w:val="24"/>
          <w:szCs w:val="24"/>
          <w:lang w:val="es-ES"/>
        </w:rPr>
        <w:t>Artículo 3.- …</w:t>
      </w:r>
    </w:p>
    <w:p w:rsidR="00312AF2" w:rsidRDefault="00312AF2" w:rsidP="004424F7">
      <w:pPr>
        <w:spacing w:after="0" w:line="360" w:lineRule="exact"/>
        <w:jc w:val="both"/>
        <w:rPr>
          <w:rFonts w:ascii="Arial" w:eastAsia="Calibri" w:hAnsi="Arial" w:cs="Arial"/>
          <w:bCs/>
          <w:sz w:val="24"/>
          <w:szCs w:val="24"/>
          <w:lang w:val="es-ES"/>
        </w:rPr>
      </w:pPr>
    </w:p>
    <w:p w:rsidR="00E42D2F" w:rsidRPr="00312AF2" w:rsidRDefault="00E42D2F" w:rsidP="004424F7">
      <w:pPr>
        <w:spacing w:after="0" w:line="360" w:lineRule="exact"/>
        <w:jc w:val="both"/>
        <w:rPr>
          <w:rFonts w:ascii="Arial" w:eastAsia="Calibri" w:hAnsi="Arial" w:cs="Arial"/>
          <w:bCs/>
          <w:sz w:val="24"/>
          <w:szCs w:val="24"/>
          <w:lang w:val="es-ES"/>
        </w:rPr>
      </w:pPr>
      <w:r w:rsidRPr="00312AF2">
        <w:rPr>
          <w:rFonts w:ascii="Arial" w:eastAsia="Calibri" w:hAnsi="Arial" w:cs="Arial"/>
          <w:bCs/>
          <w:sz w:val="24"/>
          <w:szCs w:val="24"/>
          <w:lang w:val="es-ES"/>
        </w:rPr>
        <w:t>I. a la XLII. …</w:t>
      </w:r>
    </w:p>
    <w:p w:rsidR="00312AF2" w:rsidRDefault="00312AF2" w:rsidP="004424F7">
      <w:pPr>
        <w:tabs>
          <w:tab w:val="left" w:pos="0"/>
        </w:tabs>
        <w:spacing w:after="0" w:line="360" w:lineRule="exact"/>
        <w:ind w:left="567" w:hanging="567"/>
        <w:jc w:val="both"/>
        <w:rPr>
          <w:rFonts w:ascii="Arial" w:eastAsia="Calibri" w:hAnsi="Arial" w:cs="Arial"/>
          <w:bCs/>
          <w:sz w:val="24"/>
          <w:szCs w:val="24"/>
          <w:lang w:val="es-ES"/>
        </w:rPr>
      </w:pPr>
    </w:p>
    <w:p w:rsidR="00E42D2F" w:rsidRPr="00E42D2F" w:rsidRDefault="00E42D2F" w:rsidP="004424F7">
      <w:pPr>
        <w:tabs>
          <w:tab w:val="left" w:pos="0"/>
        </w:tabs>
        <w:spacing w:after="0" w:line="360" w:lineRule="exact"/>
        <w:ind w:left="567" w:hanging="567"/>
        <w:jc w:val="both"/>
        <w:rPr>
          <w:rFonts w:ascii="Arial" w:eastAsia="Calibri" w:hAnsi="Arial" w:cs="Arial"/>
          <w:bCs/>
          <w:sz w:val="24"/>
          <w:szCs w:val="24"/>
          <w:lang w:val="es-ES"/>
        </w:rPr>
      </w:pPr>
      <w:r w:rsidRPr="00312AF2">
        <w:rPr>
          <w:rFonts w:ascii="Arial" w:eastAsia="Calibri" w:hAnsi="Arial" w:cs="Arial"/>
          <w:bCs/>
          <w:sz w:val="24"/>
          <w:szCs w:val="24"/>
          <w:lang w:val="es-ES"/>
        </w:rPr>
        <w:t>XLIII.</w:t>
      </w:r>
      <w:r w:rsidRPr="00312AF2">
        <w:rPr>
          <w:rFonts w:ascii="Arial" w:eastAsia="Calibri" w:hAnsi="Arial" w:cs="Arial"/>
          <w:bCs/>
          <w:sz w:val="24"/>
          <w:szCs w:val="24"/>
          <w:lang w:val="es-ES"/>
        </w:rPr>
        <w:tab/>
      </w:r>
      <w:r w:rsidRPr="00E42D2F">
        <w:rPr>
          <w:rFonts w:ascii="Arial" w:eastAsia="Calibri" w:hAnsi="Arial" w:cs="Arial"/>
          <w:bCs/>
          <w:sz w:val="24"/>
          <w:szCs w:val="24"/>
          <w:lang w:val="es-ES"/>
        </w:rPr>
        <w:t xml:space="preserve">Asesorar y apoyar a los municipios de la entidad que lo soliciten, en la elaboración de los programas que formulen orientados a las personas adultas mayores, así como para la integración de las Unidades de Coordinación Municipal de las Personas Adultas Mayores, en los términos que establece el artículo 72 de la Ley de los Derechos de las Personas Adultas Mayores para el Estado de Coahuila de Zaragoza. </w:t>
      </w:r>
    </w:p>
    <w:p w:rsidR="00E42D2F" w:rsidRPr="00E42D2F" w:rsidRDefault="00E42D2F" w:rsidP="004424F7">
      <w:pPr>
        <w:tabs>
          <w:tab w:val="left" w:pos="0"/>
        </w:tabs>
        <w:spacing w:after="0" w:line="360" w:lineRule="exact"/>
        <w:ind w:left="567" w:hanging="567"/>
        <w:rPr>
          <w:rFonts w:ascii="Arial" w:eastAsia="Calibri" w:hAnsi="Arial" w:cs="Arial"/>
          <w:bCs/>
          <w:sz w:val="24"/>
          <w:szCs w:val="24"/>
          <w:lang w:val="es-ES"/>
        </w:rPr>
      </w:pPr>
    </w:p>
    <w:p w:rsidR="00312AF2" w:rsidRPr="00065EBC" w:rsidRDefault="00312AF2" w:rsidP="004424F7">
      <w:pPr>
        <w:spacing w:after="0" w:line="360" w:lineRule="exact"/>
        <w:rPr>
          <w:rFonts w:ascii="Arial" w:eastAsia="Calibri" w:hAnsi="Arial" w:cs="Arial"/>
          <w:bCs/>
          <w:sz w:val="24"/>
          <w:szCs w:val="24"/>
        </w:rPr>
      </w:pPr>
    </w:p>
    <w:p w:rsidR="00E42D2F" w:rsidRPr="00312AF2" w:rsidRDefault="00E42D2F" w:rsidP="004424F7">
      <w:pPr>
        <w:spacing w:after="0" w:line="360" w:lineRule="exact"/>
        <w:rPr>
          <w:rFonts w:ascii="Arial" w:eastAsia="Calibri" w:hAnsi="Arial" w:cs="Arial"/>
          <w:bCs/>
          <w:sz w:val="24"/>
          <w:szCs w:val="24"/>
          <w:lang w:val="en-US"/>
        </w:rPr>
      </w:pPr>
      <w:r w:rsidRPr="00312AF2">
        <w:rPr>
          <w:rFonts w:ascii="Arial" w:eastAsia="Calibri" w:hAnsi="Arial" w:cs="Arial"/>
          <w:bCs/>
          <w:sz w:val="24"/>
          <w:szCs w:val="24"/>
          <w:lang w:val="en-US"/>
        </w:rPr>
        <w:t>XLIV. a la LI. …</w:t>
      </w:r>
    </w:p>
    <w:p w:rsidR="00E42D2F" w:rsidRPr="00E42D2F" w:rsidRDefault="00E42D2F" w:rsidP="004424F7">
      <w:pPr>
        <w:spacing w:line="360" w:lineRule="exact"/>
        <w:rPr>
          <w:rFonts w:ascii="Arial" w:eastAsia="Arial" w:hAnsi="Arial" w:cs="Arial"/>
          <w:sz w:val="24"/>
          <w:szCs w:val="24"/>
          <w:lang w:val="en-US"/>
        </w:rPr>
      </w:pPr>
    </w:p>
    <w:p w:rsidR="00E42D2F" w:rsidRPr="00E42D2F" w:rsidRDefault="00E42D2F" w:rsidP="004424F7">
      <w:pPr>
        <w:spacing w:line="360" w:lineRule="exact"/>
        <w:jc w:val="center"/>
        <w:rPr>
          <w:rFonts w:ascii="Arial" w:hAnsi="Arial" w:cs="Arial"/>
          <w:b/>
          <w:bCs/>
          <w:color w:val="0D0D0D"/>
          <w:sz w:val="24"/>
          <w:szCs w:val="24"/>
          <w:lang w:val="en-US"/>
        </w:rPr>
      </w:pPr>
      <w:r w:rsidRPr="00E42D2F">
        <w:rPr>
          <w:rFonts w:ascii="Arial" w:hAnsi="Arial" w:cs="Arial"/>
          <w:b/>
          <w:bCs/>
          <w:color w:val="0D0D0D"/>
          <w:sz w:val="24"/>
          <w:szCs w:val="24"/>
          <w:lang w:val="en-US"/>
        </w:rPr>
        <w:t xml:space="preserve">T R A N S I T O R I O S </w:t>
      </w:r>
    </w:p>
    <w:p w:rsidR="0016177A" w:rsidRPr="00E42D2F" w:rsidRDefault="00E42D2F" w:rsidP="004424F7">
      <w:pPr>
        <w:spacing w:line="360" w:lineRule="exact"/>
        <w:jc w:val="both"/>
        <w:rPr>
          <w:rFonts w:ascii="Arial" w:hAnsi="Arial" w:cs="Arial"/>
          <w:sz w:val="24"/>
          <w:szCs w:val="24"/>
        </w:rPr>
      </w:pPr>
      <w:r w:rsidRPr="00E42D2F">
        <w:rPr>
          <w:rFonts w:ascii="Arial" w:hAnsi="Arial" w:cs="Arial"/>
          <w:b/>
          <w:sz w:val="24"/>
          <w:szCs w:val="24"/>
        </w:rPr>
        <w:t>ÚNICO.-</w:t>
      </w:r>
      <w:r w:rsidRPr="00E42D2F">
        <w:rPr>
          <w:rFonts w:ascii="Arial" w:hAnsi="Arial" w:cs="Arial"/>
          <w:sz w:val="24"/>
          <w:szCs w:val="24"/>
        </w:rPr>
        <w:t xml:space="preserve"> El presente Decreto entrará en vigor al día siguiente de su publicación el Periódico Oficial del Gobierno del Estado.  </w:t>
      </w:r>
    </w:p>
    <w:p w:rsidR="00E42D2F" w:rsidRDefault="00E42D2F" w:rsidP="0016177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424F7" w:rsidRDefault="004424F7" w:rsidP="0016177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424F7" w:rsidRDefault="004424F7" w:rsidP="0016177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424F7" w:rsidRDefault="004424F7" w:rsidP="0016177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4424F7" w:rsidRDefault="004424F7" w:rsidP="0016177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42D2F">
        <w:rPr>
          <w:rFonts w:ascii="Arial" w:eastAsia="Times New Roman" w:hAnsi="Arial" w:cs="Arial"/>
          <w:b/>
          <w:snapToGrid w:val="0"/>
          <w:sz w:val="24"/>
          <w:szCs w:val="24"/>
          <w:lang w:val="es-ES_tradnl" w:eastAsia="es-ES"/>
        </w:rPr>
        <w:t>DADO en la Ciudad de Saltillo, Coahuila de Zaragoza, a los veintidós días del mes de julio del año dos mil veinte.</w:t>
      </w: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E42D2F" w:rsidP="0016177A">
      <w:pPr>
        <w:tabs>
          <w:tab w:val="left" w:pos="8749"/>
        </w:tabs>
        <w:spacing w:after="0" w:line="240" w:lineRule="auto"/>
        <w:jc w:val="center"/>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DIPUTADO PRESIDENTE</w:t>
      </w:r>
    </w:p>
    <w:p w:rsidR="0016177A" w:rsidRPr="00E42D2F" w:rsidRDefault="0016177A" w:rsidP="0016177A">
      <w:pPr>
        <w:tabs>
          <w:tab w:val="left" w:pos="8749"/>
        </w:tabs>
        <w:spacing w:after="0" w:line="240" w:lineRule="auto"/>
        <w:jc w:val="center"/>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center"/>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center"/>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center"/>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center"/>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center"/>
        <w:rPr>
          <w:rFonts w:ascii="Arial" w:eastAsia="Times New Roman" w:hAnsi="Arial" w:cs="Arial"/>
          <w:b/>
          <w:snapToGrid w:val="0"/>
          <w:sz w:val="24"/>
          <w:szCs w:val="24"/>
          <w:lang w:val="es-ES_tradnl" w:eastAsia="es-ES"/>
        </w:rPr>
      </w:pPr>
      <w:r w:rsidRPr="00E42D2F">
        <w:rPr>
          <w:rFonts w:ascii="Arial" w:eastAsia="Times New Roman" w:hAnsi="Arial" w:cs="Arial"/>
          <w:b/>
          <w:snapToGrid w:val="0"/>
          <w:sz w:val="24"/>
          <w:szCs w:val="24"/>
          <w:lang w:val="es-ES_tradnl" w:eastAsia="es-ES"/>
        </w:rPr>
        <w:t>MARCELO DE JESÚS TORRES COFIÑO</w:t>
      </w:r>
    </w:p>
    <w:p w:rsidR="0016177A" w:rsidRPr="00E42D2F" w:rsidRDefault="0016177A" w:rsidP="0016177A">
      <w:pPr>
        <w:tabs>
          <w:tab w:val="left" w:pos="8749"/>
        </w:tabs>
        <w:spacing w:after="0" w:line="240" w:lineRule="auto"/>
        <w:jc w:val="center"/>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r w:rsidRPr="00E42D2F">
        <w:rPr>
          <w:rFonts w:ascii="Arial" w:eastAsia="Times New Roman" w:hAnsi="Arial" w:cs="Arial"/>
          <w:b/>
          <w:snapToGrid w:val="0"/>
          <w:sz w:val="24"/>
          <w:szCs w:val="24"/>
          <w:lang w:val="es-ES_tradnl" w:eastAsia="es-ES"/>
        </w:rPr>
        <w:t xml:space="preserve">                </w:t>
      </w:r>
      <w:r w:rsidR="00E42D2F">
        <w:rPr>
          <w:rFonts w:ascii="Arial" w:eastAsia="Times New Roman" w:hAnsi="Arial" w:cs="Arial"/>
          <w:b/>
          <w:snapToGrid w:val="0"/>
          <w:sz w:val="24"/>
          <w:szCs w:val="24"/>
          <w:lang w:val="es-ES_tradnl" w:eastAsia="es-ES"/>
        </w:rPr>
        <w:t xml:space="preserve">  </w:t>
      </w:r>
      <w:r w:rsidRPr="00E42D2F">
        <w:rPr>
          <w:rFonts w:ascii="Arial" w:eastAsia="Times New Roman" w:hAnsi="Arial" w:cs="Arial"/>
          <w:b/>
          <w:snapToGrid w:val="0"/>
          <w:sz w:val="24"/>
          <w:szCs w:val="24"/>
          <w:lang w:val="es-ES_tradnl" w:eastAsia="es-ES"/>
        </w:rPr>
        <w:t xml:space="preserve">DIPUTADA SECRETARIA                                       DIPUTADA SECRETARIA </w:t>
      </w: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tabs>
          <w:tab w:val="left" w:pos="8749"/>
        </w:tabs>
        <w:spacing w:after="0" w:line="240" w:lineRule="auto"/>
        <w:jc w:val="both"/>
        <w:rPr>
          <w:rFonts w:ascii="Arial" w:eastAsia="Times New Roman" w:hAnsi="Arial" w:cs="Arial"/>
          <w:b/>
          <w:snapToGrid w:val="0"/>
          <w:sz w:val="24"/>
          <w:szCs w:val="24"/>
          <w:lang w:val="es-ES_tradnl" w:eastAsia="es-ES"/>
        </w:rPr>
      </w:pPr>
    </w:p>
    <w:p w:rsidR="0016177A" w:rsidRPr="00E42D2F" w:rsidRDefault="0016177A" w:rsidP="0016177A">
      <w:pPr>
        <w:spacing w:after="0" w:line="240" w:lineRule="auto"/>
        <w:jc w:val="both"/>
        <w:rPr>
          <w:rFonts w:ascii="Arial" w:eastAsia="Times New Roman" w:hAnsi="Arial" w:cs="Arial"/>
          <w:b/>
          <w:snapToGrid w:val="0"/>
          <w:sz w:val="24"/>
          <w:szCs w:val="24"/>
          <w:lang w:val="es-ES_tradnl" w:eastAsia="es-ES"/>
        </w:rPr>
      </w:pPr>
      <w:r w:rsidRPr="00E42D2F">
        <w:rPr>
          <w:rFonts w:ascii="Arial" w:eastAsia="Times New Roman" w:hAnsi="Arial" w:cs="Arial"/>
          <w:b/>
          <w:snapToGrid w:val="0"/>
          <w:sz w:val="24"/>
          <w:szCs w:val="24"/>
          <w:lang w:val="es-ES_tradnl" w:eastAsia="es-ES"/>
        </w:rPr>
        <w:t xml:space="preserve">VERÓNICA BOREQUE MARTÍNEZ GONZÁLEZ                  </w:t>
      </w:r>
      <w:r w:rsidR="00E42D2F">
        <w:rPr>
          <w:rFonts w:ascii="Arial" w:eastAsia="Times New Roman" w:hAnsi="Arial" w:cs="Arial"/>
          <w:b/>
          <w:snapToGrid w:val="0"/>
          <w:sz w:val="24"/>
          <w:szCs w:val="24"/>
          <w:lang w:val="es-ES_tradnl" w:eastAsia="es-ES"/>
        </w:rPr>
        <w:t xml:space="preserve">  </w:t>
      </w:r>
      <w:r w:rsidRPr="00E42D2F">
        <w:rPr>
          <w:rFonts w:ascii="Arial" w:eastAsia="Times New Roman" w:hAnsi="Arial" w:cs="Arial"/>
          <w:b/>
          <w:snapToGrid w:val="0"/>
          <w:sz w:val="24"/>
          <w:szCs w:val="24"/>
          <w:lang w:val="es-ES_tradnl" w:eastAsia="es-ES"/>
        </w:rPr>
        <w:t>BLANCA EPPEN CANALES</w:t>
      </w:r>
    </w:p>
    <w:p w:rsidR="0016177A" w:rsidRPr="00E42D2F" w:rsidRDefault="0016177A" w:rsidP="0016177A">
      <w:pPr>
        <w:jc w:val="both"/>
        <w:rPr>
          <w:rFonts w:ascii="Arial" w:hAnsi="Arial" w:cs="Arial"/>
          <w:sz w:val="24"/>
          <w:szCs w:val="24"/>
        </w:rPr>
      </w:pPr>
    </w:p>
    <w:p w:rsidR="0016177A" w:rsidRPr="00E42D2F" w:rsidRDefault="0016177A" w:rsidP="0016177A">
      <w:pPr>
        <w:jc w:val="both"/>
        <w:rPr>
          <w:rFonts w:ascii="Arial" w:hAnsi="Arial" w:cs="Arial"/>
          <w:sz w:val="24"/>
          <w:szCs w:val="24"/>
        </w:rPr>
      </w:pPr>
    </w:p>
    <w:sectPr w:rsidR="0016177A" w:rsidRPr="00E42D2F"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E9" w:rsidRDefault="006049E9" w:rsidP="00065EBC">
      <w:pPr>
        <w:spacing w:after="0" w:line="240" w:lineRule="auto"/>
      </w:pPr>
      <w:r>
        <w:separator/>
      </w:r>
    </w:p>
  </w:endnote>
  <w:endnote w:type="continuationSeparator" w:id="0">
    <w:p w:rsidR="006049E9" w:rsidRDefault="006049E9" w:rsidP="0006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9E9" w:rsidRDefault="006049E9" w:rsidP="00065EBC">
      <w:pPr>
        <w:spacing w:after="0" w:line="240" w:lineRule="auto"/>
      </w:pPr>
      <w:r>
        <w:separator/>
      </w:r>
    </w:p>
  </w:footnote>
  <w:footnote w:type="continuationSeparator" w:id="0">
    <w:p w:rsidR="006049E9" w:rsidRDefault="006049E9" w:rsidP="0006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65EBC" w:rsidRPr="00065EBC" w:rsidTr="0027553B">
      <w:trPr>
        <w:jc w:val="center"/>
      </w:trPr>
      <w:tc>
        <w:tcPr>
          <w:tcW w:w="1541" w:type="dxa"/>
        </w:tcPr>
        <w:p w:rsidR="00065EBC" w:rsidRPr="00065EBC" w:rsidRDefault="00065EBC" w:rsidP="00065EBC">
          <w:pPr>
            <w:spacing w:after="0" w:line="240" w:lineRule="auto"/>
            <w:jc w:val="center"/>
            <w:rPr>
              <w:rFonts w:ascii="Arial" w:eastAsia="Times New Roman" w:hAnsi="Arial" w:cs="Times New Roman"/>
              <w:b/>
              <w:bCs/>
              <w:sz w:val="12"/>
              <w:szCs w:val="20"/>
              <w:lang w:eastAsia="es-ES"/>
            </w:rPr>
          </w:pPr>
          <w:r w:rsidRPr="00065EBC">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7749C53" wp14:editId="5F9DEAE6">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tc>
      <w:tc>
        <w:tcPr>
          <w:tcW w:w="7975" w:type="dxa"/>
        </w:tcPr>
        <w:p w:rsidR="00065EBC" w:rsidRPr="00065EBC" w:rsidRDefault="00065EBC" w:rsidP="00065EBC">
          <w:pPr>
            <w:spacing w:after="0" w:line="240" w:lineRule="auto"/>
            <w:jc w:val="center"/>
            <w:rPr>
              <w:rFonts w:ascii="Arial" w:eastAsia="Times New Roman" w:hAnsi="Arial" w:cs="Times New Roman"/>
              <w:b/>
              <w:bCs/>
              <w:szCs w:val="20"/>
              <w:lang w:eastAsia="es-ES"/>
            </w:rPr>
          </w:pPr>
        </w:p>
        <w:p w:rsidR="00065EBC" w:rsidRPr="00065EBC" w:rsidRDefault="00065EBC" w:rsidP="00065EB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065EBC">
            <w:rPr>
              <w:rFonts w:ascii="Times New Roman" w:eastAsia="Times New Roman" w:hAnsi="Times New Roman" w:cs="Arial"/>
              <w:bCs/>
              <w:smallCaps/>
              <w:spacing w:val="20"/>
              <w:sz w:val="32"/>
              <w:szCs w:val="32"/>
              <w:lang w:eastAsia="es-ES"/>
            </w:rPr>
            <w:t>Congreso del Estado Independiente,</w:t>
          </w:r>
        </w:p>
        <w:p w:rsidR="00065EBC" w:rsidRPr="00065EBC" w:rsidRDefault="00065EBC" w:rsidP="00065EB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65EBC">
            <w:rPr>
              <w:rFonts w:ascii="Times New Roman" w:eastAsia="Times New Roman" w:hAnsi="Times New Roman" w:cs="Arial"/>
              <w:bCs/>
              <w:smallCaps/>
              <w:spacing w:val="20"/>
              <w:sz w:val="32"/>
              <w:szCs w:val="32"/>
              <w:lang w:eastAsia="es-ES"/>
            </w:rPr>
            <w:t>Libre y Soberano de Coahuila de Zaragoza</w:t>
          </w:r>
        </w:p>
        <w:p w:rsidR="00065EBC" w:rsidRPr="00065EBC" w:rsidRDefault="00065EBC" w:rsidP="00065EB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065EBC" w:rsidRPr="00065EBC" w:rsidRDefault="00065EBC" w:rsidP="00065EB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065EBC">
            <w:rPr>
              <w:rFonts w:ascii="Times New Roman" w:eastAsia="Times New Roman" w:hAnsi="Times New Roman" w:cs="Times New Roman"/>
              <w:sz w:val="18"/>
              <w:szCs w:val="20"/>
              <w:lang w:eastAsia="es-MX"/>
            </w:rPr>
            <w:t>“2020, Año del Centenario Luctuoso de Venustiano Carranza, el Varón de Cuatro Ciénegas”</w:t>
          </w: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tc>
      <w:tc>
        <w:tcPr>
          <w:tcW w:w="1541" w:type="dxa"/>
        </w:tcPr>
        <w:p w:rsidR="00065EBC" w:rsidRPr="00065EBC" w:rsidRDefault="00065EBC" w:rsidP="00065EBC">
          <w:pPr>
            <w:spacing w:after="0" w:line="240" w:lineRule="auto"/>
            <w:jc w:val="center"/>
            <w:rPr>
              <w:rFonts w:ascii="Arial" w:eastAsia="Times New Roman" w:hAnsi="Arial" w:cs="Times New Roman"/>
              <w:b/>
              <w:bCs/>
              <w:sz w:val="12"/>
              <w:szCs w:val="20"/>
              <w:lang w:eastAsia="es-ES"/>
            </w:rPr>
          </w:pPr>
          <w:r w:rsidRPr="00065EBC">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8497616" wp14:editId="4543FF7C">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p w:rsidR="00065EBC" w:rsidRPr="00065EBC" w:rsidRDefault="00065EBC" w:rsidP="00065EBC">
          <w:pPr>
            <w:spacing w:after="0" w:line="240" w:lineRule="auto"/>
            <w:jc w:val="center"/>
            <w:rPr>
              <w:rFonts w:ascii="Arial" w:eastAsia="Times New Roman" w:hAnsi="Arial" w:cs="Times New Roman"/>
              <w:b/>
              <w:bCs/>
              <w:sz w:val="12"/>
              <w:szCs w:val="20"/>
              <w:lang w:eastAsia="es-ES"/>
            </w:rPr>
          </w:pPr>
        </w:p>
      </w:tc>
    </w:tr>
  </w:tbl>
  <w:p w:rsidR="00065EBC" w:rsidRDefault="00065E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7A"/>
    <w:rsid w:val="000653EC"/>
    <w:rsid w:val="00065EBC"/>
    <w:rsid w:val="0016177A"/>
    <w:rsid w:val="001F005F"/>
    <w:rsid w:val="00312AF2"/>
    <w:rsid w:val="003E094F"/>
    <w:rsid w:val="004424F7"/>
    <w:rsid w:val="004562E7"/>
    <w:rsid w:val="006049E9"/>
    <w:rsid w:val="00606197"/>
    <w:rsid w:val="0081732A"/>
    <w:rsid w:val="00E42D2F"/>
    <w:rsid w:val="00E44C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4D7A-A6A7-4ED9-96E1-FA2D3975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5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5EBC"/>
  </w:style>
  <w:style w:type="paragraph" w:styleId="Piedepgina">
    <w:name w:val="footer"/>
    <w:basedOn w:val="Normal"/>
    <w:link w:val="PiedepginaCar"/>
    <w:uiPriority w:val="99"/>
    <w:unhideWhenUsed/>
    <w:rsid w:val="00065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2020-07-23T18:35:00Z</cp:lastPrinted>
  <dcterms:created xsi:type="dcterms:W3CDTF">2020-07-24T16:17:00Z</dcterms:created>
  <dcterms:modified xsi:type="dcterms:W3CDTF">2020-07-24T16:17:00Z</dcterms:modified>
</cp:coreProperties>
</file>