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9" w:rsidRPr="00316D69" w:rsidRDefault="00316D69" w:rsidP="00316D6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316D69" w:rsidRDefault="00316D69" w:rsidP="00316D6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316D69" w:rsidRDefault="00316D69" w:rsidP="00316D6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316D69" w:rsidRDefault="00316D69" w:rsidP="00316D6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316D69" w:rsidRDefault="00316D69" w:rsidP="00316D6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F4338E" w:rsidRDefault="00316D69" w:rsidP="00316D69">
      <w:pPr>
        <w:rPr>
          <w:rFonts w:cs="Arial"/>
          <w:b/>
          <w:snapToGrid w:val="0"/>
          <w:sz w:val="28"/>
          <w:szCs w:val="28"/>
          <w:lang w:val="es-ES_tradnl"/>
        </w:rPr>
      </w:pPr>
      <w:r w:rsidRPr="00F4338E">
        <w:rPr>
          <w:rFonts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316D69" w:rsidRPr="00F4338E" w:rsidRDefault="00316D69" w:rsidP="00316D6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F4338E" w:rsidRDefault="00316D69" w:rsidP="00316D69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F4338E" w:rsidRDefault="00316D69" w:rsidP="00316D6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  <w:r w:rsidRPr="00F4338E">
        <w:rPr>
          <w:rFonts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316D69" w:rsidRDefault="00316D69" w:rsidP="00316D6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F4338E" w:rsidRDefault="00316D69" w:rsidP="00316D6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316D69" w:rsidRDefault="00316D69" w:rsidP="00316D6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  <w:r>
        <w:rPr>
          <w:rFonts w:cs="Arial"/>
          <w:b/>
          <w:snapToGrid w:val="0"/>
          <w:sz w:val="28"/>
          <w:szCs w:val="28"/>
          <w:lang w:val="es-ES_tradnl"/>
        </w:rPr>
        <w:t>NÚMERO 706</w:t>
      </w:r>
      <w:r w:rsidRPr="00F4338E">
        <w:rPr>
          <w:rFonts w:cs="Arial"/>
          <w:b/>
          <w:snapToGrid w:val="0"/>
          <w:sz w:val="28"/>
          <w:szCs w:val="28"/>
          <w:lang w:val="es-ES_tradnl"/>
        </w:rPr>
        <w:t>.-</w:t>
      </w:r>
    </w:p>
    <w:p w:rsidR="00316D69" w:rsidRPr="00316D69" w:rsidRDefault="00316D69" w:rsidP="00316D6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F4338E" w:rsidRDefault="00316D69" w:rsidP="00316D69">
      <w:pPr>
        <w:widowControl w:val="0"/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316D69" w:rsidRDefault="00316D69" w:rsidP="00316D69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Cs/>
          <w:color w:val="000000"/>
          <w:sz w:val="28"/>
          <w:szCs w:val="28"/>
        </w:rPr>
      </w:pPr>
      <w:proofErr w:type="gramStart"/>
      <w:r>
        <w:rPr>
          <w:rFonts w:eastAsia="Arial" w:cs="Arial"/>
          <w:b/>
          <w:color w:val="000000"/>
          <w:sz w:val="28"/>
          <w:szCs w:val="28"/>
        </w:rPr>
        <w:t>ÚNICO.-</w:t>
      </w:r>
      <w:proofErr w:type="gramEnd"/>
      <w:r w:rsidRPr="00316D69">
        <w:rPr>
          <w:rFonts w:eastAsia="Arial" w:cs="Arial"/>
          <w:b/>
          <w:color w:val="000000"/>
          <w:sz w:val="28"/>
          <w:szCs w:val="28"/>
        </w:rPr>
        <w:t xml:space="preserve"> </w:t>
      </w:r>
      <w:r w:rsidRPr="00316D69">
        <w:rPr>
          <w:rFonts w:eastAsia="Arial" w:cs="Arial"/>
          <w:bCs/>
          <w:color w:val="000000"/>
          <w:sz w:val="28"/>
          <w:szCs w:val="28"/>
        </w:rPr>
        <w:t xml:space="preserve">Se </w:t>
      </w:r>
      <w:r w:rsidRPr="00053DF5">
        <w:rPr>
          <w:rFonts w:eastAsia="Arial" w:cs="Arial"/>
          <w:b/>
          <w:bCs/>
          <w:color w:val="000000"/>
          <w:sz w:val="28"/>
          <w:szCs w:val="28"/>
        </w:rPr>
        <w:t>reforma</w:t>
      </w:r>
      <w:r w:rsidRPr="00316D69">
        <w:rPr>
          <w:rFonts w:eastAsia="Arial" w:cs="Arial"/>
          <w:bCs/>
          <w:color w:val="000000"/>
          <w:sz w:val="28"/>
          <w:szCs w:val="28"/>
        </w:rPr>
        <w:t xml:space="preserve"> el primer párrafo del artículo 61 de la</w:t>
      </w:r>
      <w:r w:rsidRPr="00316D69">
        <w:rPr>
          <w:rFonts w:eastAsia="Arial" w:cs="Arial"/>
          <w:bCs/>
          <w:sz w:val="28"/>
          <w:szCs w:val="28"/>
        </w:rPr>
        <w:t xml:space="preserve"> </w:t>
      </w:r>
      <w:r w:rsidRPr="00053DF5">
        <w:rPr>
          <w:rFonts w:eastAsia="Arial" w:cs="Arial"/>
          <w:b/>
          <w:bCs/>
          <w:sz w:val="28"/>
          <w:szCs w:val="28"/>
        </w:rPr>
        <w:t>Ley Estatal de Salud</w:t>
      </w:r>
      <w:r w:rsidRPr="00316D69">
        <w:rPr>
          <w:rFonts w:eastAsia="Arial" w:cs="Arial"/>
          <w:bCs/>
          <w:color w:val="000000"/>
          <w:sz w:val="28"/>
          <w:szCs w:val="28"/>
        </w:rPr>
        <w:t>, para quedar como sigue:</w:t>
      </w:r>
    </w:p>
    <w:p w:rsidR="00316D69" w:rsidRDefault="00316D69" w:rsidP="00316D69">
      <w:pPr>
        <w:tabs>
          <w:tab w:val="left" w:pos="5040"/>
        </w:tabs>
        <w:rPr>
          <w:rFonts w:eastAsia="Arial" w:cs="Arial"/>
          <w:sz w:val="28"/>
          <w:szCs w:val="28"/>
        </w:rPr>
      </w:pPr>
    </w:p>
    <w:p w:rsidR="00316D69" w:rsidRPr="00316D69" w:rsidRDefault="00316D69" w:rsidP="00316D69">
      <w:pPr>
        <w:tabs>
          <w:tab w:val="left" w:pos="5040"/>
        </w:tabs>
        <w:rPr>
          <w:rFonts w:eastAsia="Arial" w:cs="Arial"/>
          <w:sz w:val="28"/>
          <w:szCs w:val="28"/>
        </w:rPr>
      </w:pPr>
    </w:p>
    <w:p w:rsidR="00316D69" w:rsidRPr="00316D69" w:rsidRDefault="00316D69" w:rsidP="00316D69">
      <w:pPr>
        <w:rPr>
          <w:rFonts w:eastAsia="Arial" w:cs="Arial"/>
          <w:sz w:val="28"/>
          <w:szCs w:val="28"/>
        </w:rPr>
      </w:pPr>
      <w:r w:rsidRPr="00316D69">
        <w:rPr>
          <w:rFonts w:eastAsia="Arial" w:cs="Arial"/>
          <w:b/>
          <w:sz w:val="28"/>
          <w:szCs w:val="28"/>
        </w:rPr>
        <w:t>Artículo 61.</w:t>
      </w:r>
      <w:r w:rsidRPr="00316D69">
        <w:rPr>
          <w:rFonts w:eastAsia="Arial" w:cs="Arial"/>
          <w:sz w:val="28"/>
          <w:szCs w:val="28"/>
        </w:rPr>
        <w:t xml:space="preserve"> En materia de higiene escolar, corresponde al Gobierno del Estado </w:t>
      </w:r>
      <w:r w:rsidRPr="00316D69">
        <w:rPr>
          <w:rFonts w:eastAsia="Arial" w:cs="Arial"/>
          <w:bCs/>
          <w:sz w:val="28"/>
          <w:szCs w:val="28"/>
        </w:rPr>
        <w:t>la facultad de</w:t>
      </w:r>
      <w:r w:rsidRPr="00316D69">
        <w:rPr>
          <w:rFonts w:eastAsia="Arial" w:cs="Arial"/>
          <w:sz w:val="28"/>
          <w:szCs w:val="28"/>
        </w:rPr>
        <w:t xml:space="preserve"> establecer las normas técnicas para proteger la salud del educando y de la comunidad escolar de los centros educativos dependientes del Estado</w:t>
      </w:r>
      <w:r w:rsidRPr="00316D69">
        <w:rPr>
          <w:rFonts w:eastAsia="Arial" w:cs="Arial"/>
          <w:bCs/>
          <w:sz w:val="28"/>
          <w:szCs w:val="28"/>
        </w:rPr>
        <w:t>;</w:t>
      </w:r>
      <w:r w:rsidRPr="00316D69">
        <w:rPr>
          <w:rFonts w:eastAsia="Arial" w:cs="Arial"/>
          <w:sz w:val="28"/>
          <w:szCs w:val="28"/>
        </w:rPr>
        <w:t xml:space="preserve"> las autoridades educativas y sanitarias estatales se coordinarán para la aplicación de las mismas, </w:t>
      </w:r>
      <w:r w:rsidRPr="00316D69">
        <w:rPr>
          <w:rFonts w:eastAsia="Arial" w:cs="Arial"/>
          <w:bCs/>
          <w:sz w:val="28"/>
          <w:szCs w:val="28"/>
        </w:rPr>
        <w:t>así mismo, para promover</w:t>
      </w:r>
      <w:r w:rsidRPr="00316D69">
        <w:rPr>
          <w:rFonts w:eastAsia="Arial" w:cs="Arial"/>
          <w:sz w:val="28"/>
          <w:szCs w:val="28"/>
        </w:rPr>
        <w:t xml:space="preserve"> programas de activación física e impulsar acciones que fomenten la alimentación nutritiva, suficiente y de calidad.</w:t>
      </w:r>
    </w:p>
    <w:p w:rsidR="00316D69" w:rsidRPr="00316D69" w:rsidRDefault="00316D69" w:rsidP="00316D69">
      <w:pPr>
        <w:rPr>
          <w:rFonts w:eastAsia="Arial" w:cs="Arial"/>
          <w:sz w:val="28"/>
          <w:szCs w:val="28"/>
        </w:rPr>
      </w:pPr>
    </w:p>
    <w:p w:rsidR="00316D69" w:rsidRPr="00053DF5" w:rsidRDefault="00316D69" w:rsidP="00316D69">
      <w:pPr>
        <w:rPr>
          <w:rFonts w:eastAsia="Arial" w:cs="Arial"/>
          <w:sz w:val="28"/>
          <w:szCs w:val="28"/>
          <w:lang w:val="en-US"/>
        </w:rPr>
      </w:pPr>
      <w:r w:rsidRPr="00053DF5">
        <w:rPr>
          <w:rFonts w:eastAsia="Arial" w:cs="Arial"/>
          <w:sz w:val="28"/>
          <w:szCs w:val="28"/>
          <w:lang w:val="en-US"/>
        </w:rPr>
        <w:t>…</w:t>
      </w:r>
    </w:p>
    <w:p w:rsidR="00316D69" w:rsidRPr="00053DF5" w:rsidRDefault="00316D69" w:rsidP="00316D69">
      <w:pPr>
        <w:tabs>
          <w:tab w:val="left" w:pos="5040"/>
        </w:tabs>
        <w:rPr>
          <w:rFonts w:eastAsia="Arial" w:cs="Arial"/>
          <w:sz w:val="28"/>
          <w:szCs w:val="28"/>
          <w:lang w:val="en-US"/>
        </w:rPr>
      </w:pPr>
    </w:p>
    <w:p w:rsidR="00316D69" w:rsidRPr="00053DF5" w:rsidRDefault="00316D69" w:rsidP="00316D69">
      <w:pPr>
        <w:tabs>
          <w:tab w:val="left" w:pos="5040"/>
        </w:tabs>
        <w:rPr>
          <w:rFonts w:eastAsia="Arial" w:cs="Arial"/>
          <w:sz w:val="28"/>
          <w:szCs w:val="28"/>
          <w:lang w:val="en-US"/>
        </w:rPr>
      </w:pPr>
    </w:p>
    <w:p w:rsidR="00316D69" w:rsidRPr="00053DF5" w:rsidRDefault="00316D69" w:rsidP="00316D69">
      <w:pPr>
        <w:jc w:val="center"/>
        <w:rPr>
          <w:rFonts w:eastAsia="Arial" w:cs="Arial"/>
          <w:b/>
          <w:sz w:val="28"/>
          <w:szCs w:val="28"/>
          <w:lang w:val="en-US"/>
        </w:rPr>
      </w:pPr>
      <w:r w:rsidRPr="00053DF5">
        <w:rPr>
          <w:rFonts w:eastAsia="Arial" w:cs="Arial"/>
          <w:b/>
          <w:sz w:val="28"/>
          <w:szCs w:val="28"/>
          <w:lang w:val="en-US"/>
        </w:rPr>
        <w:t xml:space="preserve"> T R </w:t>
      </w:r>
      <w:proofErr w:type="gramStart"/>
      <w:r w:rsidRPr="00053DF5">
        <w:rPr>
          <w:rFonts w:eastAsia="Arial" w:cs="Arial"/>
          <w:b/>
          <w:sz w:val="28"/>
          <w:szCs w:val="28"/>
          <w:lang w:val="en-US"/>
        </w:rPr>
        <w:t>A</w:t>
      </w:r>
      <w:proofErr w:type="gramEnd"/>
      <w:r w:rsidRPr="00053DF5">
        <w:rPr>
          <w:rFonts w:eastAsia="Arial" w:cs="Arial"/>
          <w:b/>
          <w:sz w:val="28"/>
          <w:szCs w:val="28"/>
          <w:lang w:val="en-US"/>
        </w:rPr>
        <w:t xml:space="preserve"> N S I T O R I O  </w:t>
      </w:r>
    </w:p>
    <w:p w:rsidR="00316D69" w:rsidRPr="00053DF5" w:rsidRDefault="00316D69" w:rsidP="00316D69">
      <w:pPr>
        <w:rPr>
          <w:rFonts w:eastAsia="Arial" w:cs="Arial"/>
          <w:b/>
          <w:sz w:val="28"/>
          <w:szCs w:val="28"/>
          <w:lang w:val="en-US"/>
        </w:rPr>
      </w:pPr>
      <w:r w:rsidRPr="00053DF5">
        <w:rPr>
          <w:rFonts w:eastAsia="Arial" w:cs="Arial"/>
          <w:b/>
          <w:sz w:val="28"/>
          <w:szCs w:val="28"/>
          <w:lang w:val="en-US"/>
        </w:rPr>
        <w:t xml:space="preserve"> </w:t>
      </w:r>
    </w:p>
    <w:p w:rsidR="00316D69" w:rsidRPr="00053DF5" w:rsidRDefault="00316D69" w:rsidP="00316D69">
      <w:pPr>
        <w:rPr>
          <w:rFonts w:eastAsia="Arial" w:cs="Arial"/>
          <w:b/>
          <w:sz w:val="28"/>
          <w:szCs w:val="28"/>
          <w:lang w:val="en-US"/>
        </w:rPr>
      </w:pPr>
      <w:r w:rsidRPr="00053DF5">
        <w:rPr>
          <w:rFonts w:eastAsia="Arial" w:cs="Arial"/>
          <w:b/>
          <w:sz w:val="28"/>
          <w:szCs w:val="28"/>
          <w:lang w:val="en-US"/>
        </w:rPr>
        <w:t xml:space="preserve"> </w:t>
      </w:r>
    </w:p>
    <w:p w:rsidR="00316D69" w:rsidRPr="00316D69" w:rsidRDefault="00316D69" w:rsidP="00316D69">
      <w:pPr>
        <w:rPr>
          <w:rFonts w:eastAsia="Arial" w:cs="Arial"/>
          <w:sz w:val="28"/>
          <w:szCs w:val="28"/>
        </w:rPr>
      </w:pPr>
      <w:proofErr w:type="gramStart"/>
      <w:r>
        <w:rPr>
          <w:rFonts w:eastAsia="Arial" w:cs="Arial"/>
          <w:b/>
          <w:sz w:val="28"/>
          <w:szCs w:val="28"/>
        </w:rPr>
        <w:t>ÚNICO.</w:t>
      </w:r>
      <w:r w:rsidRPr="00316D69">
        <w:rPr>
          <w:rFonts w:eastAsia="Arial" w:cs="Arial"/>
          <w:b/>
          <w:sz w:val="28"/>
          <w:szCs w:val="28"/>
        </w:rPr>
        <w:t>-</w:t>
      </w:r>
      <w:proofErr w:type="gramEnd"/>
      <w:r w:rsidRPr="00316D69">
        <w:rPr>
          <w:rFonts w:eastAsia="Arial" w:cs="Arial"/>
          <w:b/>
          <w:sz w:val="28"/>
          <w:szCs w:val="28"/>
        </w:rPr>
        <w:t xml:space="preserve"> </w:t>
      </w:r>
      <w:r w:rsidRPr="00316D69">
        <w:rPr>
          <w:rFonts w:eastAsia="Arial" w:cs="Arial"/>
          <w:sz w:val="28"/>
          <w:szCs w:val="28"/>
        </w:rPr>
        <w:t>El presente decreto entrará en vigor al día siguiente de su publicación en el Periódico Oficial del Gobierno del Estado.</w:t>
      </w:r>
    </w:p>
    <w:p w:rsidR="00316D69" w:rsidRPr="00316D69" w:rsidRDefault="00316D69" w:rsidP="00316D6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316D69" w:rsidRPr="00316D69" w:rsidRDefault="00316D69" w:rsidP="00316D69">
      <w:pPr>
        <w:widowControl w:val="0"/>
        <w:tabs>
          <w:tab w:val="left" w:pos="8749"/>
        </w:tabs>
        <w:rPr>
          <w:rFonts w:eastAsia="Calibri"/>
          <w:b/>
          <w:sz w:val="28"/>
          <w:szCs w:val="28"/>
          <w:lang w:eastAsia="en-US"/>
        </w:rPr>
      </w:pPr>
    </w:p>
    <w:p w:rsidR="00316D69" w:rsidRPr="00316D69" w:rsidRDefault="00316D69" w:rsidP="00316D69">
      <w:pPr>
        <w:widowControl w:val="0"/>
        <w:tabs>
          <w:tab w:val="left" w:pos="8749"/>
        </w:tabs>
        <w:rPr>
          <w:rFonts w:eastAsia="Calibri"/>
          <w:b/>
          <w:sz w:val="28"/>
          <w:szCs w:val="28"/>
          <w:lang w:eastAsia="en-US"/>
        </w:rPr>
      </w:pPr>
    </w:p>
    <w:p w:rsidR="00316D69" w:rsidRPr="00316D69" w:rsidRDefault="00316D69" w:rsidP="00316D69">
      <w:pPr>
        <w:widowControl w:val="0"/>
        <w:tabs>
          <w:tab w:val="left" w:pos="8749"/>
        </w:tabs>
        <w:rPr>
          <w:rFonts w:eastAsia="Calibri"/>
          <w:b/>
          <w:sz w:val="28"/>
          <w:szCs w:val="28"/>
          <w:lang w:eastAsia="en-US"/>
        </w:rPr>
      </w:pPr>
    </w:p>
    <w:p w:rsidR="00316D69" w:rsidRPr="00F4338E" w:rsidRDefault="00316D69" w:rsidP="00316D69">
      <w:pPr>
        <w:widowControl w:val="0"/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  <w:r w:rsidRPr="00F4338E">
        <w:rPr>
          <w:rFonts w:cs="Arial"/>
          <w:b/>
          <w:snapToGrid w:val="0"/>
          <w:sz w:val="28"/>
          <w:szCs w:val="28"/>
          <w:lang w:val="es-ES_tradnl"/>
        </w:rPr>
        <w:t xml:space="preserve">DADO en la Ciudad de Saltillo, Coahuila de Zaragoza, a los </w:t>
      </w:r>
      <w:r w:rsidRPr="00316D69">
        <w:rPr>
          <w:rFonts w:cs="Arial"/>
          <w:b/>
          <w:snapToGrid w:val="0"/>
          <w:sz w:val="28"/>
          <w:szCs w:val="28"/>
          <w:lang w:val="es-ES_tradnl"/>
        </w:rPr>
        <w:t>catorce días del mes de agosto</w:t>
      </w:r>
      <w:r w:rsidRPr="00F4338E">
        <w:rPr>
          <w:rFonts w:cs="Arial"/>
          <w:b/>
          <w:snapToGrid w:val="0"/>
          <w:sz w:val="28"/>
          <w:szCs w:val="28"/>
          <w:lang w:val="es-ES_tradnl"/>
        </w:rPr>
        <w:t xml:space="preserve"> del año dos mil veinte.</w:t>
      </w:r>
    </w:p>
    <w:p w:rsidR="00316D69" w:rsidRPr="00F4338E" w:rsidRDefault="00316D69" w:rsidP="00316D6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F4338E" w:rsidRDefault="00316D69" w:rsidP="00316D6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F4338E" w:rsidRDefault="00316D69" w:rsidP="00316D6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F4338E" w:rsidRDefault="00316D69" w:rsidP="00316D69">
      <w:pPr>
        <w:tabs>
          <w:tab w:val="left" w:pos="8749"/>
        </w:tabs>
        <w:jc w:val="center"/>
        <w:rPr>
          <w:rFonts w:cs="Arial"/>
          <w:b/>
          <w:snapToGrid w:val="0"/>
          <w:sz w:val="28"/>
          <w:szCs w:val="28"/>
          <w:lang w:val="es-ES_tradnl"/>
        </w:rPr>
      </w:pPr>
      <w:r w:rsidRPr="00316D69">
        <w:rPr>
          <w:rFonts w:cs="Arial"/>
          <w:b/>
          <w:snapToGrid w:val="0"/>
          <w:sz w:val="28"/>
          <w:szCs w:val="28"/>
          <w:lang w:val="es-ES_tradnl"/>
        </w:rPr>
        <w:t>DIPUTADO PRESIDENTE</w:t>
      </w:r>
    </w:p>
    <w:p w:rsidR="00316D69" w:rsidRPr="00316D69" w:rsidRDefault="00316D69" w:rsidP="00316D69">
      <w:pPr>
        <w:tabs>
          <w:tab w:val="left" w:pos="8749"/>
        </w:tabs>
        <w:jc w:val="center"/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316D69" w:rsidRDefault="00316D69" w:rsidP="00316D69">
      <w:pPr>
        <w:tabs>
          <w:tab w:val="left" w:pos="8749"/>
        </w:tabs>
        <w:jc w:val="center"/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316D69" w:rsidRDefault="00316D69" w:rsidP="00316D69">
      <w:pPr>
        <w:tabs>
          <w:tab w:val="left" w:pos="8749"/>
        </w:tabs>
        <w:jc w:val="center"/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F4338E" w:rsidRDefault="00316D69" w:rsidP="00316D69">
      <w:pPr>
        <w:tabs>
          <w:tab w:val="left" w:pos="8749"/>
        </w:tabs>
        <w:jc w:val="center"/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F4338E" w:rsidRDefault="00316D69" w:rsidP="00316D69">
      <w:pPr>
        <w:tabs>
          <w:tab w:val="left" w:pos="8749"/>
        </w:tabs>
        <w:jc w:val="center"/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F4338E" w:rsidRDefault="00316D69" w:rsidP="00316D69">
      <w:pPr>
        <w:tabs>
          <w:tab w:val="left" w:pos="8749"/>
        </w:tabs>
        <w:jc w:val="center"/>
        <w:rPr>
          <w:rFonts w:cs="Arial"/>
          <w:b/>
          <w:snapToGrid w:val="0"/>
          <w:sz w:val="28"/>
          <w:szCs w:val="28"/>
          <w:lang w:val="es-ES_tradnl"/>
        </w:rPr>
      </w:pPr>
      <w:r w:rsidRPr="00316D69">
        <w:rPr>
          <w:rFonts w:cs="Arial"/>
          <w:b/>
          <w:snapToGrid w:val="0"/>
          <w:sz w:val="28"/>
          <w:szCs w:val="28"/>
          <w:lang w:val="es-ES_tradnl"/>
        </w:rPr>
        <w:t>MARCELO DE JESÚS TORRES COFIÑO</w:t>
      </w:r>
    </w:p>
    <w:p w:rsidR="00316D69" w:rsidRPr="00F4338E" w:rsidRDefault="00316D69" w:rsidP="00316D6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316D69" w:rsidRPr="00316D69" w:rsidRDefault="00316D69" w:rsidP="00316D69">
      <w:pPr>
        <w:tabs>
          <w:tab w:val="left" w:pos="8749"/>
        </w:tabs>
        <w:rPr>
          <w:rFonts w:cs="Arial"/>
          <w:b/>
          <w:snapToGrid w:val="0"/>
          <w:sz w:val="28"/>
          <w:szCs w:val="28"/>
          <w:lang w:val="es-ES_tradnl"/>
        </w:rPr>
      </w:pPr>
    </w:p>
    <w:p w:rsidR="00A408D9" w:rsidRPr="00222041" w:rsidRDefault="00A408D9" w:rsidP="00A408D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bookmarkStart w:id="0" w:name="_GoBack"/>
      <w:bookmarkEnd w:id="0"/>
    </w:p>
    <w:p w:rsidR="00A408D9" w:rsidRPr="00F4338E" w:rsidRDefault="00A408D9" w:rsidP="00A408D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408D9" w:rsidRPr="00F4338E" w:rsidRDefault="00A408D9" w:rsidP="00A408D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 xml:space="preserve">    </w:t>
      </w:r>
      <w:r w:rsidRPr="00222041">
        <w:rPr>
          <w:rFonts w:cs="Arial"/>
          <w:b/>
          <w:snapToGrid w:val="0"/>
          <w:sz w:val="26"/>
          <w:szCs w:val="26"/>
          <w:lang w:val="es-ES_tradnl"/>
        </w:rPr>
        <w:t xml:space="preserve"> </w:t>
      </w:r>
      <w:r w:rsidRPr="00F4338E">
        <w:rPr>
          <w:rFonts w:cs="Arial"/>
          <w:b/>
          <w:snapToGrid w:val="0"/>
          <w:sz w:val="26"/>
          <w:szCs w:val="26"/>
          <w:lang w:val="es-ES_tradnl"/>
        </w:rPr>
        <w:t xml:space="preserve">DIPUTADA SECRETARIA                               </w:t>
      </w:r>
      <w:r w:rsidRPr="00222041">
        <w:rPr>
          <w:rFonts w:cs="Arial"/>
          <w:b/>
          <w:snapToGrid w:val="0"/>
          <w:sz w:val="26"/>
          <w:szCs w:val="26"/>
          <w:lang w:val="es-ES_tradnl"/>
        </w:rPr>
        <w:t xml:space="preserve"> </w:t>
      </w:r>
      <w:r>
        <w:rPr>
          <w:rFonts w:cs="Arial"/>
          <w:b/>
          <w:snapToGrid w:val="0"/>
          <w:sz w:val="26"/>
          <w:szCs w:val="26"/>
          <w:lang w:val="es-ES_tradnl"/>
        </w:rPr>
        <w:t xml:space="preserve">  </w:t>
      </w:r>
      <w:r w:rsidRPr="00222041">
        <w:rPr>
          <w:rFonts w:cs="Arial"/>
          <w:b/>
          <w:snapToGrid w:val="0"/>
          <w:sz w:val="26"/>
          <w:szCs w:val="26"/>
          <w:lang w:val="es-ES_tradnl"/>
        </w:rPr>
        <w:t>DIPUTADA SECRETARIA</w:t>
      </w:r>
      <w:r w:rsidRPr="00F4338E">
        <w:rPr>
          <w:rFonts w:cs="Arial"/>
          <w:b/>
          <w:snapToGrid w:val="0"/>
          <w:sz w:val="26"/>
          <w:szCs w:val="26"/>
          <w:lang w:val="es-ES_tradnl"/>
        </w:rPr>
        <w:t xml:space="preserve"> </w:t>
      </w:r>
    </w:p>
    <w:p w:rsidR="00A408D9" w:rsidRPr="00F4338E" w:rsidRDefault="00A408D9" w:rsidP="00A408D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408D9" w:rsidRPr="00F4338E" w:rsidRDefault="00A408D9" w:rsidP="00A408D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408D9" w:rsidRPr="00F4338E" w:rsidRDefault="00A408D9" w:rsidP="00A408D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408D9" w:rsidRPr="00F4338E" w:rsidRDefault="00A408D9" w:rsidP="00A408D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408D9" w:rsidRPr="00F4338E" w:rsidRDefault="00A408D9" w:rsidP="00A408D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A408D9" w:rsidRPr="00F4338E" w:rsidRDefault="00A408D9" w:rsidP="00A408D9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JOSEFINA GARZA BARRERA</w:t>
      </w:r>
      <w:r w:rsidRPr="00F4338E">
        <w:rPr>
          <w:rFonts w:cs="Arial"/>
          <w:b/>
          <w:snapToGrid w:val="0"/>
          <w:sz w:val="25"/>
          <w:szCs w:val="25"/>
          <w:lang w:val="es-ES_tradnl"/>
        </w:rPr>
        <w:t xml:space="preserve">         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  </w:t>
      </w:r>
      <w:r w:rsidRPr="00C56144">
        <w:rPr>
          <w:rFonts w:cs="Arial"/>
          <w:b/>
          <w:snapToGrid w:val="0"/>
          <w:sz w:val="25"/>
          <w:szCs w:val="25"/>
          <w:lang w:val="es-ES_tradnl"/>
        </w:rPr>
        <w:t>VERÓNICA BOREQUE MARTÍNEZ GONZÁLEZ</w:t>
      </w:r>
    </w:p>
    <w:p w:rsidR="00A408D9" w:rsidRPr="00A54317" w:rsidRDefault="00A408D9" w:rsidP="00A408D9">
      <w:pPr>
        <w:spacing w:after="160" w:line="259" w:lineRule="auto"/>
        <w:jc w:val="left"/>
        <w:rPr>
          <w:rFonts w:eastAsiaTheme="minorHAnsi" w:cs="Arial"/>
          <w:sz w:val="26"/>
          <w:szCs w:val="26"/>
          <w:lang w:val="es-ES_tradnl" w:eastAsia="en-US"/>
        </w:rPr>
      </w:pPr>
    </w:p>
    <w:p w:rsidR="00316D69" w:rsidRPr="00A408D9" w:rsidRDefault="00316D69" w:rsidP="00316D69">
      <w:pPr>
        <w:rPr>
          <w:sz w:val="28"/>
          <w:szCs w:val="28"/>
          <w:lang w:val="es-ES_tradnl"/>
        </w:rPr>
      </w:pPr>
    </w:p>
    <w:p w:rsidR="00316D69" w:rsidRPr="00316D69" w:rsidRDefault="00316D69" w:rsidP="00316D69">
      <w:pPr>
        <w:rPr>
          <w:sz w:val="28"/>
          <w:szCs w:val="28"/>
        </w:rPr>
      </w:pPr>
    </w:p>
    <w:p w:rsidR="00316D69" w:rsidRPr="00316D69" w:rsidRDefault="00316D69" w:rsidP="00316D69">
      <w:pPr>
        <w:rPr>
          <w:sz w:val="28"/>
          <w:szCs w:val="28"/>
        </w:rPr>
      </w:pPr>
    </w:p>
    <w:p w:rsidR="00316D69" w:rsidRPr="00316D69" w:rsidRDefault="00316D69" w:rsidP="00316D69">
      <w:pPr>
        <w:rPr>
          <w:sz w:val="28"/>
          <w:szCs w:val="28"/>
        </w:rPr>
      </w:pPr>
    </w:p>
    <w:p w:rsidR="00316D69" w:rsidRPr="00316D69" w:rsidRDefault="00316D69" w:rsidP="00316D69">
      <w:pPr>
        <w:rPr>
          <w:sz w:val="28"/>
          <w:szCs w:val="28"/>
        </w:rPr>
      </w:pPr>
    </w:p>
    <w:p w:rsidR="00316D69" w:rsidRPr="00316D69" w:rsidRDefault="00316D69" w:rsidP="00316D69">
      <w:pPr>
        <w:rPr>
          <w:sz w:val="28"/>
          <w:szCs w:val="28"/>
        </w:rPr>
      </w:pPr>
    </w:p>
    <w:p w:rsidR="00316D69" w:rsidRPr="00316D69" w:rsidRDefault="00316D69" w:rsidP="00316D69">
      <w:pPr>
        <w:rPr>
          <w:sz w:val="28"/>
          <w:szCs w:val="28"/>
        </w:rPr>
      </w:pPr>
    </w:p>
    <w:p w:rsidR="00245157" w:rsidRPr="00316D69" w:rsidRDefault="00EF4499">
      <w:pPr>
        <w:rPr>
          <w:sz w:val="28"/>
          <w:szCs w:val="28"/>
        </w:rPr>
      </w:pPr>
    </w:p>
    <w:sectPr w:rsidR="00245157" w:rsidRPr="00316D69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99" w:rsidRDefault="00EF4499" w:rsidP="00053DF5">
      <w:r>
        <w:separator/>
      </w:r>
    </w:p>
  </w:endnote>
  <w:endnote w:type="continuationSeparator" w:id="0">
    <w:p w:rsidR="00EF4499" w:rsidRDefault="00EF4499" w:rsidP="0005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99" w:rsidRDefault="00EF4499" w:rsidP="00053DF5">
      <w:r>
        <w:separator/>
      </w:r>
    </w:p>
  </w:footnote>
  <w:footnote w:type="continuationSeparator" w:id="0">
    <w:p w:rsidR="00EF4499" w:rsidRDefault="00EF4499" w:rsidP="0005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053DF5" w:rsidRPr="00053DF5" w:rsidTr="001C6A73">
      <w:trPr>
        <w:jc w:val="center"/>
      </w:trPr>
      <w:tc>
        <w:tcPr>
          <w:tcW w:w="1541" w:type="dxa"/>
        </w:tcPr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  <w:r w:rsidRPr="00053DF5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E67C80D" wp14:editId="7E7281F8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</w:p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</w:p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</w:p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</w:p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</w:p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</w:p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</w:p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</w:p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</w:p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</w:p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053DF5" w:rsidRPr="00053DF5" w:rsidRDefault="00053DF5" w:rsidP="00053DF5">
          <w:pPr>
            <w:jc w:val="center"/>
            <w:rPr>
              <w:b/>
              <w:bCs/>
              <w:sz w:val="22"/>
            </w:rPr>
          </w:pPr>
        </w:p>
        <w:p w:rsidR="00053DF5" w:rsidRPr="00053DF5" w:rsidRDefault="00053DF5" w:rsidP="00053DF5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053DF5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053DF5" w:rsidRPr="00053DF5" w:rsidRDefault="00053DF5" w:rsidP="00053DF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053DF5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053DF5" w:rsidRPr="00053DF5" w:rsidRDefault="00053DF5" w:rsidP="00053DF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053DF5" w:rsidRPr="00053DF5" w:rsidRDefault="00053DF5" w:rsidP="00053DF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053DF5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  <w:r w:rsidRPr="00053DF5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9F112D7" wp14:editId="006C6C72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</w:p>
        <w:p w:rsidR="00053DF5" w:rsidRPr="00053DF5" w:rsidRDefault="00053DF5" w:rsidP="00053DF5">
          <w:pPr>
            <w:jc w:val="center"/>
            <w:rPr>
              <w:b/>
              <w:bCs/>
              <w:sz w:val="12"/>
            </w:rPr>
          </w:pPr>
        </w:p>
      </w:tc>
    </w:tr>
  </w:tbl>
  <w:p w:rsidR="00053DF5" w:rsidRDefault="00053D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69"/>
    <w:rsid w:val="00053DF5"/>
    <w:rsid w:val="000653EC"/>
    <w:rsid w:val="00316D69"/>
    <w:rsid w:val="004562E7"/>
    <w:rsid w:val="00686111"/>
    <w:rsid w:val="00A408D9"/>
    <w:rsid w:val="00EA3574"/>
    <w:rsid w:val="00EF4499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F87A0-D63C-495D-9F79-91EBE54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D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3DF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53D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DF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2020-08-18T16:23:00Z</dcterms:created>
  <dcterms:modified xsi:type="dcterms:W3CDTF">2020-08-18T16:23:00Z</dcterms:modified>
</cp:coreProperties>
</file>