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QUE EL CONGRESO DEL ESTADO INDEPENDIENTE, LIBRE Y SOBERANO DE COAHUILA DE ZARAGOZA;</w:t>
      </w: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 xml:space="preserve">DECRETA: </w:t>
      </w:r>
    </w:p>
    <w:p w:rsidR="00422050" w:rsidRPr="00422050" w:rsidRDefault="00422050" w:rsidP="00422050">
      <w:pPr>
        <w:widowControl w:val="0"/>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72</w:t>
      </w:r>
      <w:r w:rsidR="00B1341D">
        <w:rPr>
          <w:rFonts w:ascii="Arial" w:eastAsia="Times New Roman" w:hAnsi="Arial" w:cs="Arial"/>
          <w:b/>
          <w:snapToGrid w:val="0"/>
          <w:sz w:val="24"/>
          <w:szCs w:val="24"/>
          <w:lang w:val="es-ES_tradnl" w:eastAsia="es-ES"/>
        </w:rPr>
        <w:t>7</w:t>
      </w:r>
      <w:bookmarkStart w:id="0" w:name="_GoBack"/>
      <w:bookmarkEnd w:id="0"/>
      <w:r w:rsidRPr="00422050">
        <w:rPr>
          <w:rFonts w:ascii="Arial" w:eastAsia="Times New Roman" w:hAnsi="Arial" w:cs="Arial"/>
          <w:b/>
          <w:snapToGrid w:val="0"/>
          <w:sz w:val="24"/>
          <w:szCs w:val="24"/>
          <w:lang w:val="es-ES_tradnl" w:eastAsia="es-ES"/>
        </w:rPr>
        <w:t>.-</w:t>
      </w:r>
    </w:p>
    <w:p w:rsidR="00422050" w:rsidRPr="00422050" w:rsidRDefault="00422050" w:rsidP="00422050">
      <w:pPr>
        <w:widowControl w:val="0"/>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200" w:line="276" w:lineRule="auto"/>
        <w:jc w:val="both"/>
        <w:rPr>
          <w:rFonts w:ascii="Arial" w:eastAsia="Calibri" w:hAnsi="Arial" w:cs="Arial"/>
          <w:sz w:val="24"/>
          <w:szCs w:val="24"/>
        </w:rPr>
      </w:pPr>
      <w:r w:rsidRPr="00422050">
        <w:rPr>
          <w:rFonts w:ascii="Arial" w:eastAsia="Calibri" w:hAnsi="Arial" w:cs="Arial"/>
          <w:b/>
          <w:sz w:val="24"/>
          <w:szCs w:val="24"/>
        </w:rPr>
        <w:t>ÚNICO.</w:t>
      </w:r>
      <w:r>
        <w:rPr>
          <w:rFonts w:ascii="Arial" w:eastAsia="Calibri" w:hAnsi="Arial" w:cs="Arial"/>
          <w:b/>
          <w:sz w:val="24"/>
          <w:szCs w:val="24"/>
        </w:rPr>
        <w:t>-</w:t>
      </w:r>
      <w:r w:rsidRPr="00422050">
        <w:rPr>
          <w:rFonts w:ascii="Arial" w:eastAsia="Calibri" w:hAnsi="Arial" w:cs="Arial"/>
          <w:b/>
          <w:sz w:val="24"/>
          <w:szCs w:val="24"/>
        </w:rPr>
        <w:t xml:space="preserve"> </w:t>
      </w:r>
      <w:r w:rsidRPr="00422050">
        <w:rPr>
          <w:rFonts w:ascii="Arial" w:eastAsia="Calibri" w:hAnsi="Arial" w:cs="Arial"/>
          <w:sz w:val="24"/>
          <w:szCs w:val="24"/>
        </w:rPr>
        <w:t xml:space="preserve">Se </w:t>
      </w:r>
      <w:r w:rsidRPr="00422050">
        <w:rPr>
          <w:rFonts w:ascii="Arial" w:eastAsia="Calibri" w:hAnsi="Arial" w:cs="Arial"/>
          <w:b/>
          <w:sz w:val="24"/>
          <w:szCs w:val="24"/>
        </w:rPr>
        <w:t>reforma</w:t>
      </w:r>
      <w:r w:rsidRPr="00422050">
        <w:rPr>
          <w:rFonts w:ascii="Arial" w:eastAsia="Calibri" w:hAnsi="Arial" w:cs="Arial"/>
          <w:sz w:val="24"/>
          <w:szCs w:val="24"/>
        </w:rPr>
        <w:t xml:space="preserve"> la fracción VIII del artículo 5, la fracción VII del artículo 6, el primer párrafo y las fracciones I, II, III y IV del artículo 41; se </w:t>
      </w:r>
      <w:r w:rsidRPr="00422050">
        <w:rPr>
          <w:rFonts w:ascii="Arial" w:eastAsia="Calibri" w:hAnsi="Arial" w:cs="Arial"/>
          <w:b/>
          <w:sz w:val="24"/>
          <w:szCs w:val="24"/>
        </w:rPr>
        <w:t>adiciona</w:t>
      </w:r>
      <w:r w:rsidRPr="00422050">
        <w:rPr>
          <w:rFonts w:ascii="Arial" w:eastAsia="Calibri" w:hAnsi="Arial" w:cs="Arial"/>
          <w:sz w:val="24"/>
          <w:szCs w:val="24"/>
        </w:rPr>
        <w:t xml:space="preserve"> la fracción V al artículo 41, los artículos 41 bis y 41 bis 1, de la </w:t>
      </w:r>
      <w:r w:rsidRPr="00422050">
        <w:rPr>
          <w:rFonts w:ascii="Arial" w:eastAsia="Calibri" w:hAnsi="Arial" w:cs="Arial"/>
          <w:b/>
          <w:sz w:val="24"/>
          <w:szCs w:val="24"/>
        </w:rPr>
        <w:t>Ley de Turismo del Estado de Coahuila de Zaragoza</w:t>
      </w:r>
      <w:r w:rsidRPr="00422050">
        <w:rPr>
          <w:rFonts w:ascii="Arial" w:eastAsia="Calibri" w:hAnsi="Arial" w:cs="Arial"/>
          <w:sz w:val="24"/>
          <w:szCs w:val="24"/>
        </w:rPr>
        <w:t>, para quedar como sigue:</w:t>
      </w:r>
    </w:p>
    <w:p w:rsidR="00422050" w:rsidRDefault="00422050" w:rsidP="00422050">
      <w:pPr>
        <w:spacing w:after="200" w:line="276" w:lineRule="auto"/>
        <w:ind w:right="473"/>
        <w:jc w:val="both"/>
        <w:rPr>
          <w:rFonts w:ascii="Arial" w:eastAsia="Calibri" w:hAnsi="Arial" w:cs="Arial"/>
          <w:b/>
          <w:sz w:val="24"/>
          <w:szCs w:val="24"/>
        </w:rPr>
      </w:pPr>
    </w:p>
    <w:p w:rsidR="00422050" w:rsidRPr="00422050" w:rsidRDefault="00422050" w:rsidP="00422050">
      <w:pPr>
        <w:spacing w:after="200" w:line="276" w:lineRule="auto"/>
        <w:ind w:right="473"/>
        <w:jc w:val="both"/>
        <w:rPr>
          <w:rFonts w:ascii="Arial" w:eastAsia="Calibri" w:hAnsi="Arial" w:cs="Arial"/>
          <w:b/>
          <w:sz w:val="24"/>
          <w:szCs w:val="24"/>
        </w:rPr>
      </w:pPr>
      <w:r w:rsidRPr="00422050">
        <w:rPr>
          <w:rFonts w:ascii="Arial" w:eastAsia="Calibri" w:hAnsi="Arial" w:cs="Arial"/>
          <w:b/>
          <w:sz w:val="24"/>
          <w:szCs w:val="24"/>
        </w:rPr>
        <w:t>Artículo 5. …:</w:t>
      </w: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I</w:t>
      </w:r>
      <w:r w:rsidRPr="00422050">
        <w:rPr>
          <w:rFonts w:ascii="Arial" w:eastAsia="Calibri" w:hAnsi="Arial" w:cs="Arial"/>
          <w:sz w:val="24"/>
          <w:szCs w:val="24"/>
        </w:rPr>
        <w:t xml:space="preserve">. a la </w:t>
      </w:r>
      <w:r w:rsidRPr="00422050">
        <w:rPr>
          <w:rFonts w:ascii="Arial" w:eastAsia="Calibri" w:hAnsi="Arial" w:cs="Arial"/>
          <w:b/>
          <w:sz w:val="24"/>
          <w:szCs w:val="24"/>
        </w:rPr>
        <w:t>VII.</w:t>
      </w:r>
      <w:r w:rsidRPr="00422050">
        <w:rPr>
          <w:rFonts w:ascii="Arial" w:eastAsia="Calibri" w:hAnsi="Arial" w:cs="Arial"/>
          <w:sz w:val="24"/>
          <w:szCs w:val="24"/>
        </w:rPr>
        <w:t xml:space="preserve"> …</w:t>
      </w:r>
    </w:p>
    <w:p w:rsidR="00422050" w:rsidRPr="00422050" w:rsidRDefault="00422050" w:rsidP="00422050">
      <w:pPr>
        <w:spacing w:after="200" w:line="276" w:lineRule="auto"/>
        <w:ind w:right="473"/>
        <w:jc w:val="both"/>
        <w:rPr>
          <w:rFonts w:ascii="Arial" w:eastAsia="Calibri" w:hAnsi="Arial" w:cs="Arial"/>
          <w:b/>
          <w:sz w:val="24"/>
          <w:szCs w:val="24"/>
        </w:rPr>
      </w:pPr>
      <w:r w:rsidRPr="00422050">
        <w:rPr>
          <w:rFonts w:ascii="Arial" w:eastAsia="Calibri" w:hAnsi="Arial" w:cs="Arial"/>
          <w:b/>
          <w:sz w:val="24"/>
          <w:szCs w:val="24"/>
        </w:rPr>
        <w:t xml:space="preserve">VIII. </w:t>
      </w:r>
      <w:r w:rsidRPr="00422050">
        <w:rPr>
          <w:rFonts w:ascii="Arial" w:eastAsia="Calibri" w:hAnsi="Arial" w:cs="Arial"/>
          <w:color w:val="000000"/>
          <w:sz w:val="24"/>
          <w:szCs w:val="24"/>
        </w:rPr>
        <w:t xml:space="preserve">Servicio de hospedaje mediante modalidades no tradicionales. Aquellos por los que se conceda, ya sea de forma parcial o total, el uso de inmuebles amueblados destinados a la casa habitación, siempre que tales servicios se presten de forma habitual por más de </w:t>
      </w:r>
      <w:r w:rsidRPr="00422050">
        <w:rPr>
          <w:rFonts w:ascii="Arial" w:eastAsia="Calibri" w:hAnsi="Arial" w:cs="Arial"/>
          <w:sz w:val="24"/>
          <w:szCs w:val="24"/>
        </w:rPr>
        <w:t>seis</w:t>
      </w:r>
      <w:r w:rsidRPr="00422050">
        <w:rPr>
          <w:rFonts w:ascii="Arial" w:eastAsia="Calibri" w:hAnsi="Arial" w:cs="Arial"/>
          <w:color w:val="000000"/>
          <w:sz w:val="24"/>
          <w:szCs w:val="24"/>
        </w:rPr>
        <w:t xml:space="preserve"> meses al año a una o más persona</w:t>
      </w:r>
      <w:r w:rsidRPr="00422050">
        <w:rPr>
          <w:rFonts w:ascii="Arial" w:eastAsia="Calibri" w:hAnsi="Arial" w:cs="Arial"/>
          <w:sz w:val="24"/>
          <w:szCs w:val="24"/>
        </w:rPr>
        <w:t>s. Este servicio puede ser provisto mediante el uso de plataformas digitales.</w:t>
      </w: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IX</w:t>
      </w:r>
      <w:r w:rsidRPr="00422050">
        <w:rPr>
          <w:rFonts w:ascii="Arial" w:eastAsia="Calibri" w:hAnsi="Arial" w:cs="Arial"/>
          <w:sz w:val="24"/>
          <w:szCs w:val="24"/>
        </w:rPr>
        <w:t xml:space="preserve">. al </w:t>
      </w:r>
      <w:r w:rsidRPr="00422050">
        <w:rPr>
          <w:rFonts w:ascii="Arial" w:eastAsia="Calibri" w:hAnsi="Arial" w:cs="Arial"/>
          <w:b/>
          <w:sz w:val="24"/>
          <w:szCs w:val="24"/>
        </w:rPr>
        <w:t>XXVIII. …</w:t>
      </w:r>
    </w:p>
    <w:p w:rsidR="00422050" w:rsidRDefault="00422050" w:rsidP="00422050">
      <w:pPr>
        <w:spacing w:after="200" w:line="276" w:lineRule="auto"/>
        <w:ind w:right="473"/>
        <w:jc w:val="both"/>
        <w:rPr>
          <w:rFonts w:ascii="Arial" w:eastAsia="Calibri" w:hAnsi="Arial" w:cs="Arial"/>
          <w:b/>
          <w:sz w:val="24"/>
          <w:szCs w:val="24"/>
        </w:rPr>
      </w:pP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Artículo 6.</w:t>
      </w:r>
      <w:r w:rsidRPr="00422050">
        <w:rPr>
          <w:rFonts w:ascii="Arial" w:eastAsia="Calibri" w:hAnsi="Arial" w:cs="Arial"/>
          <w:sz w:val="24"/>
          <w:szCs w:val="24"/>
        </w:rPr>
        <w:t xml:space="preserve"> …:</w:t>
      </w:r>
    </w:p>
    <w:p w:rsidR="00422050" w:rsidRPr="00422050" w:rsidRDefault="00422050" w:rsidP="00422050">
      <w:pPr>
        <w:spacing w:after="200" w:line="276" w:lineRule="auto"/>
        <w:ind w:right="473"/>
        <w:jc w:val="both"/>
        <w:rPr>
          <w:rFonts w:ascii="Arial" w:eastAsia="Calibri" w:hAnsi="Arial" w:cs="Arial"/>
          <w:b/>
          <w:sz w:val="24"/>
          <w:szCs w:val="24"/>
        </w:rPr>
      </w:pPr>
      <w:r w:rsidRPr="00422050">
        <w:rPr>
          <w:rFonts w:ascii="Arial" w:eastAsia="Calibri" w:hAnsi="Arial" w:cs="Arial"/>
          <w:b/>
          <w:sz w:val="24"/>
          <w:szCs w:val="24"/>
        </w:rPr>
        <w:t>I</w:t>
      </w:r>
      <w:r w:rsidRPr="00422050">
        <w:rPr>
          <w:rFonts w:ascii="Arial" w:eastAsia="Calibri" w:hAnsi="Arial" w:cs="Arial"/>
          <w:sz w:val="24"/>
          <w:szCs w:val="24"/>
        </w:rPr>
        <w:t xml:space="preserve">. a la </w:t>
      </w:r>
      <w:r w:rsidRPr="00422050">
        <w:rPr>
          <w:rFonts w:ascii="Arial" w:eastAsia="Calibri" w:hAnsi="Arial" w:cs="Arial"/>
          <w:b/>
          <w:sz w:val="24"/>
          <w:szCs w:val="24"/>
        </w:rPr>
        <w:t>VI. …</w:t>
      </w: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VII.</w:t>
      </w:r>
      <w:r w:rsidRPr="00422050">
        <w:rPr>
          <w:rFonts w:ascii="Arial" w:eastAsia="Calibri" w:hAnsi="Arial" w:cs="Arial"/>
          <w:sz w:val="24"/>
          <w:szCs w:val="24"/>
        </w:rPr>
        <w:t xml:space="preserve"> </w:t>
      </w:r>
      <w:r w:rsidRPr="00422050">
        <w:rPr>
          <w:rFonts w:ascii="Arial" w:eastAsia="Arial" w:hAnsi="Arial" w:cs="Arial"/>
          <w:color w:val="000000"/>
          <w:sz w:val="24"/>
          <w:szCs w:val="24"/>
        </w:rPr>
        <w:t xml:space="preserve">Llevar el control y seguimiento del padrón de aquellas personas físicas o morales que proporcionen el servicio de hospedaje </w:t>
      </w:r>
      <w:r w:rsidRPr="00422050">
        <w:rPr>
          <w:rFonts w:ascii="Arial" w:eastAsia="Arial" w:hAnsi="Arial" w:cs="Arial"/>
          <w:b/>
          <w:color w:val="000000"/>
          <w:sz w:val="24"/>
          <w:szCs w:val="24"/>
        </w:rPr>
        <w:t>mediante modalidades no tradicionales;</w:t>
      </w:r>
    </w:p>
    <w:p w:rsidR="00422050" w:rsidRDefault="00422050" w:rsidP="00422050">
      <w:pPr>
        <w:spacing w:after="200" w:line="276" w:lineRule="auto"/>
        <w:ind w:right="473"/>
        <w:jc w:val="both"/>
        <w:rPr>
          <w:rFonts w:ascii="Arial" w:eastAsia="Calibri" w:hAnsi="Arial" w:cs="Arial"/>
          <w:b/>
          <w:sz w:val="24"/>
          <w:szCs w:val="24"/>
        </w:rPr>
      </w:pP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lastRenderedPageBreak/>
        <w:t>VIII</w:t>
      </w:r>
      <w:r w:rsidRPr="00422050">
        <w:rPr>
          <w:rFonts w:ascii="Arial" w:eastAsia="Calibri" w:hAnsi="Arial" w:cs="Arial"/>
          <w:sz w:val="24"/>
          <w:szCs w:val="24"/>
        </w:rPr>
        <w:t xml:space="preserve">. a la </w:t>
      </w:r>
      <w:r w:rsidRPr="00422050">
        <w:rPr>
          <w:rFonts w:ascii="Arial" w:eastAsia="Calibri" w:hAnsi="Arial" w:cs="Arial"/>
          <w:b/>
          <w:sz w:val="24"/>
          <w:szCs w:val="24"/>
        </w:rPr>
        <w:t>XXVII. …</w:t>
      </w:r>
    </w:p>
    <w:p w:rsidR="00422050" w:rsidRDefault="00422050" w:rsidP="00422050">
      <w:pPr>
        <w:spacing w:after="200" w:line="276" w:lineRule="auto"/>
        <w:ind w:right="473"/>
        <w:jc w:val="both"/>
        <w:rPr>
          <w:rFonts w:ascii="Arial" w:eastAsia="Calibri" w:hAnsi="Arial" w:cs="Arial"/>
          <w:b/>
          <w:sz w:val="24"/>
          <w:szCs w:val="24"/>
        </w:rPr>
      </w:pP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Artículo 41.</w:t>
      </w:r>
      <w:r w:rsidRPr="00422050">
        <w:rPr>
          <w:rFonts w:ascii="Arial" w:eastAsia="Calibri" w:hAnsi="Arial" w:cs="Arial"/>
          <w:sz w:val="24"/>
          <w:szCs w:val="24"/>
        </w:rPr>
        <w:t xml:space="preserve"> Tratándose de los prestadores de servicio de hospedaje </w:t>
      </w:r>
      <w:r w:rsidRPr="00422050">
        <w:rPr>
          <w:rFonts w:ascii="Arial" w:eastAsia="Calibri" w:hAnsi="Arial" w:cs="Arial"/>
          <w:color w:val="000000"/>
          <w:sz w:val="24"/>
          <w:szCs w:val="24"/>
        </w:rPr>
        <w:t xml:space="preserve">mediante </w:t>
      </w:r>
      <w:r w:rsidRPr="00422050">
        <w:rPr>
          <w:rFonts w:ascii="Arial" w:eastAsia="Calibri" w:hAnsi="Arial" w:cs="Arial"/>
          <w:b/>
          <w:color w:val="000000"/>
          <w:sz w:val="24"/>
          <w:szCs w:val="24"/>
        </w:rPr>
        <w:t>modalidades no tradicionales</w:t>
      </w:r>
      <w:r w:rsidRPr="00422050">
        <w:rPr>
          <w:rFonts w:ascii="Arial" w:eastAsia="Calibri" w:hAnsi="Arial" w:cs="Arial"/>
          <w:b/>
          <w:sz w:val="24"/>
          <w:szCs w:val="24"/>
        </w:rPr>
        <w:t>, deberán cumplir los siguientes requisitos</w:t>
      </w:r>
      <w:r w:rsidRPr="00422050">
        <w:rPr>
          <w:rFonts w:ascii="Arial" w:eastAsia="Calibri" w:hAnsi="Arial" w:cs="Arial"/>
          <w:sz w:val="24"/>
          <w:szCs w:val="24"/>
        </w:rPr>
        <w:t>:</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Calibri" w:hAnsi="Arial" w:cs="Arial"/>
          <w:b/>
          <w:sz w:val="24"/>
          <w:szCs w:val="24"/>
        </w:rPr>
        <w:t xml:space="preserve">I. </w:t>
      </w:r>
      <w:r w:rsidRPr="00422050">
        <w:rPr>
          <w:rFonts w:ascii="Arial" w:eastAsia="Arial" w:hAnsi="Arial" w:cs="Arial"/>
          <w:color w:val="000000"/>
          <w:sz w:val="24"/>
          <w:szCs w:val="24"/>
        </w:rPr>
        <w:t>El inmueble o casa habitación deberá contar con los certificados, permisos, licencias o autorizaciones tramitados ante el municipio correspondiente, para satisfacer así, los requisitos de seguridad, accesibilidad, higiene, comodidad y buen aspecto, exigibles en la legislación aplicable;</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Arial" w:hAnsi="Arial" w:cs="Arial"/>
          <w:b/>
          <w:color w:val="000000"/>
          <w:sz w:val="24"/>
          <w:szCs w:val="24"/>
        </w:rPr>
        <w:t xml:space="preserve">II. </w:t>
      </w:r>
      <w:r w:rsidRPr="00422050">
        <w:rPr>
          <w:rFonts w:ascii="Arial" w:eastAsia="Arial" w:hAnsi="Arial" w:cs="Arial"/>
          <w:color w:val="000000"/>
          <w:sz w:val="24"/>
          <w:szCs w:val="24"/>
        </w:rPr>
        <w:t>La publicidad o información divulgada a través de cualquier medio para la contratación de este tipo de servicios de hospedaje deberá ser extensa y sin dolo o error, para que los usuarios conozcan si es un inmueble o casa habitación dedicada exclusivamente a dicho servicio, así como la calidad y reconocimiento que este tiene respecto a su función.</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Arial" w:hAnsi="Arial" w:cs="Arial"/>
          <w:color w:val="000000"/>
          <w:sz w:val="24"/>
          <w:szCs w:val="24"/>
        </w:rPr>
        <w:t xml:space="preserve">Informarán a sus usuarios de manera impresa o electrónica la descripción de los servicios de hospedaje contratados, los horarios de entrada y salida, número de noches a pernoctar, tarifa, y en su caso, depósito de dinero en garantía exigible al usuario para la prestación del servicio, así como todas las demás condiciones particulares aplicables. </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Arial" w:hAnsi="Arial" w:cs="Arial"/>
          <w:color w:val="000000"/>
          <w:sz w:val="24"/>
          <w:szCs w:val="24"/>
        </w:rPr>
        <w:t>En caso de que el inmueble no cuente con medidas o instalaciones adecuadas para personas con algún tipo de discapacidad, deberá señalarse expresamente al usuario.</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Arial" w:hAnsi="Arial" w:cs="Arial"/>
          <w:color w:val="000000"/>
          <w:sz w:val="24"/>
          <w:szCs w:val="24"/>
        </w:rPr>
        <w:t>La información proporcionada al usuario hará las veces de contrato una vez aceptada por el huésped, así como los términos en particular acordados por escrito, se redactará en idioma español y señalará la tarifa total aplicable, así como las condiciones y políticas de cancelación.</w:t>
      </w:r>
    </w:p>
    <w:p w:rsid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Arial" w:hAnsi="Arial" w:cs="Arial"/>
          <w:color w:val="000000"/>
          <w:sz w:val="24"/>
          <w:szCs w:val="24"/>
        </w:rPr>
        <w:t>En caso de que estos servicios se anuncien a través de una plataforma digital operada por un tercero, la misma deberá implementar mecanismos a través de los cuales los usuarios puedan presentar quejas, así como crear mecanismos alternativos para la solución de conflictos. La plataforma digital por la que se anuncien este tipo de servicios de hospedaje deberá expresar la dirección, teléfono y/o correo electrónico, del tercero operador de la plataforma electrónica ante quien se puedan presentar quejas, así como la forma para recibirlas;</w:t>
      </w:r>
    </w:p>
    <w:p w:rsidR="00422050" w:rsidRDefault="00422050" w:rsidP="00422050">
      <w:pPr>
        <w:spacing w:after="200" w:line="276" w:lineRule="auto"/>
        <w:ind w:right="473"/>
        <w:jc w:val="both"/>
        <w:rPr>
          <w:rFonts w:ascii="Arial" w:eastAsia="Arial" w:hAnsi="Arial" w:cs="Arial"/>
          <w:color w:val="000000"/>
          <w:sz w:val="24"/>
          <w:szCs w:val="24"/>
        </w:rPr>
      </w:pPr>
    </w:p>
    <w:p w:rsidR="00422050" w:rsidRPr="00422050" w:rsidRDefault="00422050" w:rsidP="00422050">
      <w:pPr>
        <w:spacing w:after="200" w:line="276" w:lineRule="auto"/>
        <w:ind w:right="473"/>
        <w:jc w:val="both"/>
        <w:rPr>
          <w:rFonts w:ascii="Arial" w:eastAsia="Arial" w:hAnsi="Arial" w:cs="Arial"/>
          <w:color w:val="000000"/>
          <w:sz w:val="24"/>
          <w:szCs w:val="24"/>
        </w:rPr>
      </w:pP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Arial" w:hAnsi="Arial" w:cs="Arial"/>
          <w:b/>
          <w:color w:val="000000"/>
          <w:sz w:val="24"/>
          <w:szCs w:val="24"/>
        </w:rPr>
        <w:lastRenderedPageBreak/>
        <w:t xml:space="preserve">III. </w:t>
      </w:r>
      <w:r w:rsidRPr="00422050">
        <w:rPr>
          <w:rFonts w:ascii="Arial" w:eastAsia="Calibri" w:hAnsi="Arial" w:cs="Arial"/>
          <w:sz w:val="24"/>
          <w:szCs w:val="24"/>
        </w:rPr>
        <w:t xml:space="preserve">Colaborar con las autoridades que, con motivo de la solicitud </w:t>
      </w:r>
      <w:r w:rsidRPr="00422050">
        <w:rPr>
          <w:rFonts w:ascii="Arial" w:eastAsia="Calibri" w:hAnsi="Arial" w:cs="Arial"/>
          <w:b/>
          <w:sz w:val="24"/>
          <w:szCs w:val="24"/>
        </w:rPr>
        <w:t>de los tramites marcados en la fracción I del presente artículo</w:t>
      </w:r>
      <w:r w:rsidRPr="00422050">
        <w:rPr>
          <w:rFonts w:ascii="Arial" w:eastAsia="Calibri" w:hAnsi="Arial" w:cs="Arial"/>
          <w:sz w:val="24"/>
          <w:szCs w:val="24"/>
        </w:rPr>
        <w:t>, tengan que realizar visitas de inspección a fin de obtener la información de seguridad e higiene necesarias para emitir el dictamen de factibilidad y viabilidad de funcionamiento, así como cuando las autoridades competentes los requieran;</w:t>
      </w: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 xml:space="preserve">IV. </w:t>
      </w:r>
      <w:r w:rsidRPr="00422050">
        <w:rPr>
          <w:rFonts w:ascii="Arial" w:eastAsia="Calibri" w:hAnsi="Arial" w:cs="Arial"/>
          <w:sz w:val="24"/>
          <w:szCs w:val="24"/>
        </w:rPr>
        <w:t>Cumplir con las obligaciones de los prestadores de servicios turísticos previstas en el artículo 39 de esta ley, y;</w:t>
      </w:r>
    </w:p>
    <w:p w:rsidR="00422050" w:rsidRPr="00422050" w:rsidRDefault="00422050" w:rsidP="00422050">
      <w:pPr>
        <w:spacing w:after="200" w:line="276" w:lineRule="auto"/>
        <w:ind w:right="473"/>
        <w:jc w:val="both"/>
        <w:rPr>
          <w:rFonts w:ascii="Arial" w:eastAsia="Calibri" w:hAnsi="Arial" w:cs="Arial"/>
          <w:sz w:val="24"/>
          <w:szCs w:val="24"/>
        </w:rPr>
      </w:pPr>
      <w:r w:rsidRPr="00422050">
        <w:rPr>
          <w:rFonts w:ascii="Arial" w:eastAsia="Calibri" w:hAnsi="Arial" w:cs="Arial"/>
          <w:b/>
          <w:sz w:val="24"/>
          <w:szCs w:val="24"/>
        </w:rPr>
        <w:t xml:space="preserve">V. </w:t>
      </w:r>
      <w:r w:rsidRPr="00422050">
        <w:rPr>
          <w:rFonts w:ascii="Arial" w:eastAsia="Calibri" w:hAnsi="Arial" w:cs="Arial"/>
          <w:sz w:val="24"/>
          <w:szCs w:val="24"/>
        </w:rPr>
        <w:t>Cumplir con las obligaciones fiscales que establecen las leyes correspondientes a la materia, así como con las normas de seguridad, protección civil e higiene que se marcan dentro de las respectivas leyes que norman la materia.</w:t>
      </w:r>
    </w:p>
    <w:p w:rsidR="00422050" w:rsidRDefault="00422050" w:rsidP="00422050">
      <w:pPr>
        <w:spacing w:after="200" w:line="276" w:lineRule="auto"/>
        <w:ind w:right="473"/>
        <w:jc w:val="both"/>
        <w:rPr>
          <w:rFonts w:ascii="Arial" w:eastAsia="Calibri" w:hAnsi="Arial" w:cs="Arial"/>
          <w:b/>
          <w:sz w:val="24"/>
          <w:szCs w:val="24"/>
        </w:rPr>
      </w:pPr>
    </w:p>
    <w:p w:rsidR="00422050" w:rsidRPr="00422050" w:rsidRDefault="00422050" w:rsidP="00422050">
      <w:pPr>
        <w:spacing w:after="200" w:line="276" w:lineRule="auto"/>
        <w:ind w:right="473"/>
        <w:jc w:val="both"/>
        <w:rPr>
          <w:rFonts w:ascii="Arial" w:eastAsia="Calibri" w:hAnsi="Arial" w:cs="Arial"/>
          <w:color w:val="000000"/>
          <w:sz w:val="24"/>
          <w:szCs w:val="24"/>
        </w:rPr>
      </w:pPr>
      <w:r w:rsidRPr="00422050">
        <w:rPr>
          <w:rFonts w:ascii="Arial" w:eastAsia="Calibri" w:hAnsi="Arial" w:cs="Arial"/>
          <w:b/>
          <w:sz w:val="24"/>
          <w:szCs w:val="24"/>
        </w:rPr>
        <w:t xml:space="preserve">Artículo 41 bis. </w:t>
      </w:r>
      <w:r w:rsidRPr="00422050">
        <w:rPr>
          <w:rFonts w:ascii="Arial" w:eastAsia="Calibri" w:hAnsi="Arial" w:cs="Arial"/>
          <w:color w:val="000000"/>
          <w:sz w:val="24"/>
          <w:szCs w:val="24"/>
        </w:rPr>
        <w:t>Los prestadores de servicios a los que se refiere</w:t>
      </w:r>
      <w:r w:rsidRPr="00422050">
        <w:rPr>
          <w:rFonts w:ascii="Arial" w:eastAsia="Calibri" w:hAnsi="Arial" w:cs="Arial"/>
          <w:color w:val="FF0000"/>
          <w:sz w:val="24"/>
          <w:szCs w:val="24"/>
        </w:rPr>
        <w:t xml:space="preserve"> </w:t>
      </w:r>
      <w:r w:rsidRPr="00422050">
        <w:rPr>
          <w:rFonts w:ascii="Arial" w:eastAsia="Calibri" w:hAnsi="Arial" w:cs="Arial"/>
          <w:sz w:val="24"/>
          <w:szCs w:val="24"/>
        </w:rPr>
        <w:t xml:space="preserve">el artículo anterior </w:t>
      </w:r>
      <w:r w:rsidRPr="00422050">
        <w:rPr>
          <w:rFonts w:ascii="Arial" w:eastAsia="Calibri" w:hAnsi="Arial" w:cs="Arial"/>
          <w:color w:val="000000"/>
          <w:sz w:val="24"/>
          <w:szCs w:val="24"/>
        </w:rPr>
        <w:t>de esta Ley quedarán obligados a inscribirse en el Registro de Turismo del Estado de Coahuila, excepto cuando el prestador del servicio de hospedaje sea solo un tercero operador del servicio o cuando encuadren en lo dispuesto por el artículo 41 bis 1.</w:t>
      </w:r>
    </w:p>
    <w:p w:rsidR="00422050" w:rsidRPr="00422050" w:rsidRDefault="00422050" w:rsidP="00422050">
      <w:pPr>
        <w:spacing w:after="200" w:line="276" w:lineRule="auto"/>
        <w:ind w:right="473"/>
        <w:jc w:val="both"/>
        <w:rPr>
          <w:rFonts w:ascii="Arial" w:eastAsia="Calibri" w:hAnsi="Arial" w:cs="Arial"/>
          <w:color w:val="000000"/>
          <w:sz w:val="24"/>
          <w:szCs w:val="24"/>
        </w:rPr>
      </w:pPr>
      <w:r w:rsidRPr="00422050">
        <w:rPr>
          <w:rFonts w:ascii="Arial" w:eastAsia="Calibri" w:hAnsi="Arial" w:cs="Arial"/>
          <w:color w:val="000000"/>
          <w:sz w:val="24"/>
          <w:szCs w:val="24"/>
        </w:rPr>
        <w:t>En el Reglamento de esta Ley se establecerá un mecanismo simplificado y disponible en línea para cumplir esta obligación.</w:t>
      </w:r>
    </w:p>
    <w:p w:rsidR="00422050" w:rsidRDefault="00422050" w:rsidP="00422050">
      <w:pPr>
        <w:spacing w:after="200" w:line="276" w:lineRule="auto"/>
        <w:ind w:right="473"/>
        <w:jc w:val="both"/>
        <w:rPr>
          <w:rFonts w:ascii="Arial" w:eastAsia="Calibri" w:hAnsi="Arial" w:cs="Arial"/>
          <w:b/>
          <w:color w:val="000000"/>
          <w:sz w:val="24"/>
          <w:szCs w:val="24"/>
        </w:rPr>
      </w:pP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Calibri" w:hAnsi="Arial" w:cs="Arial"/>
          <w:b/>
          <w:color w:val="000000"/>
          <w:sz w:val="24"/>
          <w:szCs w:val="24"/>
        </w:rPr>
        <w:t xml:space="preserve">Artículo 41 bis 1. </w:t>
      </w:r>
      <w:r w:rsidRPr="00422050">
        <w:rPr>
          <w:rFonts w:ascii="Arial" w:eastAsia="Arial" w:hAnsi="Arial" w:cs="Arial"/>
          <w:color w:val="000000"/>
          <w:sz w:val="24"/>
          <w:szCs w:val="24"/>
        </w:rPr>
        <w:t>No se considerará prestación de servicios de hospedaje mediante modalidades no tradicionales, aquellos que:</w:t>
      </w:r>
    </w:p>
    <w:p w:rsidR="00422050" w:rsidRP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Calibri" w:hAnsi="Arial" w:cs="Arial"/>
          <w:b/>
          <w:color w:val="000000"/>
          <w:sz w:val="24"/>
          <w:szCs w:val="24"/>
        </w:rPr>
        <w:t xml:space="preserve">I. </w:t>
      </w:r>
      <w:r w:rsidRPr="00422050">
        <w:rPr>
          <w:rFonts w:ascii="Arial" w:eastAsia="Arial" w:hAnsi="Arial" w:cs="Arial"/>
          <w:color w:val="000000"/>
          <w:sz w:val="24"/>
          <w:szCs w:val="24"/>
        </w:rPr>
        <w:t>Se presten en los mismos espacios amueblados y habitados por quien ofrece el servicio de hospedaje, otorgando para ello, temporal y parcialmente, el uso de éste; y</w:t>
      </w:r>
    </w:p>
    <w:p w:rsidR="00422050" w:rsidRDefault="00422050" w:rsidP="00422050">
      <w:pPr>
        <w:spacing w:after="200" w:line="276" w:lineRule="auto"/>
        <w:ind w:right="473"/>
        <w:jc w:val="both"/>
        <w:rPr>
          <w:rFonts w:ascii="Arial" w:eastAsia="Arial" w:hAnsi="Arial" w:cs="Arial"/>
          <w:color w:val="000000"/>
          <w:sz w:val="24"/>
          <w:szCs w:val="24"/>
        </w:rPr>
      </w:pPr>
      <w:r w:rsidRPr="00422050">
        <w:rPr>
          <w:rFonts w:ascii="Arial" w:eastAsia="Calibri" w:hAnsi="Arial" w:cs="Arial"/>
          <w:b/>
          <w:color w:val="000000"/>
          <w:sz w:val="24"/>
          <w:szCs w:val="24"/>
        </w:rPr>
        <w:t xml:space="preserve">II. </w:t>
      </w:r>
      <w:r w:rsidRPr="00422050">
        <w:rPr>
          <w:rFonts w:ascii="Arial" w:eastAsia="Arial" w:hAnsi="Arial" w:cs="Arial"/>
          <w:color w:val="000000"/>
          <w:sz w:val="24"/>
          <w:szCs w:val="24"/>
        </w:rPr>
        <w:t>Se presten por periodos equivalentes o mayores a lo que constituya un arrendamiento según la legislación civil aplicable.</w:t>
      </w:r>
    </w:p>
    <w:p w:rsidR="00422050" w:rsidRPr="00422050" w:rsidRDefault="00422050" w:rsidP="00422050">
      <w:pPr>
        <w:spacing w:after="200" w:line="276" w:lineRule="auto"/>
        <w:ind w:right="473"/>
        <w:jc w:val="both"/>
        <w:rPr>
          <w:rFonts w:ascii="Arial" w:eastAsia="Arial" w:hAnsi="Arial" w:cs="Arial"/>
          <w:color w:val="000000"/>
          <w:sz w:val="24"/>
          <w:szCs w:val="24"/>
        </w:rPr>
      </w:pPr>
    </w:p>
    <w:p w:rsidR="00422050" w:rsidRDefault="00422050" w:rsidP="00422050">
      <w:pPr>
        <w:spacing w:after="200" w:line="276" w:lineRule="auto"/>
        <w:jc w:val="center"/>
        <w:rPr>
          <w:rFonts w:ascii="Arial" w:eastAsia="Calibri" w:hAnsi="Arial" w:cs="Arial"/>
          <w:b/>
          <w:bCs/>
          <w:color w:val="000000"/>
          <w:sz w:val="24"/>
          <w:szCs w:val="24"/>
          <w:lang w:val="en-US"/>
        </w:rPr>
      </w:pPr>
      <w:r w:rsidRPr="00422050">
        <w:rPr>
          <w:rFonts w:ascii="Arial" w:eastAsia="Calibri" w:hAnsi="Arial" w:cs="Arial"/>
          <w:b/>
          <w:bCs/>
          <w:color w:val="000000"/>
          <w:sz w:val="24"/>
          <w:szCs w:val="24"/>
          <w:lang w:val="en-US"/>
        </w:rPr>
        <w:t xml:space="preserve">T R A N S I T O R I O </w:t>
      </w:r>
    </w:p>
    <w:p w:rsidR="00422050" w:rsidRPr="00422050" w:rsidRDefault="00422050" w:rsidP="00422050">
      <w:pPr>
        <w:spacing w:after="200" w:line="276" w:lineRule="auto"/>
        <w:jc w:val="center"/>
        <w:rPr>
          <w:rFonts w:ascii="Arial" w:eastAsia="Calibri" w:hAnsi="Arial" w:cs="Arial"/>
          <w:b/>
          <w:bCs/>
          <w:color w:val="000000"/>
          <w:sz w:val="10"/>
          <w:szCs w:val="10"/>
          <w:lang w:val="en-US"/>
        </w:rPr>
      </w:pPr>
    </w:p>
    <w:p w:rsidR="00422050" w:rsidRPr="00422050" w:rsidRDefault="00422050" w:rsidP="00422050">
      <w:pPr>
        <w:spacing w:after="200" w:line="276" w:lineRule="auto"/>
        <w:rPr>
          <w:rFonts w:ascii="Arial" w:eastAsia="Calibri" w:hAnsi="Arial" w:cs="Arial"/>
          <w:b/>
          <w:color w:val="000000"/>
          <w:sz w:val="24"/>
          <w:szCs w:val="24"/>
        </w:rPr>
      </w:pPr>
      <w:r w:rsidRPr="00422050">
        <w:rPr>
          <w:rFonts w:ascii="Arial" w:eastAsia="Calibri" w:hAnsi="Arial" w:cs="Arial"/>
          <w:b/>
          <w:bCs/>
          <w:color w:val="000000"/>
          <w:sz w:val="24"/>
          <w:szCs w:val="24"/>
        </w:rPr>
        <w:t xml:space="preserve">ÚNICO.- </w:t>
      </w:r>
      <w:r w:rsidRPr="00422050">
        <w:rPr>
          <w:rFonts w:ascii="Arial" w:eastAsia="Calibri" w:hAnsi="Arial" w:cs="Arial"/>
          <w:bCs/>
          <w:color w:val="000000"/>
          <w:sz w:val="24"/>
          <w:szCs w:val="24"/>
        </w:rPr>
        <w:t>El presente Decreto entrará en vigor al día siguiente de su publicación en el Periódico Oficial del Gobierno del Estado.</w:t>
      </w:r>
    </w:p>
    <w:p w:rsidR="00422050" w:rsidRPr="00422050" w:rsidRDefault="00422050" w:rsidP="0042205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B4391B" w:rsidRPr="00F826CA" w:rsidRDefault="00B4391B" w:rsidP="00B4391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826CA">
        <w:rPr>
          <w:rFonts w:ascii="Arial" w:eastAsia="Times New Roman" w:hAnsi="Arial" w:cs="Arial"/>
          <w:b/>
          <w:snapToGrid w:val="0"/>
          <w:sz w:val="24"/>
          <w:szCs w:val="24"/>
          <w:lang w:val="es-ES_tradnl" w:eastAsia="es-ES"/>
        </w:rPr>
        <w:t xml:space="preserve">DADO en la Ciudad de Saltillo, Coahuila de Zaragoza, a los nueve días </w:t>
      </w:r>
      <w:r>
        <w:rPr>
          <w:rFonts w:ascii="Arial" w:eastAsia="Times New Roman" w:hAnsi="Arial" w:cs="Arial"/>
          <w:b/>
          <w:snapToGrid w:val="0"/>
          <w:sz w:val="24"/>
          <w:szCs w:val="24"/>
          <w:lang w:val="es-ES_tradnl" w:eastAsia="es-ES"/>
        </w:rPr>
        <w:t xml:space="preserve">del mes </w:t>
      </w:r>
      <w:r w:rsidRPr="00F826CA">
        <w:rPr>
          <w:rFonts w:ascii="Arial" w:eastAsia="Times New Roman" w:hAnsi="Arial" w:cs="Arial"/>
          <w:b/>
          <w:snapToGrid w:val="0"/>
          <w:sz w:val="24"/>
          <w:szCs w:val="24"/>
          <w:lang w:val="es-ES_tradnl" w:eastAsia="es-ES"/>
        </w:rPr>
        <w:t>de septiembre del año dos mil veinte.</w:t>
      </w: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center"/>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DIPUTADO PRESIDENTE</w:t>
      </w:r>
    </w:p>
    <w:p w:rsidR="00422050" w:rsidRPr="00422050" w:rsidRDefault="00422050" w:rsidP="00422050">
      <w:pPr>
        <w:tabs>
          <w:tab w:val="left" w:pos="8749"/>
        </w:tabs>
        <w:spacing w:after="0" w:line="240" w:lineRule="auto"/>
        <w:jc w:val="center"/>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center"/>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center"/>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center"/>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MARCELO DE JESÚS TORRES COFIÑO</w:t>
      </w: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 xml:space="preserve">                    DIPUTADA SECRETARIA                                 DIPUTADA SECRETARIA </w:t>
      </w: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tabs>
          <w:tab w:val="left" w:pos="8749"/>
        </w:tabs>
        <w:spacing w:after="0" w:line="240" w:lineRule="auto"/>
        <w:jc w:val="both"/>
        <w:rPr>
          <w:rFonts w:ascii="Arial" w:eastAsia="Times New Roman" w:hAnsi="Arial" w:cs="Arial"/>
          <w:b/>
          <w:snapToGrid w:val="0"/>
          <w:sz w:val="24"/>
          <w:szCs w:val="24"/>
          <w:lang w:val="es-ES_tradnl" w:eastAsia="es-ES"/>
        </w:rPr>
      </w:pPr>
    </w:p>
    <w:p w:rsidR="00422050" w:rsidRPr="00422050" w:rsidRDefault="00422050" w:rsidP="00422050">
      <w:pPr>
        <w:spacing w:after="0" w:line="240" w:lineRule="auto"/>
        <w:jc w:val="both"/>
        <w:rPr>
          <w:rFonts w:ascii="Arial" w:hAnsi="Arial" w:cs="Arial"/>
          <w:sz w:val="24"/>
          <w:szCs w:val="24"/>
        </w:rPr>
      </w:pPr>
      <w:r w:rsidRPr="00422050">
        <w:rPr>
          <w:rFonts w:ascii="Arial" w:eastAsia="Times New Roman" w:hAnsi="Arial" w:cs="Arial"/>
          <w:b/>
          <w:snapToGrid w:val="0"/>
          <w:sz w:val="24"/>
          <w:szCs w:val="24"/>
          <w:lang w:val="es-ES_tradnl" w:eastAsia="es-ES"/>
        </w:rPr>
        <w:t xml:space="preserve">   VERÓNICA BOREQUE MARTÍNEZ GONZÁLEZ        DIANA PATRICIA GONZÁLEZ SOTO</w:t>
      </w: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spacing w:after="0" w:line="240" w:lineRule="auto"/>
        <w:jc w:val="both"/>
        <w:rPr>
          <w:rFonts w:ascii="Arial" w:eastAsia="Times New Roman" w:hAnsi="Arial" w:cs="Arial"/>
          <w:sz w:val="24"/>
          <w:szCs w:val="24"/>
          <w:lang w:eastAsia="es-ES"/>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422050" w:rsidRPr="00422050" w:rsidRDefault="00422050" w:rsidP="00422050">
      <w:pPr>
        <w:rPr>
          <w:rFonts w:ascii="Arial" w:hAnsi="Arial" w:cs="Arial"/>
          <w:sz w:val="24"/>
          <w:szCs w:val="24"/>
        </w:rPr>
      </w:pPr>
    </w:p>
    <w:p w:rsidR="00245157" w:rsidRPr="00422050" w:rsidRDefault="00F27533">
      <w:pPr>
        <w:rPr>
          <w:rFonts w:ascii="Arial" w:hAnsi="Arial" w:cs="Arial"/>
          <w:sz w:val="24"/>
          <w:szCs w:val="24"/>
        </w:rPr>
      </w:pPr>
    </w:p>
    <w:sectPr w:rsidR="00245157" w:rsidRPr="00422050"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33" w:rsidRDefault="00F27533" w:rsidP="00244731">
      <w:pPr>
        <w:spacing w:after="0" w:line="240" w:lineRule="auto"/>
      </w:pPr>
      <w:r>
        <w:separator/>
      </w:r>
    </w:p>
  </w:endnote>
  <w:endnote w:type="continuationSeparator" w:id="0">
    <w:p w:rsidR="00F27533" w:rsidRDefault="00F27533" w:rsidP="002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33" w:rsidRDefault="00F27533" w:rsidP="00244731">
      <w:pPr>
        <w:spacing w:after="0" w:line="240" w:lineRule="auto"/>
      </w:pPr>
      <w:r>
        <w:separator/>
      </w:r>
    </w:p>
  </w:footnote>
  <w:footnote w:type="continuationSeparator" w:id="0">
    <w:p w:rsidR="00F27533" w:rsidRDefault="00F27533" w:rsidP="002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44731" w:rsidRPr="00244731" w:rsidTr="002A0AE3">
      <w:trPr>
        <w:jc w:val="center"/>
      </w:trPr>
      <w:tc>
        <w:tcPr>
          <w:tcW w:w="1541" w:type="dxa"/>
        </w:tcPr>
        <w:p w:rsidR="00244731" w:rsidRPr="00244731" w:rsidRDefault="00244731" w:rsidP="00244731">
          <w:pPr>
            <w:spacing w:after="0" w:line="240" w:lineRule="auto"/>
            <w:jc w:val="center"/>
            <w:rPr>
              <w:rFonts w:ascii="Arial" w:eastAsia="Times New Roman" w:hAnsi="Arial" w:cs="Times New Roman"/>
              <w:b/>
              <w:bCs/>
              <w:sz w:val="12"/>
              <w:szCs w:val="20"/>
              <w:lang w:eastAsia="es-ES"/>
            </w:rPr>
          </w:pPr>
          <w:r w:rsidRPr="00244731">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C5F43A8" wp14:editId="4DB3758C">
                <wp:simplePos x="0" y="0"/>
                <wp:positionH relativeFrom="column">
                  <wp:posOffset>14710</wp:posOffset>
                </wp:positionH>
                <wp:positionV relativeFrom="paragraph">
                  <wp:posOffset>37465</wp:posOffset>
                </wp:positionV>
                <wp:extent cx="824642" cy="85190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de Coahuila de Zaragoza_B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642" cy="851903"/>
                        </a:xfrm>
                        <a:prstGeom prst="rect">
                          <a:avLst/>
                        </a:prstGeom>
                      </pic:spPr>
                    </pic:pic>
                  </a:graphicData>
                </a:graphic>
                <wp14:sizeRelH relativeFrom="page">
                  <wp14:pctWidth>0</wp14:pctWidth>
                </wp14:sizeRelH>
                <wp14:sizeRelV relativeFrom="page">
                  <wp14:pctHeight>0</wp14:pctHeight>
                </wp14:sizeRelV>
              </wp:anchor>
            </w:drawing>
          </w:r>
        </w:p>
        <w:p w:rsidR="00244731" w:rsidRPr="00244731" w:rsidRDefault="00244731" w:rsidP="00244731">
          <w:pPr>
            <w:spacing w:after="0" w:line="240" w:lineRule="auto"/>
            <w:jc w:val="center"/>
            <w:rPr>
              <w:rFonts w:ascii="Arial" w:eastAsia="Times New Roman" w:hAnsi="Arial" w:cs="Times New Roman"/>
              <w:b/>
              <w:bCs/>
              <w:sz w:val="12"/>
              <w:szCs w:val="20"/>
              <w:lang w:eastAsia="es-ES"/>
            </w:rPr>
          </w:pPr>
        </w:p>
        <w:p w:rsidR="00244731" w:rsidRPr="00244731" w:rsidRDefault="00244731" w:rsidP="00244731">
          <w:pPr>
            <w:spacing w:after="0" w:line="240" w:lineRule="auto"/>
            <w:jc w:val="center"/>
            <w:rPr>
              <w:rFonts w:ascii="Arial" w:eastAsia="Times New Roman" w:hAnsi="Arial" w:cs="Times New Roman"/>
              <w:b/>
              <w:bCs/>
              <w:sz w:val="12"/>
              <w:szCs w:val="20"/>
              <w:lang w:eastAsia="es-ES"/>
            </w:rPr>
          </w:pPr>
        </w:p>
      </w:tc>
      <w:tc>
        <w:tcPr>
          <w:tcW w:w="7975" w:type="dxa"/>
        </w:tcPr>
        <w:p w:rsidR="00244731" w:rsidRPr="00244731" w:rsidRDefault="00244731" w:rsidP="00244731">
          <w:pPr>
            <w:spacing w:after="0" w:line="240" w:lineRule="auto"/>
            <w:jc w:val="center"/>
            <w:rPr>
              <w:rFonts w:ascii="Arial" w:eastAsia="Times New Roman" w:hAnsi="Arial" w:cs="Times New Roman"/>
              <w:b/>
              <w:bCs/>
              <w:szCs w:val="20"/>
              <w:lang w:eastAsia="es-ES"/>
            </w:rPr>
          </w:pPr>
        </w:p>
        <w:p w:rsidR="00244731" w:rsidRPr="00244731" w:rsidRDefault="00244731" w:rsidP="00244731">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44731">
            <w:rPr>
              <w:rFonts w:ascii="Times New Roman" w:eastAsia="Times New Roman" w:hAnsi="Times New Roman" w:cs="Arial"/>
              <w:bCs/>
              <w:smallCaps/>
              <w:spacing w:val="20"/>
              <w:sz w:val="32"/>
              <w:szCs w:val="32"/>
              <w:lang w:eastAsia="es-ES"/>
            </w:rPr>
            <w:t>Congreso del Estado Independiente,</w:t>
          </w:r>
        </w:p>
        <w:p w:rsidR="00244731" w:rsidRPr="00244731" w:rsidRDefault="00244731" w:rsidP="002447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44731">
            <w:rPr>
              <w:rFonts w:ascii="Times New Roman" w:eastAsia="Times New Roman" w:hAnsi="Times New Roman" w:cs="Arial"/>
              <w:bCs/>
              <w:smallCaps/>
              <w:spacing w:val="20"/>
              <w:sz w:val="32"/>
              <w:szCs w:val="32"/>
              <w:lang w:eastAsia="es-ES"/>
            </w:rPr>
            <w:t>Libre y Soberano de Coahuila de Zaragoza</w:t>
          </w:r>
        </w:p>
        <w:p w:rsidR="00244731" w:rsidRPr="00244731" w:rsidRDefault="00244731" w:rsidP="002447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44731" w:rsidRPr="00244731" w:rsidRDefault="00244731" w:rsidP="00244731">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44731">
            <w:rPr>
              <w:rFonts w:ascii="Times New Roman" w:eastAsia="Times New Roman" w:hAnsi="Times New Roman" w:cs="Times New Roman"/>
              <w:sz w:val="18"/>
              <w:szCs w:val="20"/>
              <w:lang w:eastAsia="es-MX"/>
            </w:rPr>
            <w:t>“2020, Año del Centenario Luctuoso de Venustiano Carranza, el Varón de Cuatro Ciénegas”</w:t>
          </w:r>
        </w:p>
        <w:p w:rsidR="00244731" w:rsidRPr="00244731" w:rsidRDefault="00244731" w:rsidP="00244731">
          <w:pPr>
            <w:spacing w:after="0" w:line="240" w:lineRule="auto"/>
            <w:jc w:val="center"/>
            <w:rPr>
              <w:rFonts w:ascii="Arial" w:eastAsia="Times New Roman" w:hAnsi="Arial" w:cs="Times New Roman"/>
              <w:b/>
              <w:bCs/>
              <w:sz w:val="12"/>
              <w:szCs w:val="20"/>
              <w:lang w:eastAsia="es-ES"/>
            </w:rPr>
          </w:pPr>
        </w:p>
      </w:tc>
      <w:tc>
        <w:tcPr>
          <w:tcW w:w="1541" w:type="dxa"/>
        </w:tcPr>
        <w:p w:rsidR="00244731" w:rsidRPr="00244731" w:rsidRDefault="00244731" w:rsidP="00244731">
          <w:pPr>
            <w:spacing w:after="0" w:line="240" w:lineRule="auto"/>
            <w:jc w:val="center"/>
            <w:rPr>
              <w:rFonts w:ascii="Arial" w:eastAsia="Times New Roman" w:hAnsi="Arial" w:cs="Times New Roman"/>
              <w:b/>
              <w:bCs/>
              <w:sz w:val="12"/>
              <w:szCs w:val="20"/>
              <w:lang w:eastAsia="es-ES"/>
            </w:rPr>
          </w:pPr>
          <w:r w:rsidRPr="00244731">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78B15CD0" wp14:editId="4742996A">
                <wp:simplePos x="0" y="0"/>
                <wp:positionH relativeFrom="column">
                  <wp:posOffset>168275</wp:posOffset>
                </wp:positionH>
                <wp:positionV relativeFrom="paragraph">
                  <wp:posOffset>-326332</wp:posOffset>
                </wp:positionV>
                <wp:extent cx="446084" cy="1217389"/>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6084" cy="1217389"/>
                        </a:xfrm>
                        <a:prstGeom prst="rect">
                          <a:avLst/>
                        </a:prstGeom>
                      </pic:spPr>
                    </pic:pic>
                  </a:graphicData>
                </a:graphic>
                <wp14:sizeRelH relativeFrom="margin">
                  <wp14:pctWidth>0</wp14:pctWidth>
                </wp14:sizeRelH>
                <wp14:sizeRelV relativeFrom="margin">
                  <wp14:pctHeight>0</wp14:pctHeight>
                </wp14:sizeRelV>
              </wp:anchor>
            </w:drawing>
          </w:r>
        </w:p>
        <w:p w:rsidR="00244731" w:rsidRPr="00244731" w:rsidRDefault="00244731" w:rsidP="00244731">
          <w:pPr>
            <w:spacing w:after="0" w:line="240" w:lineRule="auto"/>
            <w:jc w:val="center"/>
            <w:rPr>
              <w:rFonts w:ascii="Arial" w:eastAsia="Times New Roman" w:hAnsi="Arial" w:cs="Times New Roman"/>
              <w:b/>
              <w:bCs/>
              <w:sz w:val="12"/>
              <w:szCs w:val="20"/>
              <w:lang w:eastAsia="es-ES"/>
            </w:rPr>
          </w:pPr>
        </w:p>
        <w:p w:rsidR="00244731" w:rsidRPr="00244731" w:rsidRDefault="00244731" w:rsidP="00244731">
          <w:pPr>
            <w:spacing w:after="0" w:line="240" w:lineRule="auto"/>
            <w:jc w:val="center"/>
            <w:rPr>
              <w:rFonts w:ascii="Arial" w:eastAsia="Times New Roman" w:hAnsi="Arial" w:cs="Times New Roman"/>
              <w:b/>
              <w:bCs/>
              <w:sz w:val="12"/>
              <w:szCs w:val="20"/>
              <w:lang w:eastAsia="es-ES"/>
            </w:rPr>
          </w:pPr>
        </w:p>
      </w:tc>
    </w:tr>
  </w:tbl>
  <w:p w:rsidR="00244731" w:rsidRDefault="002447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0"/>
    <w:rsid w:val="000653EC"/>
    <w:rsid w:val="00244731"/>
    <w:rsid w:val="00422050"/>
    <w:rsid w:val="004562E7"/>
    <w:rsid w:val="008531E0"/>
    <w:rsid w:val="00A50E20"/>
    <w:rsid w:val="00B1341D"/>
    <w:rsid w:val="00B4391B"/>
    <w:rsid w:val="00C71FC7"/>
    <w:rsid w:val="00EB0F3D"/>
    <w:rsid w:val="00F27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110F"/>
  <w15:chartTrackingRefBased/>
  <w15:docId w15:val="{85D2333E-D32B-4313-8CB5-946429E2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731"/>
  </w:style>
  <w:style w:type="paragraph" w:styleId="Piedepgina">
    <w:name w:val="footer"/>
    <w:basedOn w:val="Normal"/>
    <w:link w:val="PiedepginaCar"/>
    <w:uiPriority w:val="99"/>
    <w:unhideWhenUsed/>
    <w:rsid w:val="00244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4</cp:revision>
  <dcterms:created xsi:type="dcterms:W3CDTF">2020-09-09T19:11:00Z</dcterms:created>
  <dcterms:modified xsi:type="dcterms:W3CDTF">2020-10-13T15:24:00Z</dcterms:modified>
</cp:coreProperties>
</file>