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5B1A82" w:rsidRPr="00F03222" w:rsidRDefault="005B1A82" w:rsidP="005B1A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730.-</w:t>
      </w:r>
    </w:p>
    <w:p w:rsidR="00F03222" w:rsidRPr="00F03222" w:rsidRDefault="00F03222" w:rsidP="005B1A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Arial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ARTÍCULO ÚNICO.- </w:t>
      </w:r>
      <w:r w:rsidRPr="00F03222">
        <w:rPr>
          <w:rFonts w:ascii="Arial" w:eastAsia="Arial" w:hAnsi="Arial" w:cs="Arial"/>
          <w:sz w:val="25"/>
          <w:szCs w:val="25"/>
          <w:lang w:eastAsia="es-ES"/>
        </w:rPr>
        <w:t>Se adiciona  la fracción II del artículo 3 de la Ley de Acceso a la Información Pública para el Estado de Coahuila de Zaragoza, recorriéndose las ulteriores, para quedar como sigue: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Arial" w:hAnsi="Arial" w:cs="Arial"/>
          <w:sz w:val="25"/>
          <w:szCs w:val="25"/>
          <w:lang w:eastAsia="es-ES"/>
        </w:rPr>
      </w:pPr>
      <w:r w:rsidRPr="00F03222">
        <w:rPr>
          <w:rFonts w:ascii="Arial" w:eastAsia="Arial" w:hAnsi="Arial" w:cs="Arial"/>
          <w:sz w:val="25"/>
          <w:szCs w:val="25"/>
          <w:lang w:eastAsia="es-ES"/>
        </w:rPr>
        <w:t xml:space="preserve">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Arial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3.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>…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sz w:val="25"/>
          <w:szCs w:val="25"/>
          <w:lang w:eastAsia="es-ES"/>
        </w:rPr>
        <w:t>…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Datos abiertos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: Los datos digitales de carácter público que son accesibles en línea que pueden ser usados, reutilizados y redistribuidos por cualquier interesado y que tienen las siguientes características: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a)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>Accesibles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: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Los datos están disponibles para la gama más amplia de usuarios, para cualquier propósito;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b)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>Integrales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: Contienen el tema que describen a detalle y con los metadatos necesarios;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c)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>Gratuitos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: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Se obtienen sin entregar a cambio contraprestación alguna;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d)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>No discriminatorios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: Los datos están disponibles para cualquier persona, sin necesidad de registro;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e)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 xml:space="preserve">Oportunos: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Son actualizados, periódicamente, conforme se generen;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f)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 xml:space="preserve">Permanentes: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Se conservan en el tiempo, para lo cual, las versiones históricas relevantes para uso público se mantendrán disponibles con identificadores adecuados al efecto;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g)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 xml:space="preserve">Primarios: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Provienen de la fuente de origen con el máximo nivel de desagregación posible;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h)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 xml:space="preserve">Legibles por máquinas: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Deberán estar estructurados, total o parcialmente, para ser procesados e interpretados por equipos electrónicos de manera automática;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i)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 xml:space="preserve">En formatos abiertos: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Los datos estarán disponibles con el conjunto de características técnicas y de presentación que corresponden a la estructura lógica usada para almacenar datos en un archivo digital, cuyas especificaciones técnicas están disponibles públicamente, que no suponen una dificultad de acceso y que su aplicación y reproducción no estén condicionadas a contraprestación alguna;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j)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ab/>
        <w:t>De libre uso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: Citan la fuente de origen como único requerimiento para ser utilizados libremente;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Calibri" w:hAnsi="Arial" w:cs="Arial"/>
          <w:b/>
          <w:sz w:val="25"/>
          <w:szCs w:val="25"/>
          <w:lang w:val="es-ES_tradnl" w:eastAsia="es-MX"/>
        </w:rPr>
        <w:lastRenderedPageBreak/>
        <w:t>Días</w:t>
      </w:r>
      <w:r w:rsidRPr="00F03222">
        <w:rPr>
          <w:rFonts w:ascii="Arial" w:eastAsia="Calibri" w:hAnsi="Arial" w:cs="Arial"/>
          <w:b/>
          <w:bCs/>
          <w:sz w:val="25"/>
          <w:szCs w:val="25"/>
          <w:lang w:val="es-ES_tradnl" w:eastAsia="es-MX"/>
        </w:rPr>
        <w:t xml:space="preserve">: </w:t>
      </w:r>
      <w:r w:rsidRPr="00F03222">
        <w:rPr>
          <w:rFonts w:ascii="Arial" w:eastAsia="Calibri" w:hAnsi="Arial" w:cs="Arial"/>
          <w:sz w:val="25"/>
          <w:szCs w:val="25"/>
          <w:lang w:val="es-ES_tradnl" w:eastAsia="es-MX"/>
        </w:rPr>
        <w:t xml:space="preserve">Días hábiles. </w:t>
      </w: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spacing w:after="0" w:line="360" w:lineRule="auto"/>
        <w:ind w:left="720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D</w:t>
      </w: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ocumentos</w:t>
      </w: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>Los reportes, estudios, actas, resoluciones, oficios, correspondencia, acuerdos, directivas, directrices, circulares, contratos, convenios, instructivos, notas, memorandos, estadísticas o bien, cualquier otro registro que documente el ejercicio de las facultades o la actividad de los sujetos obligados y sus servidores públicos, sin importar su fuente o fecha de elaboración. Los documentos podrán estar en cualquier medio, entre otros, escrito, impreso, sonoro, visual, electrónico, informático u holográfico.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Expediente: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Unidad documental constituida por uno o varios documentos, ordenados y relacionados por un mismo asunto, actividad o trámite de los sujetos obligados.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Documento Electrónico: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Información que puede constituir un documento, archivada o almacenada en un soporte electrónico, en un formato determinado y susceptible de identificación y tratamiento.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Expediente Electrónico: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Es el conjunto de documentos electrónicos cuyo contenido y estructura permiten identificarlos como documentos de archivo que aseguran la validez, autenticidad, confidencialidad, integridad y disponibilidad de la información que contienen.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Indicadores de Gestión: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La información numérica o gráfica que permite evaluar la eficacia y eficiencia en el cumplimiento del grado de ejecución de las actividades, la asignación y el uso de recursos en las diferentes etapas de los procesos, proyectos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lastRenderedPageBreak/>
        <w:t xml:space="preserve">y programas; así como, los planes gubernamentales de los sujetos obligados en una dimensión de mediano y largo plazo.  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Indicador de Resultados: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La información que permita evaluar el cumplimiento de las metas y objetivos institucionales, indicando los beneficios obtenidos, de acuerdo a los resultados de la gestión.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Información: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>La contenida en los documentos o documentos electrónicos que los sujetos obligados generan, obtienen, adquieren, transforman o conservan por cualquier título o medio.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Información Pública de Oficio: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La información que los sujetos obligados deben difundir, actualizar y poner a disposición del público en medios electrónicos de manera proactiva, sin que medie solicitud de por medio.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Información Confidencial: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La información en posesión de los sujetos obligados, que refiera a la vida privada y/o los datos personales, por lo que no puede ser difundida, publicada o dada a conocer, excepto en aquellos casos en que así lo contemple la presente ley y/o la Ley de Protección de Datos Personales.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Información Pública: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Toda información en posesión de los sujetos obligados, con excepción de la que tenga el carácter de confidencial.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Información Reservada: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La información pública que por razones de interés público sea excepcionalmente restringido el acceso de manera temporal, de conformidad con el capítulo quinto de la ley.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Instituto: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El Instituto Coahuilense de Acceso a la Información Pública.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Medio Electrónico: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Sistema electrónico de comunicación abierta, que permite almacenar, difundir o transmitir documentos, datos o información.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Ley: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La Ley de Acceso a la Información Pública para el Estado de Coahuila de Zaragoza.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Ley de Protección de Datos Personales:</w:t>
      </w:r>
      <w:r w:rsidRPr="00F03222"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  <w:t xml:space="preserve"> Ley de Protección de Datos Personales en Posesión de Sujetos Obligados </w:t>
      </w:r>
      <w:r w:rsidRPr="00F03222">
        <w:rPr>
          <w:rFonts w:ascii="Arial" w:eastAsia="Times New Roman" w:hAnsi="Arial" w:cs="Arial"/>
          <w:sz w:val="25"/>
          <w:szCs w:val="25"/>
          <w:lang w:eastAsia="uz-Cyrl-UZ" w:bidi="uz-Cyrl-UZ"/>
        </w:rPr>
        <w:t>del</w:t>
      </w:r>
      <w:r w:rsidRPr="00F03222"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  <w:t xml:space="preserve"> Estado de Coahuila de Zaragoza.</w:t>
      </w:r>
    </w:p>
    <w:p w:rsidR="00F03222" w:rsidRPr="00F03222" w:rsidRDefault="00F03222" w:rsidP="00F03222">
      <w:pPr>
        <w:spacing w:after="0" w:line="360" w:lineRule="auto"/>
        <w:ind w:left="360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Reglamento: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Reglamento de la Ley de Acceso a la Información Pública para el Estado de Coahuila de Zaragoza.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Servidor público: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Los representantes de elección popular, los miembros de los órganos jurisdiccionales del Poder Judicial, los integrantes de organismos públicos autónomos, los funcionarios y empleados, y en general toda persona que desempeñe un empleo, cargo o comisión de cualquier naturaleza en las entidades públicas. 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Sistema de Solicitudes de Acceso a la Información: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 Aquél que forma parte de la Plataforma Nacional de Transparencia, de conformidad con el artículo 50 fracción I de la Ley General.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Sujetos obligados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: Los señalados en el artículo 6 de esta ley.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Sujetos obligados indirectos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: Las personas físicas o morales que por su labor auxiliar en funciones de orden público, y por razones de interés público, poseen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lastRenderedPageBreak/>
        <w:t>obligaciones de transparentar información en términos de la Sección Tercera del Capítulo Tercero de la presente ley.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Entidad Pública: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>Los sujetos obligados a proporcionar información en los términos de la Ley General, esta ley y demás disposiciones aplicables, contenidos en el artículo 6 de esta ley, con excepción de las organizaciones de la sociedad civil que reciban y/o ejerzan recursos públicos en el ámbito estatal y municipal, a partir de 16,000 salarios mínimos generales vigentes en el Estado o aquellos que reciban un ingreso estatal, que sea propuesto dentro de su presupuesto y las instituciones de beneficencia.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Organizaciones de la Sociedad Civil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: Asociaciones o Sociedades Civiles legalmente constituidas.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Instituciones de Beneficencia: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Toda institución, asociación, fundación o ente económico que realice actos de beneficencia, en términos de la ley de la materia.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Estado: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 El Estado de Coahuila de Zaragoza.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Versiones Públicas: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>Documento en el que, para permitir su acceso, se testa u omite la información clasificada como reservada o la confidencial.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Persona: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Todo ser humano sin importar condición o entidad jurídica, salvo lo dispuesto en la ley.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Derecho de Acceso a la Información Pública: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El derecho fundamental que tiene toda persona para acceder a la información generada, administrada o en poder de los sujetos obligados, en los términos de la presente ley.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Protección de Datos Personales: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La garantía que tutela la privacidad de datos personales en poder de las entidades públicas y sujetos obligados, en términos de la Ley de Protección de Datos Personales.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Prueba de daño: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Carga de los sujetos obligados de demostrar que la divulgación de información lesiona el interés jurídicamente protegido por la ley, y que el daño que puede producirse con la publicidad de la información es mayor que el interés de conocerla.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Redes sociales: </w:t>
      </w:r>
      <w:r w:rsidRPr="00F03222">
        <w:rPr>
          <w:rFonts w:ascii="Arial" w:eastAsia="Times New Roman" w:hAnsi="Arial" w:cs="Arial"/>
          <w:bCs/>
          <w:sz w:val="25"/>
          <w:szCs w:val="25"/>
          <w:lang w:eastAsia="es-ES"/>
        </w:rPr>
        <w:t xml:space="preserve">Formas de comunicación electrónica por medio de comunidades virtuales con objeto de compartir información, ideas, mensajes personales, fotografía, videos y diversos contenidos. 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Interés Público: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>Valor agregado que posee la información producto de una actividad, que por su naturaleza resulta de importancia conocer para la comunidad para el debido respeto y ejercicio de los derechos humanos.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Ley General: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Ley General de Transparencia y Acceso a la Información Pública.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Ley General de Protección de Datos Personales:</w:t>
      </w:r>
      <w:r w:rsidRPr="00F03222"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  <w:t xml:space="preserve"> Ley General de Protección de Datos Personales en Posesión de Sujetos Obligados.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Organismo Garante Nacional: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Instituto Nacional de Transparencia, Acceso a la Información y Protección de Datos Personales.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val="uz-Cyrl-UZ" w:eastAsia="uz-Cyrl-UZ" w:bidi="uz-Cyrl-UZ"/>
        </w:rPr>
      </w:pPr>
    </w:p>
    <w:p w:rsidR="00F03222" w:rsidRPr="00F03222" w:rsidRDefault="00F03222" w:rsidP="00F0322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uz-Cyrl-UZ" w:eastAsia="uz-Cyrl-UZ" w:bidi="uz-Cyrl-UZ"/>
        </w:rPr>
      </w:pPr>
      <w:r w:rsidRPr="00F03222">
        <w:rPr>
          <w:rFonts w:ascii="Arial" w:eastAsia="Times New Roman" w:hAnsi="Arial" w:cs="Arial"/>
          <w:b/>
          <w:sz w:val="25"/>
          <w:szCs w:val="25"/>
          <w:lang w:eastAsia="es-ES"/>
        </w:rPr>
        <w:t>Persona que realiza actos de autoridad: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t xml:space="preserve"> Es toda aquella que, con independencia de su naturaleza formal, dicta, ordena, ejecuta o trata de ejecutar el acto que crea, </w:t>
      </w:r>
      <w:r w:rsidRPr="00F03222">
        <w:rPr>
          <w:rFonts w:ascii="Arial" w:eastAsia="Times New Roman" w:hAnsi="Arial" w:cs="Arial"/>
          <w:sz w:val="25"/>
          <w:szCs w:val="25"/>
          <w:lang w:eastAsia="es-ES"/>
        </w:rPr>
        <w:lastRenderedPageBreak/>
        <w:t>modifique o extinga situaciones jurídicas en forma unilateral y obligatoria; u omita el acto que de realizarse crearía, modificaría o extinguiría dichas situaciones jurídicas.</w:t>
      </w: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Arial" w:hAnsi="Arial" w:cs="Arial"/>
          <w:sz w:val="25"/>
          <w:szCs w:val="25"/>
          <w:lang w:eastAsia="es-ES"/>
        </w:rPr>
      </w:pPr>
    </w:p>
    <w:p w:rsidR="00F03222" w:rsidRPr="004A31FD" w:rsidRDefault="00F03222" w:rsidP="00F03222">
      <w:pPr>
        <w:spacing w:after="0" w:line="360" w:lineRule="auto"/>
        <w:jc w:val="center"/>
        <w:rPr>
          <w:rFonts w:ascii="Arial" w:eastAsia="Arial" w:hAnsi="Arial" w:cs="Arial"/>
          <w:b/>
          <w:sz w:val="25"/>
          <w:szCs w:val="25"/>
          <w:lang w:val="en-US" w:eastAsia="es-ES"/>
        </w:rPr>
      </w:pP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T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R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proofErr w:type="gramStart"/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A</w:t>
      </w:r>
      <w:proofErr w:type="gramEnd"/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N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S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I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T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O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R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I</w:t>
      </w:r>
      <w:r w:rsidR="00CA6FE3"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</w:t>
      </w:r>
      <w:r w:rsidRPr="004A31FD">
        <w:rPr>
          <w:rFonts w:ascii="Arial" w:eastAsia="Arial" w:hAnsi="Arial" w:cs="Arial"/>
          <w:b/>
          <w:sz w:val="25"/>
          <w:szCs w:val="25"/>
          <w:lang w:val="en-US" w:eastAsia="es-ES"/>
        </w:rPr>
        <w:t>O</w:t>
      </w:r>
    </w:p>
    <w:p w:rsidR="00F03222" w:rsidRPr="004A31FD" w:rsidRDefault="00F03222" w:rsidP="00F03222">
      <w:pPr>
        <w:spacing w:after="0" w:line="360" w:lineRule="auto"/>
        <w:jc w:val="both"/>
        <w:rPr>
          <w:rFonts w:ascii="Arial" w:eastAsia="Arial" w:hAnsi="Arial" w:cs="Arial"/>
          <w:sz w:val="25"/>
          <w:szCs w:val="25"/>
          <w:lang w:val="en-US" w:eastAsia="es-ES"/>
        </w:rPr>
      </w:pPr>
    </w:p>
    <w:p w:rsidR="00F03222" w:rsidRPr="00F03222" w:rsidRDefault="00F03222" w:rsidP="00F03222">
      <w:pPr>
        <w:spacing w:after="0" w:line="360" w:lineRule="auto"/>
        <w:jc w:val="both"/>
        <w:rPr>
          <w:rFonts w:ascii="Arial" w:eastAsia="Arial" w:hAnsi="Arial" w:cs="Arial"/>
          <w:sz w:val="25"/>
          <w:szCs w:val="25"/>
          <w:lang w:eastAsia="es-ES"/>
        </w:rPr>
      </w:pPr>
      <w:r w:rsidRPr="00F03222">
        <w:rPr>
          <w:rFonts w:ascii="Arial" w:eastAsia="Arial" w:hAnsi="Arial" w:cs="Arial"/>
          <w:b/>
          <w:sz w:val="25"/>
          <w:szCs w:val="25"/>
          <w:lang w:eastAsia="es-ES"/>
        </w:rPr>
        <w:t xml:space="preserve">ARTÍCULO </w:t>
      </w:r>
      <w:proofErr w:type="gramStart"/>
      <w:r w:rsidRPr="00F03222">
        <w:rPr>
          <w:rFonts w:ascii="Arial" w:eastAsia="Arial" w:hAnsi="Arial" w:cs="Arial"/>
          <w:b/>
          <w:sz w:val="25"/>
          <w:szCs w:val="25"/>
          <w:lang w:eastAsia="es-ES"/>
        </w:rPr>
        <w:t>ÚNICO.</w:t>
      </w:r>
      <w:r>
        <w:rPr>
          <w:rFonts w:ascii="Arial" w:eastAsia="Arial" w:hAnsi="Arial" w:cs="Arial"/>
          <w:b/>
          <w:sz w:val="25"/>
          <w:szCs w:val="25"/>
          <w:lang w:eastAsia="es-ES"/>
        </w:rPr>
        <w:t>-</w:t>
      </w:r>
      <w:proofErr w:type="gramEnd"/>
      <w:r w:rsidRPr="00F03222">
        <w:rPr>
          <w:rFonts w:ascii="Arial" w:eastAsia="Arial" w:hAnsi="Arial" w:cs="Arial"/>
          <w:sz w:val="25"/>
          <w:szCs w:val="25"/>
          <w:lang w:eastAsia="es-ES"/>
        </w:rPr>
        <w:t xml:space="preserve"> El presente decreto iniciará su vigencia el día siguiente al de su publicación en el Periódico Oficial del Estado.</w:t>
      </w:r>
    </w:p>
    <w:p w:rsidR="005B1A82" w:rsidRPr="00F03222" w:rsidRDefault="005B1A82" w:rsidP="005B1A8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</w:t>
      </w:r>
      <w:r w:rsid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ahuila de Zaragoza, a los veintitrés</w:t>
      </w: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septiembre del año dos mil veinte.</w:t>
      </w: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</w:t>
      </w:r>
      <w:r w:rsid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</w:t>
      </w: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                  </w:t>
      </w:r>
      <w:r w:rsid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</w:t>
      </w: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B1A82" w:rsidRPr="00F03222" w:rsidRDefault="005B1A82" w:rsidP="005B1A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322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5B1A82" w:rsidRPr="00F03222" w:rsidRDefault="00F03222" w:rsidP="005B1A8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rFonts w:ascii="Arial" w:hAnsi="Arial" w:cs="Arial"/>
          <w:sz w:val="25"/>
          <w:szCs w:val="25"/>
        </w:rPr>
      </w:pPr>
    </w:p>
    <w:p w:rsidR="005B1A82" w:rsidRPr="00F03222" w:rsidRDefault="005B1A82" w:rsidP="005B1A82">
      <w:pPr>
        <w:rPr>
          <w:sz w:val="25"/>
          <w:szCs w:val="25"/>
        </w:rPr>
      </w:pPr>
    </w:p>
    <w:p w:rsidR="005B1A82" w:rsidRPr="00F03222" w:rsidRDefault="005B1A82" w:rsidP="005B1A82">
      <w:pPr>
        <w:rPr>
          <w:sz w:val="25"/>
          <w:szCs w:val="25"/>
        </w:rPr>
      </w:pPr>
    </w:p>
    <w:p w:rsidR="00245157" w:rsidRPr="00F03222" w:rsidRDefault="007F2884">
      <w:pPr>
        <w:rPr>
          <w:sz w:val="25"/>
          <w:szCs w:val="25"/>
        </w:rPr>
      </w:pPr>
    </w:p>
    <w:sectPr w:rsidR="00245157" w:rsidRPr="00F03222" w:rsidSect="00F4338E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84" w:rsidRDefault="007F2884" w:rsidP="004A31FD">
      <w:pPr>
        <w:spacing w:after="0" w:line="240" w:lineRule="auto"/>
      </w:pPr>
      <w:r>
        <w:separator/>
      </w:r>
    </w:p>
  </w:endnote>
  <w:endnote w:type="continuationSeparator" w:id="0">
    <w:p w:rsidR="007F2884" w:rsidRDefault="007F2884" w:rsidP="004A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84" w:rsidRDefault="007F2884" w:rsidP="004A31FD">
      <w:pPr>
        <w:spacing w:after="0" w:line="240" w:lineRule="auto"/>
      </w:pPr>
      <w:r>
        <w:separator/>
      </w:r>
    </w:p>
  </w:footnote>
  <w:footnote w:type="continuationSeparator" w:id="0">
    <w:p w:rsidR="007F2884" w:rsidRDefault="007F2884" w:rsidP="004A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A31FD" w:rsidRPr="004A31FD" w:rsidTr="00072024">
      <w:trPr>
        <w:jc w:val="center"/>
      </w:trPr>
      <w:tc>
        <w:tcPr>
          <w:tcW w:w="1541" w:type="dxa"/>
        </w:tcPr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A31F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C946225" wp14:editId="0385E40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4A31FD" w:rsidRPr="004A31FD" w:rsidRDefault="004A31FD" w:rsidP="004A31F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A31F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A31FD" w:rsidRPr="004A31FD" w:rsidRDefault="004A31FD" w:rsidP="004A31F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A31F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A31FD" w:rsidRPr="004A31FD" w:rsidRDefault="004A31FD" w:rsidP="004A31F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4A31FD" w:rsidRPr="004A31FD" w:rsidRDefault="004A31FD" w:rsidP="004A31F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A31F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A31F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6813DF" wp14:editId="1ACEFCB9">
                <wp:simplePos x="0" y="0"/>
                <wp:positionH relativeFrom="column">
                  <wp:posOffset>184150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31FD" w:rsidRPr="004A31FD" w:rsidRDefault="004A31FD" w:rsidP="004A31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A31FD" w:rsidRPr="004A31FD" w:rsidRDefault="004A31FD" w:rsidP="004A31FD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4A31FD" w:rsidRDefault="004A3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C0DDE"/>
    <w:multiLevelType w:val="hybridMultilevel"/>
    <w:tmpl w:val="498289D8"/>
    <w:lvl w:ilvl="0" w:tplc="522006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076741A">
      <w:start w:val="1"/>
      <w:numFmt w:val="lowerLetter"/>
      <w:lvlText w:val="%2."/>
      <w:lvlJc w:val="left"/>
      <w:pPr>
        <w:ind w:left="1440" w:hanging="360"/>
      </w:pPr>
    </w:lvl>
    <w:lvl w:ilvl="2" w:tplc="816A2792">
      <w:start w:val="1"/>
      <w:numFmt w:val="lowerRoman"/>
      <w:lvlText w:val="%3."/>
      <w:lvlJc w:val="right"/>
      <w:pPr>
        <w:ind w:left="2160" w:hanging="180"/>
      </w:pPr>
    </w:lvl>
    <w:lvl w:ilvl="3" w:tplc="983E0A02">
      <w:start w:val="1"/>
      <w:numFmt w:val="decimal"/>
      <w:lvlText w:val="%4."/>
      <w:lvlJc w:val="left"/>
      <w:pPr>
        <w:ind w:left="2880" w:hanging="360"/>
      </w:pPr>
    </w:lvl>
    <w:lvl w:ilvl="4" w:tplc="65169A96">
      <w:start w:val="1"/>
      <w:numFmt w:val="lowerLetter"/>
      <w:lvlText w:val="%5."/>
      <w:lvlJc w:val="left"/>
      <w:pPr>
        <w:ind w:left="3600" w:hanging="360"/>
      </w:pPr>
    </w:lvl>
    <w:lvl w:ilvl="5" w:tplc="ED4049F6">
      <w:start w:val="1"/>
      <w:numFmt w:val="lowerRoman"/>
      <w:lvlText w:val="%6."/>
      <w:lvlJc w:val="right"/>
      <w:pPr>
        <w:ind w:left="4320" w:hanging="180"/>
      </w:pPr>
    </w:lvl>
    <w:lvl w:ilvl="6" w:tplc="BFA6F938">
      <w:start w:val="1"/>
      <w:numFmt w:val="decimal"/>
      <w:lvlText w:val="%7."/>
      <w:lvlJc w:val="left"/>
      <w:pPr>
        <w:ind w:left="5040" w:hanging="360"/>
      </w:pPr>
    </w:lvl>
    <w:lvl w:ilvl="7" w:tplc="78A01BB8">
      <w:start w:val="1"/>
      <w:numFmt w:val="lowerLetter"/>
      <w:lvlText w:val="%8."/>
      <w:lvlJc w:val="left"/>
      <w:pPr>
        <w:ind w:left="5760" w:hanging="360"/>
      </w:pPr>
    </w:lvl>
    <w:lvl w:ilvl="8" w:tplc="DDC097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2"/>
    <w:rsid w:val="000653EC"/>
    <w:rsid w:val="00251C26"/>
    <w:rsid w:val="004533FA"/>
    <w:rsid w:val="004562E7"/>
    <w:rsid w:val="004A31FD"/>
    <w:rsid w:val="005B1A82"/>
    <w:rsid w:val="007F2884"/>
    <w:rsid w:val="00CA6FE3"/>
    <w:rsid w:val="00EC28D5"/>
    <w:rsid w:val="00F0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EE6AC-07BC-4182-9C20-6B12232E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F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3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1FD"/>
  </w:style>
  <w:style w:type="paragraph" w:styleId="Piedepgina">
    <w:name w:val="footer"/>
    <w:basedOn w:val="Normal"/>
    <w:link w:val="PiedepginaCar"/>
    <w:uiPriority w:val="99"/>
    <w:unhideWhenUsed/>
    <w:rsid w:val="004A3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4EA2-8BC7-4CF7-9AD8-422561FB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2020-09-24T15:05:00Z</cp:lastPrinted>
  <dcterms:created xsi:type="dcterms:W3CDTF">2020-09-24T19:34:00Z</dcterms:created>
  <dcterms:modified xsi:type="dcterms:W3CDTF">2020-09-24T19:34:00Z</dcterms:modified>
</cp:coreProperties>
</file>