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6F" w:rsidRPr="001C636F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1C636F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1C636F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1C636F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1C636F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1C636F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1C636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1C636F" w:rsidRPr="001C636F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1C636F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1C636F" w:rsidRDefault="001C636F" w:rsidP="001C636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1C636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1C636F" w:rsidRPr="001C636F" w:rsidRDefault="001C636F" w:rsidP="001C636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1C636F" w:rsidRDefault="001C636F" w:rsidP="001C636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1C636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737.-</w:t>
      </w:r>
    </w:p>
    <w:p w:rsidR="001C636F" w:rsidRPr="001C636F" w:rsidRDefault="001C636F" w:rsidP="001C636F">
      <w:pPr>
        <w:spacing w:after="0" w:line="240" w:lineRule="auto"/>
        <w:ind w:right="-518"/>
        <w:rPr>
          <w:rFonts w:ascii="Calibri" w:eastAsia="Calibri" w:hAnsi="Calibri" w:cs="Times New Roman"/>
          <w:sz w:val="25"/>
          <w:szCs w:val="25"/>
        </w:rPr>
      </w:pPr>
    </w:p>
    <w:p w:rsidR="001C636F" w:rsidRPr="001C636F" w:rsidRDefault="001C636F" w:rsidP="001C636F">
      <w:pPr>
        <w:spacing w:after="0" w:line="240" w:lineRule="auto"/>
        <w:ind w:right="-518"/>
        <w:rPr>
          <w:rFonts w:ascii="Calibri" w:eastAsia="Calibri" w:hAnsi="Calibri" w:cs="Times New Roman"/>
          <w:sz w:val="25"/>
          <w:szCs w:val="25"/>
        </w:rPr>
      </w:pPr>
    </w:p>
    <w:p w:rsidR="001C636F" w:rsidRPr="001C636F" w:rsidRDefault="001C636F" w:rsidP="001C636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  <w:r w:rsidRPr="001C636F">
        <w:rPr>
          <w:rFonts w:ascii="Arial" w:eastAsia="Times New Roman" w:hAnsi="Arial" w:cs="Arial"/>
          <w:b/>
          <w:color w:val="000000"/>
          <w:sz w:val="25"/>
          <w:szCs w:val="25"/>
          <w:lang w:eastAsia="es-MX"/>
        </w:rPr>
        <w:t xml:space="preserve">ARTÍCULO PRIMERO. </w:t>
      </w:r>
      <w:r w:rsidRPr="001C636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Se valida el ac</w:t>
      </w:r>
      <w:bookmarkStart w:id="0" w:name="_GoBack"/>
      <w:bookmarkEnd w:id="0"/>
      <w:r w:rsidRPr="001C636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uerdo aprobado por el R. Ayuntamiento de Torreón, Coahuila de Zaragoza, para enajenar a título oneroso, un inmueble con una superficie de 72.74 M2., ubicado en la colonia “Carolinas” de esa ciudad, a favor del C. Héctor Herrera Montelongo, el cual se desincorporo con Decreto número 539 publicado en el Periódico Oficial del Gobierno del Estado de fecha 25 de febrero de 2020.</w:t>
      </w:r>
    </w:p>
    <w:p w:rsidR="001C636F" w:rsidRPr="001C636F" w:rsidRDefault="001C636F" w:rsidP="001C636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</w:p>
    <w:p w:rsidR="001C636F" w:rsidRPr="001C636F" w:rsidRDefault="001C636F" w:rsidP="001C636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  <w:r w:rsidRPr="001C636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El inmueble antes mencionado se identifica en área vial de terreno de la Calzada Xochimilco, de la colonia “Carolinas” de esa ciudad, con una superficie de 72.74 M2., y cuenta con las siguientes medidas y colindancias:</w:t>
      </w:r>
    </w:p>
    <w:p w:rsidR="001C636F" w:rsidRPr="001C636F" w:rsidRDefault="001C636F" w:rsidP="001C636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</w:p>
    <w:p w:rsidR="001C636F" w:rsidRPr="001C636F" w:rsidRDefault="001C636F" w:rsidP="001C636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  <w:r w:rsidRPr="001C636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Al Noreste:</w:t>
      </w:r>
      <w:r w:rsidRPr="001C636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ab/>
        <w:t>mide 13.52 metros y colinda con Lote 23, Manzana “H” SMZ.XI</w:t>
      </w:r>
    </w:p>
    <w:p w:rsidR="001C636F" w:rsidRDefault="001C636F" w:rsidP="001C636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</w:p>
    <w:p w:rsidR="001C636F" w:rsidRPr="001C636F" w:rsidRDefault="001C636F" w:rsidP="001C636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  <w:r w:rsidRPr="001C636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Al Suroeste:</w:t>
      </w:r>
      <w:r w:rsidRPr="001C636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ab/>
        <w:t>mide 13.52 metros y colinda con Calzada Xochimilco.</w:t>
      </w:r>
    </w:p>
    <w:p w:rsidR="001C636F" w:rsidRDefault="001C636F" w:rsidP="001C636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</w:p>
    <w:p w:rsidR="001C636F" w:rsidRPr="001C636F" w:rsidRDefault="001C636F" w:rsidP="001C636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  <w:r w:rsidRPr="001C636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Al Sureste:</w:t>
      </w:r>
      <w:r w:rsidRPr="001C636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ab/>
        <w:t>mide 5.38 metros y colinda con Calle Aztecas.</w:t>
      </w:r>
    </w:p>
    <w:p w:rsidR="001C636F" w:rsidRDefault="001C636F" w:rsidP="001C636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</w:p>
    <w:p w:rsidR="001C636F" w:rsidRPr="001C636F" w:rsidRDefault="001C636F" w:rsidP="001C636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  <w:r w:rsidRPr="001C636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Al Noroeste:</w:t>
      </w:r>
      <w:r w:rsidRPr="001C636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ab/>
        <w:t>mide 5.38 metros y colinda con Área vial de la Calzada Xochimilco.</w:t>
      </w:r>
    </w:p>
    <w:p w:rsidR="001C636F" w:rsidRPr="001C636F" w:rsidRDefault="001C636F" w:rsidP="001C636F">
      <w:pPr>
        <w:autoSpaceDE w:val="0"/>
        <w:autoSpaceDN w:val="0"/>
        <w:adjustRightInd w:val="0"/>
        <w:spacing w:after="0" w:line="276" w:lineRule="auto"/>
        <w:ind w:left="2124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</w:p>
    <w:p w:rsidR="001C636F" w:rsidRPr="001C636F" w:rsidRDefault="001C636F" w:rsidP="001C636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  <w:r w:rsidRPr="001C636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La fracción del área descrita es propiedad del R. Ayuntamiento de Torreón, Coahuila de Zaragoza, de conformidad con lo establecido en los Artículos 21, 22 y 23 del Reglamento de Construcciones para el Estado de Coahuila.</w:t>
      </w:r>
    </w:p>
    <w:p w:rsidR="001C636F" w:rsidRDefault="001C636F" w:rsidP="001C636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</w:p>
    <w:p w:rsidR="001C636F" w:rsidRDefault="001C636F" w:rsidP="001C636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</w:p>
    <w:p w:rsidR="001C636F" w:rsidRPr="001C636F" w:rsidRDefault="001C636F" w:rsidP="001C636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</w:p>
    <w:p w:rsidR="001C636F" w:rsidRDefault="001C636F" w:rsidP="001C636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es-MX"/>
        </w:rPr>
      </w:pPr>
    </w:p>
    <w:p w:rsidR="001C636F" w:rsidRDefault="001C636F" w:rsidP="001C636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es-MX"/>
        </w:rPr>
      </w:pPr>
    </w:p>
    <w:p w:rsidR="001C636F" w:rsidRPr="001C636F" w:rsidRDefault="001C636F" w:rsidP="001C636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  <w:r w:rsidRPr="001C636F">
        <w:rPr>
          <w:rFonts w:ascii="Arial" w:eastAsia="Times New Roman" w:hAnsi="Arial" w:cs="Arial"/>
          <w:b/>
          <w:color w:val="000000"/>
          <w:sz w:val="25"/>
          <w:szCs w:val="25"/>
          <w:lang w:eastAsia="es-MX"/>
        </w:rPr>
        <w:t>ARTÍCULO SEGUNDO</w:t>
      </w:r>
      <w:r w:rsidR="00CC7651">
        <w:rPr>
          <w:rFonts w:ascii="Arial" w:eastAsia="Times New Roman" w:hAnsi="Arial" w:cs="Arial"/>
          <w:b/>
          <w:color w:val="000000"/>
          <w:sz w:val="25"/>
          <w:szCs w:val="25"/>
          <w:lang w:eastAsia="es-MX"/>
        </w:rPr>
        <w:t xml:space="preserve">.- </w:t>
      </w:r>
      <w:r w:rsidRPr="001C636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La autorización de esta operación es con objeto de llevar a cabo la regularización de la tenencia de la tierra y otorgar certidumbre jurídica del predio. En caso de darle un uso distinto al estipulado, por ese solo hecho se rescindirá el contrato y se revertirá el predio junto con sus accesorios al patrimonio municipal, sin ninguna responsabilidad a cargo del R. Ayuntamiento de indemnizar al solicitante.</w:t>
      </w:r>
    </w:p>
    <w:p w:rsidR="001C636F" w:rsidRPr="001C636F" w:rsidRDefault="001C636F" w:rsidP="001C636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es-MX"/>
        </w:rPr>
      </w:pPr>
    </w:p>
    <w:p w:rsidR="001C636F" w:rsidRPr="001C636F" w:rsidRDefault="001C636F" w:rsidP="001C636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es-MX"/>
        </w:rPr>
      </w:pPr>
      <w:r w:rsidRPr="001C636F">
        <w:rPr>
          <w:rFonts w:ascii="Arial" w:eastAsia="Times New Roman" w:hAnsi="Arial" w:cs="Arial"/>
          <w:b/>
          <w:color w:val="000000"/>
          <w:sz w:val="25"/>
          <w:szCs w:val="25"/>
          <w:lang w:eastAsia="es-MX"/>
        </w:rPr>
        <w:t>ARTÍCULO TERCERO.</w:t>
      </w:r>
      <w:r>
        <w:rPr>
          <w:rFonts w:ascii="Arial" w:eastAsia="Times New Roman" w:hAnsi="Arial" w:cs="Arial"/>
          <w:b/>
          <w:color w:val="000000"/>
          <w:sz w:val="25"/>
          <w:szCs w:val="25"/>
          <w:lang w:eastAsia="es-MX"/>
        </w:rPr>
        <w:t>-</w:t>
      </w:r>
      <w:r w:rsidRPr="001C636F">
        <w:rPr>
          <w:rFonts w:ascii="Arial" w:eastAsia="Times New Roman" w:hAnsi="Arial" w:cs="Arial"/>
          <w:b/>
          <w:color w:val="000000"/>
          <w:sz w:val="25"/>
          <w:szCs w:val="25"/>
          <w:lang w:eastAsia="es-MX"/>
        </w:rPr>
        <w:t xml:space="preserve"> </w:t>
      </w:r>
      <w:r w:rsidRPr="001C636F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El Ayuntamiento del Municipio de Torreón, por conducto de su Presidente Municipal o de su Representante legal acreditado, deberá formalizar la operación que se autoriza y proceder a la escrituración correspondiente.</w:t>
      </w:r>
    </w:p>
    <w:p w:rsidR="001C636F" w:rsidRPr="001C636F" w:rsidRDefault="001C636F" w:rsidP="001C636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</w:p>
    <w:p w:rsidR="001C636F" w:rsidRPr="001C636F" w:rsidRDefault="001C636F" w:rsidP="001C636F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1C636F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ARTÍCULO CUARTO.</w:t>
      </w:r>
      <w:r>
        <w:rPr>
          <w:rFonts w:ascii="Arial" w:eastAsia="Times New Roman" w:hAnsi="Arial" w:cs="Arial"/>
          <w:b/>
          <w:bCs/>
          <w:sz w:val="25"/>
          <w:szCs w:val="25"/>
          <w:lang w:eastAsia="es-ES"/>
        </w:rPr>
        <w:t>-</w:t>
      </w:r>
      <w:r w:rsidRPr="001C636F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 </w:t>
      </w:r>
      <w:r w:rsidRPr="001C636F">
        <w:rPr>
          <w:rFonts w:ascii="Arial" w:eastAsia="Times New Roman" w:hAnsi="Arial" w:cs="Arial"/>
          <w:sz w:val="25"/>
          <w:szCs w:val="25"/>
          <w:lang w:eastAsia="es-ES"/>
        </w:rPr>
        <w:t>En el supuesto de que no se formalice la enajenación que se autoriza, al término de la Administración Municipal actual (2019-2021), se requerirá de una nueva autorización legislativa para ampliar el plazo, a fin de que se pueda continuar o concluir la formalización de las operaciones realizadas con la enajenación del inmueble a que se refiere el artículo primero de este Decreto.</w:t>
      </w:r>
    </w:p>
    <w:p w:rsidR="001C636F" w:rsidRPr="001C636F" w:rsidRDefault="001C636F" w:rsidP="001C636F">
      <w:pPr>
        <w:spacing w:after="0" w:line="276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</w:p>
    <w:p w:rsidR="001C636F" w:rsidRPr="001C636F" w:rsidRDefault="001C636F" w:rsidP="001C636F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1C636F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ARTÍCULO QUINTO.</w:t>
      </w:r>
      <w:r w:rsidR="00CC7651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-</w:t>
      </w:r>
      <w:r w:rsidRPr="001C636F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 </w:t>
      </w:r>
      <w:r w:rsidRPr="001C636F">
        <w:rPr>
          <w:rFonts w:ascii="Arial" w:eastAsia="Times New Roman" w:hAnsi="Arial" w:cs="Arial"/>
          <w:sz w:val="25"/>
          <w:szCs w:val="25"/>
          <w:lang w:eastAsia="es-ES"/>
        </w:rPr>
        <w:t>Los gastos de escrituración y registro que se originen de la operación que mediante este decreto se valida, serán por cuenta del beneficiario.</w:t>
      </w:r>
    </w:p>
    <w:p w:rsidR="001C636F" w:rsidRPr="001C636F" w:rsidRDefault="001C636F" w:rsidP="001C636F">
      <w:pPr>
        <w:spacing w:after="0" w:line="276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</w:p>
    <w:p w:rsidR="001C636F" w:rsidRPr="001C636F" w:rsidRDefault="001C636F" w:rsidP="001C636F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1C636F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ARTÍCULO SEXTO.</w:t>
      </w:r>
      <w:r w:rsidR="00CC7651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-</w:t>
      </w:r>
      <w:r w:rsidRPr="001C636F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 </w:t>
      </w:r>
      <w:r w:rsidRPr="001C636F">
        <w:rPr>
          <w:rFonts w:ascii="Arial" w:eastAsia="Times New Roman" w:hAnsi="Arial" w:cs="Arial"/>
          <w:sz w:val="25"/>
          <w:szCs w:val="25"/>
          <w:lang w:eastAsia="es-ES"/>
        </w:rPr>
        <w:t>El presente decreto deberá insertarse en la escritura correspondiente.</w:t>
      </w:r>
    </w:p>
    <w:p w:rsidR="001C636F" w:rsidRPr="001C636F" w:rsidRDefault="001C636F" w:rsidP="001C636F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C636F" w:rsidRDefault="001C636F" w:rsidP="001C636F">
      <w:pPr>
        <w:spacing w:after="0" w:line="240" w:lineRule="auto"/>
        <w:jc w:val="both"/>
        <w:rPr>
          <w:rFonts w:ascii="Arial" w:eastAsia="Times New Roman" w:hAnsi="Arial" w:cs="Times New Roman"/>
          <w:sz w:val="25"/>
          <w:szCs w:val="25"/>
          <w:lang w:val="es-ES" w:eastAsia="es-ES"/>
        </w:rPr>
      </w:pPr>
    </w:p>
    <w:p w:rsidR="001C636F" w:rsidRPr="001C636F" w:rsidRDefault="001C636F" w:rsidP="001C636F">
      <w:pPr>
        <w:spacing w:after="0" w:line="240" w:lineRule="auto"/>
        <w:jc w:val="both"/>
        <w:rPr>
          <w:rFonts w:ascii="Arial" w:eastAsia="Times New Roman" w:hAnsi="Arial" w:cs="Times New Roman"/>
          <w:sz w:val="25"/>
          <w:szCs w:val="25"/>
          <w:lang w:val="es-ES" w:eastAsia="es-ES"/>
        </w:rPr>
      </w:pPr>
    </w:p>
    <w:p w:rsidR="001C636F" w:rsidRPr="00524C8F" w:rsidRDefault="001C636F" w:rsidP="001C636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5"/>
          <w:szCs w:val="25"/>
          <w:lang w:val="en-US" w:eastAsia="es-ES"/>
        </w:rPr>
      </w:pPr>
      <w:r w:rsidRPr="00524C8F">
        <w:rPr>
          <w:rFonts w:ascii="Arial" w:eastAsia="Times New Roman" w:hAnsi="Arial" w:cs="Arial"/>
          <w:b/>
          <w:sz w:val="25"/>
          <w:szCs w:val="25"/>
          <w:lang w:val="en-US" w:eastAsia="es-ES"/>
        </w:rPr>
        <w:t xml:space="preserve">T R </w:t>
      </w:r>
      <w:proofErr w:type="gramStart"/>
      <w:r w:rsidRPr="00524C8F">
        <w:rPr>
          <w:rFonts w:ascii="Arial" w:eastAsia="Times New Roman" w:hAnsi="Arial" w:cs="Arial"/>
          <w:b/>
          <w:sz w:val="25"/>
          <w:szCs w:val="25"/>
          <w:lang w:val="en-US" w:eastAsia="es-ES"/>
        </w:rPr>
        <w:t>A</w:t>
      </w:r>
      <w:proofErr w:type="gramEnd"/>
      <w:r w:rsidRPr="00524C8F">
        <w:rPr>
          <w:rFonts w:ascii="Arial" w:eastAsia="Times New Roman" w:hAnsi="Arial" w:cs="Arial"/>
          <w:b/>
          <w:sz w:val="25"/>
          <w:szCs w:val="25"/>
          <w:lang w:val="en-US" w:eastAsia="es-ES"/>
        </w:rPr>
        <w:t xml:space="preserve"> N S I T O R I O S</w:t>
      </w:r>
    </w:p>
    <w:p w:rsidR="001C636F" w:rsidRPr="00524C8F" w:rsidRDefault="001C636F" w:rsidP="001C636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en-US" w:eastAsia="es-ES"/>
        </w:rPr>
      </w:pPr>
    </w:p>
    <w:p w:rsidR="001C636F" w:rsidRPr="00524C8F" w:rsidRDefault="001C636F" w:rsidP="001C636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en-US" w:eastAsia="es-ES"/>
        </w:rPr>
      </w:pPr>
    </w:p>
    <w:p w:rsidR="001C636F" w:rsidRPr="00524C8F" w:rsidRDefault="001C636F" w:rsidP="001C636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en-US" w:eastAsia="es-ES"/>
        </w:rPr>
      </w:pPr>
    </w:p>
    <w:p w:rsidR="001C636F" w:rsidRPr="001C636F" w:rsidRDefault="001C636F" w:rsidP="001C636F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1C636F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ARTÍCULO </w:t>
      </w:r>
      <w:proofErr w:type="gramStart"/>
      <w:r w:rsidRPr="001C636F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PRIMERO.</w:t>
      </w:r>
      <w:r w:rsidR="00CC7651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-</w:t>
      </w:r>
      <w:proofErr w:type="gramEnd"/>
      <w:r w:rsidRPr="001C636F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 </w:t>
      </w:r>
      <w:r w:rsidRPr="001C636F">
        <w:rPr>
          <w:rFonts w:ascii="Arial" w:eastAsia="Times New Roman" w:hAnsi="Arial" w:cs="Arial"/>
          <w:sz w:val="25"/>
          <w:szCs w:val="25"/>
          <w:lang w:eastAsia="es-ES"/>
        </w:rPr>
        <w:t xml:space="preserve">El presente decreto entrará en vigor a partir del día siguiente de su publicación en el Periódico Oficial del Gobierno del Estado. </w:t>
      </w:r>
    </w:p>
    <w:p w:rsidR="001C636F" w:rsidRPr="001C636F" w:rsidRDefault="001C636F" w:rsidP="001C636F">
      <w:pPr>
        <w:spacing w:after="0" w:line="276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</w:p>
    <w:p w:rsidR="001C636F" w:rsidRPr="001C636F" w:rsidRDefault="001C636F" w:rsidP="001C636F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1C636F">
        <w:rPr>
          <w:rFonts w:ascii="Arial" w:eastAsia="Times New Roman" w:hAnsi="Arial" w:cs="Arial"/>
          <w:b/>
          <w:sz w:val="25"/>
          <w:szCs w:val="25"/>
          <w:lang w:eastAsia="es-ES"/>
        </w:rPr>
        <w:t>ARTÍCULO SEGUNDO.</w:t>
      </w:r>
      <w:r w:rsidR="00CC7651">
        <w:rPr>
          <w:rFonts w:ascii="Arial" w:eastAsia="Times New Roman" w:hAnsi="Arial" w:cs="Arial"/>
          <w:b/>
          <w:sz w:val="25"/>
          <w:szCs w:val="25"/>
          <w:lang w:eastAsia="es-ES"/>
        </w:rPr>
        <w:t>-</w:t>
      </w:r>
      <w:r w:rsidRPr="001C636F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</w:t>
      </w:r>
      <w:r w:rsidRPr="001C636F">
        <w:rPr>
          <w:rFonts w:ascii="Arial" w:eastAsia="Times New Roman" w:hAnsi="Arial" w:cs="Arial"/>
          <w:sz w:val="25"/>
          <w:szCs w:val="25"/>
          <w:lang w:eastAsia="es-ES"/>
        </w:rPr>
        <w:t>Publíquese en el Periódico Oficial del Gobierno del Estado.</w:t>
      </w:r>
    </w:p>
    <w:p w:rsidR="001C636F" w:rsidRPr="001C636F" w:rsidRDefault="001C636F" w:rsidP="001C636F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C636F" w:rsidRDefault="001C636F" w:rsidP="001C636F">
      <w:pPr>
        <w:spacing w:after="0" w:line="240" w:lineRule="auto"/>
        <w:ind w:right="-518"/>
        <w:rPr>
          <w:rFonts w:ascii="Calibri" w:eastAsia="Calibri" w:hAnsi="Calibri" w:cs="Times New Roman"/>
          <w:sz w:val="25"/>
          <w:szCs w:val="25"/>
        </w:rPr>
      </w:pPr>
    </w:p>
    <w:p w:rsidR="001C636F" w:rsidRDefault="001C636F" w:rsidP="001C636F">
      <w:pPr>
        <w:spacing w:after="0" w:line="240" w:lineRule="auto"/>
        <w:ind w:right="-518"/>
        <w:rPr>
          <w:rFonts w:ascii="Calibri" w:eastAsia="Calibri" w:hAnsi="Calibri" w:cs="Times New Roman"/>
          <w:sz w:val="25"/>
          <w:szCs w:val="25"/>
        </w:rPr>
      </w:pPr>
    </w:p>
    <w:p w:rsidR="001C636F" w:rsidRDefault="001C636F" w:rsidP="001C636F">
      <w:pPr>
        <w:spacing w:after="0" w:line="240" w:lineRule="auto"/>
        <w:ind w:right="-518"/>
        <w:rPr>
          <w:rFonts w:ascii="Calibri" w:eastAsia="Calibri" w:hAnsi="Calibri" w:cs="Times New Roman"/>
          <w:sz w:val="25"/>
          <w:szCs w:val="25"/>
        </w:rPr>
      </w:pPr>
    </w:p>
    <w:p w:rsidR="001C636F" w:rsidRPr="00E41032" w:rsidRDefault="001C636F" w:rsidP="001C636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4103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veintitrés días del mes de septiembre del año dos mil veinte.</w:t>
      </w:r>
    </w:p>
    <w:p w:rsidR="001C636F" w:rsidRPr="00E41032" w:rsidRDefault="001C636F" w:rsidP="001C63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E41032" w:rsidRDefault="001C636F" w:rsidP="001C63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E41032" w:rsidRDefault="001C636F" w:rsidP="001C63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E41032" w:rsidRDefault="001C636F" w:rsidP="001C636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4103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1C636F" w:rsidRPr="00E41032" w:rsidRDefault="001C636F" w:rsidP="001C636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E41032" w:rsidRDefault="001C636F" w:rsidP="001C63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E41032" w:rsidRDefault="001C636F" w:rsidP="001C63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E41032" w:rsidRDefault="001C636F" w:rsidP="001C636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E41032" w:rsidRDefault="001C636F" w:rsidP="001C636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E41032" w:rsidRDefault="001C636F" w:rsidP="001C636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4103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1C636F" w:rsidRPr="00E41032" w:rsidRDefault="001C636F" w:rsidP="001C63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E41032" w:rsidRDefault="001C636F" w:rsidP="001C63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E41032" w:rsidRDefault="001C636F" w:rsidP="001C63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E41032" w:rsidRDefault="001C636F" w:rsidP="001C63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E41032" w:rsidRDefault="001C636F" w:rsidP="001C63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4103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</w:t>
      </w:r>
      <w:r w:rsidRPr="001C636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  <w:r w:rsidRPr="00E4103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DIPUTADA SECRETARIA                              DIPUTADA SECRETARIA </w:t>
      </w:r>
    </w:p>
    <w:p w:rsidR="001C636F" w:rsidRPr="00E41032" w:rsidRDefault="001C636F" w:rsidP="001C63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E41032" w:rsidRDefault="001C636F" w:rsidP="001C63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E41032" w:rsidRDefault="001C636F" w:rsidP="001C63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E41032" w:rsidRDefault="001C636F" w:rsidP="001C63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C636F" w:rsidRPr="00E41032" w:rsidRDefault="001C636F" w:rsidP="001C63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E4103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</w:p>
    <w:p w:rsidR="001C636F" w:rsidRPr="00E41032" w:rsidRDefault="001C636F" w:rsidP="001C636F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E4103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VERÓNICA BOREQUE MARTÍNEZ GONZÁLEZ      DIANA PATRICIA GONZÁLEZ SOTO</w:t>
      </w:r>
    </w:p>
    <w:p w:rsidR="001C636F" w:rsidRPr="00E41032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C636F" w:rsidRPr="00E41032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C636F" w:rsidRPr="00E41032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C636F" w:rsidRPr="001C636F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C636F" w:rsidRPr="001C636F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C636F" w:rsidRPr="001C636F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C636F" w:rsidRPr="001C636F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C636F" w:rsidRPr="001C636F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C636F" w:rsidRPr="001C636F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C636F" w:rsidRPr="001C636F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C636F" w:rsidRPr="001C636F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C636F" w:rsidRPr="001C636F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C636F" w:rsidRPr="001C636F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C636F" w:rsidRPr="001C636F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C636F" w:rsidRPr="001C636F" w:rsidRDefault="001C636F" w:rsidP="001C636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C636F" w:rsidRPr="001C636F" w:rsidRDefault="001C636F" w:rsidP="001C636F">
      <w:pPr>
        <w:rPr>
          <w:rFonts w:ascii="Arial" w:hAnsi="Arial" w:cs="Arial"/>
          <w:sz w:val="25"/>
          <w:szCs w:val="25"/>
        </w:rPr>
      </w:pPr>
    </w:p>
    <w:p w:rsidR="001C636F" w:rsidRPr="001C636F" w:rsidRDefault="001C636F" w:rsidP="001C636F">
      <w:pPr>
        <w:rPr>
          <w:rFonts w:ascii="Arial" w:hAnsi="Arial" w:cs="Arial"/>
          <w:sz w:val="25"/>
          <w:szCs w:val="25"/>
        </w:rPr>
      </w:pPr>
    </w:p>
    <w:p w:rsidR="001C636F" w:rsidRPr="001C636F" w:rsidRDefault="001C636F" w:rsidP="001C636F">
      <w:pPr>
        <w:rPr>
          <w:rFonts w:ascii="Arial" w:hAnsi="Arial" w:cs="Arial"/>
          <w:sz w:val="25"/>
          <w:szCs w:val="25"/>
        </w:rPr>
      </w:pPr>
    </w:p>
    <w:p w:rsidR="001C636F" w:rsidRPr="001C636F" w:rsidRDefault="001C636F" w:rsidP="001C636F">
      <w:pPr>
        <w:rPr>
          <w:rFonts w:ascii="Arial" w:hAnsi="Arial" w:cs="Arial"/>
          <w:sz w:val="25"/>
          <w:szCs w:val="25"/>
        </w:rPr>
      </w:pPr>
    </w:p>
    <w:p w:rsidR="001C636F" w:rsidRPr="001C636F" w:rsidRDefault="001C636F" w:rsidP="001C636F">
      <w:pPr>
        <w:rPr>
          <w:rFonts w:ascii="Arial" w:hAnsi="Arial" w:cs="Arial"/>
          <w:sz w:val="25"/>
          <w:szCs w:val="25"/>
        </w:rPr>
      </w:pPr>
    </w:p>
    <w:p w:rsidR="001C636F" w:rsidRPr="001C636F" w:rsidRDefault="001C636F" w:rsidP="001C636F">
      <w:pPr>
        <w:rPr>
          <w:rFonts w:ascii="Arial" w:hAnsi="Arial" w:cs="Arial"/>
          <w:sz w:val="25"/>
          <w:szCs w:val="25"/>
        </w:rPr>
      </w:pPr>
    </w:p>
    <w:p w:rsidR="001C636F" w:rsidRPr="001C636F" w:rsidRDefault="001C636F" w:rsidP="001C636F">
      <w:pPr>
        <w:rPr>
          <w:rFonts w:ascii="Arial" w:hAnsi="Arial" w:cs="Arial"/>
          <w:sz w:val="25"/>
          <w:szCs w:val="25"/>
        </w:rPr>
      </w:pPr>
    </w:p>
    <w:p w:rsidR="001C636F" w:rsidRPr="001C636F" w:rsidRDefault="001C636F" w:rsidP="001C636F">
      <w:pPr>
        <w:rPr>
          <w:rFonts w:ascii="Arial" w:hAnsi="Arial" w:cs="Arial"/>
          <w:sz w:val="25"/>
          <w:szCs w:val="25"/>
        </w:rPr>
      </w:pPr>
    </w:p>
    <w:p w:rsidR="001C636F" w:rsidRPr="001C636F" w:rsidRDefault="001C636F" w:rsidP="001C636F">
      <w:pPr>
        <w:rPr>
          <w:rFonts w:ascii="Arial" w:hAnsi="Arial" w:cs="Arial"/>
          <w:sz w:val="25"/>
          <w:szCs w:val="25"/>
        </w:rPr>
      </w:pPr>
    </w:p>
    <w:p w:rsidR="001C636F" w:rsidRPr="001C636F" w:rsidRDefault="001C636F" w:rsidP="001C636F">
      <w:pPr>
        <w:rPr>
          <w:rFonts w:ascii="Arial" w:hAnsi="Arial" w:cs="Arial"/>
          <w:sz w:val="25"/>
          <w:szCs w:val="25"/>
        </w:rPr>
      </w:pPr>
    </w:p>
    <w:p w:rsidR="001C636F" w:rsidRPr="001C636F" w:rsidRDefault="001C636F" w:rsidP="001C636F">
      <w:pPr>
        <w:rPr>
          <w:rFonts w:ascii="Arial" w:hAnsi="Arial" w:cs="Arial"/>
          <w:sz w:val="25"/>
          <w:szCs w:val="25"/>
        </w:rPr>
      </w:pPr>
    </w:p>
    <w:p w:rsidR="001C636F" w:rsidRPr="001C636F" w:rsidRDefault="001C636F" w:rsidP="001C636F">
      <w:pPr>
        <w:rPr>
          <w:rFonts w:ascii="Arial" w:hAnsi="Arial" w:cs="Arial"/>
          <w:sz w:val="25"/>
          <w:szCs w:val="25"/>
        </w:rPr>
      </w:pPr>
    </w:p>
    <w:p w:rsidR="001C636F" w:rsidRPr="001C636F" w:rsidRDefault="001C636F" w:rsidP="001C636F">
      <w:pPr>
        <w:rPr>
          <w:sz w:val="25"/>
          <w:szCs w:val="25"/>
        </w:rPr>
      </w:pPr>
    </w:p>
    <w:p w:rsidR="001C636F" w:rsidRPr="001C636F" w:rsidRDefault="001C636F" w:rsidP="001C636F">
      <w:pPr>
        <w:rPr>
          <w:sz w:val="25"/>
          <w:szCs w:val="25"/>
        </w:rPr>
      </w:pPr>
    </w:p>
    <w:p w:rsidR="001C636F" w:rsidRPr="001C636F" w:rsidRDefault="001C636F" w:rsidP="001C636F">
      <w:pPr>
        <w:rPr>
          <w:sz w:val="25"/>
          <w:szCs w:val="25"/>
        </w:rPr>
      </w:pPr>
    </w:p>
    <w:p w:rsidR="001C636F" w:rsidRPr="001C636F" w:rsidRDefault="001C636F" w:rsidP="001C636F">
      <w:pPr>
        <w:rPr>
          <w:sz w:val="25"/>
          <w:szCs w:val="25"/>
        </w:rPr>
      </w:pPr>
    </w:p>
    <w:p w:rsidR="001C636F" w:rsidRPr="001C636F" w:rsidRDefault="001C636F" w:rsidP="001C636F">
      <w:pPr>
        <w:rPr>
          <w:sz w:val="25"/>
          <w:szCs w:val="25"/>
        </w:rPr>
      </w:pPr>
    </w:p>
    <w:p w:rsidR="00245157" w:rsidRPr="001C636F" w:rsidRDefault="00886274">
      <w:pPr>
        <w:rPr>
          <w:sz w:val="25"/>
          <w:szCs w:val="25"/>
        </w:rPr>
      </w:pPr>
    </w:p>
    <w:sectPr w:rsidR="00245157" w:rsidRPr="001C636F" w:rsidSect="00F4338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74" w:rsidRDefault="00886274" w:rsidP="00524C8F">
      <w:pPr>
        <w:spacing w:after="0" w:line="240" w:lineRule="auto"/>
      </w:pPr>
      <w:r>
        <w:separator/>
      </w:r>
    </w:p>
  </w:endnote>
  <w:endnote w:type="continuationSeparator" w:id="0">
    <w:p w:rsidR="00886274" w:rsidRDefault="00886274" w:rsidP="0052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74" w:rsidRDefault="00886274" w:rsidP="00524C8F">
      <w:pPr>
        <w:spacing w:after="0" w:line="240" w:lineRule="auto"/>
      </w:pPr>
      <w:r>
        <w:separator/>
      </w:r>
    </w:p>
  </w:footnote>
  <w:footnote w:type="continuationSeparator" w:id="0">
    <w:p w:rsidR="00886274" w:rsidRDefault="00886274" w:rsidP="0052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24C8F" w:rsidRPr="00524C8F" w:rsidTr="00072024">
      <w:trPr>
        <w:jc w:val="center"/>
      </w:trPr>
      <w:tc>
        <w:tcPr>
          <w:tcW w:w="1541" w:type="dxa"/>
        </w:tcPr>
        <w:p w:rsidR="00524C8F" w:rsidRPr="00524C8F" w:rsidRDefault="00524C8F" w:rsidP="00524C8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24C8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89D79E6" wp14:editId="2C5A5395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24C8F" w:rsidRPr="00524C8F" w:rsidRDefault="00524C8F" w:rsidP="00524C8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24C8F" w:rsidRPr="00524C8F" w:rsidRDefault="00524C8F" w:rsidP="00524C8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524C8F" w:rsidRPr="00524C8F" w:rsidRDefault="00524C8F" w:rsidP="00524C8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524C8F" w:rsidRPr="00524C8F" w:rsidRDefault="00524C8F" w:rsidP="00524C8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24C8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524C8F" w:rsidRPr="00524C8F" w:rsidRDefault="00524C8F" w:rsidP="00524C8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24C8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524C8F" w:rsidRPr="00524C8F" w:rsidRDefault="00524C8F" w:rsidP="00524C8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524C8F" w:rsidRPr="00524C8F" w:rsidRDefault="00524C8F" w:rsidP="00524C8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24C8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524C8F" w:rsidRPr="00524C8F" w:rsidRDefault="00524C8F" w:rsidP="00524C8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524C8F" w:rsidRPr="00524C8F" w:rsidRDefault="00524C8F" w:rsidP="00524C8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24C8F" w:rsidRPr="00524C8F" w:rsidRDefault="00524C8F" w:rsidP="00524C8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24C8F" w:rsidRPr="00524C8F" w:rsidRDefault="00524C8F" w:rsidP="00524C8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524C8F" w:rsidRPr="00524C8F" w:rsidRDefault="00524C8F" w:rsidP="00524C8F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  <w:r w:rsidRPr="00524C8F">
      <w:rPr>
        <w:rFonts w:ascii="Times New Roman" w:eastAsia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20454B9B" wp14:editId="1D722FEF">
          <wp:simplePos x="0" y="0"/>
          <wp:positionH relativeFrom="column">
            <wp:posOffset>5875020</wp:posOffset>
          </wp:positionH>
          <wp:positionV relativeFrom="paragraph">
            <wp:posOffset>-1292860</wp:posOffset>
          </wp:positionV>
          <wp:extent cx="463696" cy="126545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96" cy="1265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4C8F" w:rsidRDefault="00524C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6F"/>
    <w:rsid w:val="000653EC"/>
    <w:rsid w:val="001C636F"/>
    <w:rsid w:val="00251C26"/>
    <w:rsid w:val="004562E7"/>
    <w:rsid w:val="00524C8F"/>
    <w:rsid w:val="006B0BFE"/>
    <w:rsid w:val="00886274"/>
    <w:rsid w:val="00C35E0D"/>
    <w:rsid w:val="00C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CC8B2-5CCC-4149-9B82-7E380742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C8F"/>
  </w:style>
  <w:style w:type="paragraph" w:styleId="Piedepgina">
    <w:name w:val="footer"/>
    <w:basedOn w:val="Normal"/>
    <w:link w:val="PiedepginaCar"/>
    <w:uiPriority w:val="99"/>
    <w:unhideWhenUsed/>
    <w:rsid w:val="00524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2020-09-24T19:46:00Z</dcterms:created>
  <dcterms:modified xsi:type="dcterms:W3CDTF">2020-09-24T19:46:00Z</dcterms:modified>
</cp:coreProperties>
</file>