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AD" w:rsidRDefault="00440EAD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0EAD" w:rsidRDefault="00440EAD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0EAD" w:rsidRDefault="00440EAD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C5F8F" w:rsidRDefault="000C5F8F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0EAD" w:rsidRDefault="00440EAD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EB6" w:rsidRPr="00440EAD" w:rsidRDefault="009F4EB6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40E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F4EB6" w:rsidRPr="00440EAD" w:rsidRDefault="009F4EB6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EB6" w:rsidRPr="00440EAD" w:rsidRDefault="009F4EB6" w:rsidP="009F4E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EB6" w:rsidRPr="00440EAD" w:rsidRDefault="009F4EB6" w:rsidP="009F4E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40E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F4EB6" w:rsidRPr="00440EAD" w:rsidRDefault="009F4EB6" w:rsidP="009F4E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EB6" w:rsidRPr="00440EAD" w:rsidRDefault="009F4EB6" w:rsidP="009F4E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40EA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746.- </w:t>
      </w:r>
    </w:p>
    <w:p w:rsidR="009F4EB6" w:rsidRDefault="009F4EB6" w:rsidP="009F4E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0EAD" w:rsidRPr="00440EAD" w:rsidRDefault="00440EAD" w:rsidP="00440EA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0EAD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440EAD">
        <w:rPr>
          <w:rFonts w:ascii="Arial" w:hAnsi="Arial" w:cs="Arial"/>
          <w:sz w:val="24"/>
          <w:szCs w:val="24"/>
        </w:rPr>
        <w:t xml:space="preserve"> Se </w:t>
      </w:r>
      <w:r w:rsidRPr="000C5F8F">
        <w:rPr>
          <w:rFonts w:ascii="Arial" w:hAnsi="Arial" w:cs="Arial"/>
          <w:b/>
          <w:sz w:val="24"/>
          <w:szCs w:val="24"/>
        </w:rPr>
        <w:t>reforma</w:t>
      </w:r>
      <w:r w:rsidRPr="00440EAD">
        <w:rPr>
          <w:rFonts w:ascii="Arial" w:hAnsi="Arial" w:cs="Arial"/>
          <w:sz w:val="24"/>
          <w:szCs w:val="24"/>
        </w:rPr>
        <w:t xml:space="preserve"> la fracción XXIII y se adiciona la fracción XXIV del Artículo 33 TER de la </w:t>
      </w:r>
      <w:r w:rsidRPr="000C5F8F">
        <w:rPr>
          <w:rFonts w:ascii="Arial" w:hAnsi="Arial" w:cs="Arial"/>
          <w:b/>
          <w:sz w:val="24"/>
          <w:szCs w:val="24"/>
        </w:rPr>
        <w:t>Ley Orgánica de la Administración Pública del Estado de Coahuila</w:t>
      </w:r>
      <w:r w:rsidRPr="00440EAD">
        <w:rPr>
          <w:rFonts w:ascii="Arial" w:hAnsi="Arial" w:cs="Arial"/>
          <w:sz w:val="24"/>
          <w:szCs w:val="24"/>
        </w:rPr>
        <w:t>, para quedar como sigue: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ARTÍCULO 33 TER. </w:t>
      </w:r>
      <w:r w:rsidRPr="00440EAD">
        <w:rPr>
          <w:rFonts w:ascii="Arial" w:hAnsi="Arial" w:cs="Arial"/>
          <w:sz w:val="24"/>
          <w:szCs w:val="24"/>
        </w:rPr>
        <w:t>A la Secretaría de Turismo y Desarrollo de Pueblos Mágicos, le corresponde el despacho de los siguientes asuntos: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>a la XXII. …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  </w:t>
      </w:r>
    </w:p>
    <w:p w:rsidR="00440EAD" w:rsidRPr="00440EAD" w:rsidRDefault="00440EAD" w:rsidP="00AB372E">
      <w:pPr>
        <w:spacing w:after="0" w:line="276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  XXIII. </w:t>
      </w:r>
      <w:r w:rsidRPr="00440EAD">
        <w:rPr>
          <w:rFonts w:ascii="Arial" w:hAnsi="Arial" w:cs="Arial"/>
          <w:b/>
          <w:sz w:val="24"/>
          <w:szCs w:val="24"/>
        </w:rPr>
        <w:tab/>
      </w:r>
      <w:r w:rsidRPr="00440EAD">
        <w:rPr>
          <w:rFonts w:ascii="Arial" w:hAnsi="Arial" w:cs="Arial"/>
          <w:sz w:val="24"/>
          <w:szCs w:val="24"/>
        </w:rPr>
        <w:t>Realizar convenios de coordinación y colaboración, con el objeto de regular la prestación de servicios de hospedaje que se ofrecen mediante plataformas digitales en el Estado.</w:t>
      </w:r>
    </w:p>
    <w:p w:rsidR="00440EAD" w:rsidRPr="00440EAD" w:rsidRDefault="00440EAD" w:rsidP="00AB372E">
      <w:pPr>
        <w:spacing w:after="0" w:line="276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  XXIV. </w:t>
      </w:r>
      <w:r w:rsidRPr="00440EAD">
        <w:rPr>
          <w:rFonts w:ascii="Arial" w:hAnsi="Arial" w:cs="Arial"/>
          <w:sz w:val="24"/>
          <w:szCs w:val="24"/>
        </w:rPr>
        <w:t>Las demás que le confieran expresamente esta ley, otras disposiciones aplicables y aquellas que le encomiende el Titular del Ejecutivo.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0EAD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440EAD">
        <w:rPr>
          <w:rFonts w:ascii="Arial" w:hAnsi="Arial" w:cs="Arial"/>
          <w:sz w:val="24"/>
          <w:szCs w:val="24"/>
        </w:rPr>
        <w:t xml:space="preserve"> Se </w:t>
      </w:r>
      <w:r w:rsidRPr="000C5F8F">
        <w:rPr>
          <w:rFonts w:ascii="Arial" w:hAnsi="Arial" w:cs="Arial"/>
          <w:b/>
          <w:sz w:val="24"/>
          <w:szCs w:val="24"/>
        </w:rPr>
        <w:t>reforman</w:t>
      </w:r>
      <w:r w:rsidRPr="00440EAD">
        <w:rPr>
          <w:rFonts w:ascii="Arial" w:hAnsi="Arial" w:cs="Arial"/>
          <w:sz w:val="24"/>
          <w:szCs w:val="24"/>
        </w:rPr>
        <w:t xml:space="preserve"> la fracción XXIII del Artículo 5 y el inciso a) de la fracción IX del Artículo 12 de la </w:t>
      </w:r>
      <w:r w:rsidRPr="000C5F8F">
        <w:rPr>
          <w:rFonts w:ascii="Arial" w:hAnsi="Arial" w:cs="Arial"/>
          <w:b/>
          <w:sz w:val="24"/>
          <w:szCs w:val="24"/>
        </w:rPr>
        <w:t>Ley de Protección Civil para el Estado de Coahuila</w:t>
      </w:r>
      <w:r w:rsidRPr="00440EAD">
        <w:rPr>
          <w:rFonts w:ascii="Arial" w:hAnsi="Arial" w:cs="Arial"/>
          <w:sz w:val="24"/>
          <w:szCs w:val="24"/>
        </w:rPr>
        <w:t>, para quedar como sigue:</w:t>
      </w: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40EAD">
        <w:rPr>
          <w:rFonts w:ascii="Arial" w:hAnsi="Arial" w:cs="Arial"/>
          <w:b/>
          <w:bCs/>
          <w:sz w:val="24"/>
          <w:szCs w:val="24"/>
        </w:rPr>
        <w:t>ARTÍCULO 5.- Para los efectos de esta ley se entiende por:</w:t>
      </w: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40EAD">
        <w:rPr>
          <w:rFonts w:ascii="Arial" w:hAnsi="Arial" w:cs="Arial"/>
          <w:b/>
          <w:bCs/>
          <w:sz w:val="24"/>
          <w:szCs w:val="24"/>
        </w:rPr>
        <w:t>I. a la XXII. …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AB372E" w:rsidRDefault="00AB372E" w:rsidP="00AB372E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440EAD">
        <w:rPr>
          <w:rFonts w:ascii="Arial" w:hAnsi="Arial" w:cs="Arial"/>
          <w:b/>
          <w:bCs/>
          <w:sz w:val="24"/>
          <w:szCs w:val="24"/>
        </w:rPr>
        <w:lastRenderedPageBreak/>
        <w:t xml:space="preserve">XXIII. </w:t>
      </w:r>
      <w:r w:rsidRPr="00440EAD">
        <w:rPr>
          <w:rFonts w:ascii="Arial" w:hAnsi="Arial" w:cs="Arial"/>
          <w:b/>
          <w:bCs/>
          <w:sz w:val="24"/>
          <w:szCs w:val="24"/>
        </w:rPr>
        <w:tab/>
      </w:r>
      <w:r w:rsidRPr="00440EAD">
        <w:rPr>
          <w:rFonts w:ascii="Arial" w:hAnsi="Arial" w:cs="Arial"/>
          <w:bCs/>
          <w:sz w:val="24"/>
          <w:szCs w:val="24"/>
        </w:rPr>
        <w:t xml:space="preserve">Establecimientos. A los centros educativos y de investigación, estancias, guarderías, fábricas, empresas, </w:t>
      </w:r>
      <w:r w:rsidRPr="000C5F8F">
        <w:rPr>
          <w:rFonts w:ascii="Arial" w:hAnsi="Arial" w:cs="Arial"/>
          <w:bCs/>
          <w:sz w:val="24"/>
          <w:szCs w:val="24"/>
        </w:rPr>
        <w:t>comercios, restaurantes, bares, cantinas, discotecas, almacenes, hoteles, moteles, lugares que ofrecen hospedaje vía plataforma digital, circos, centros de espectáculos, centros de</w:t>
      </w:r>
      <w:r w:rsidRPr="00440EAD">
        <w:rPr>
          <w:rFonts w:ascii="Arial" w:hAnsi="Arial" w:cs="Arial"/>
          <w:bCs/>
          <w:sz w:val="24"/>
          <w:szCs w:val="24"/>
        </w:rPr>
        <w:t xml:space="preserve"> salud públicos y privados, oficinas públicas y privadas, teatros, estadios, centros recreativos, salones de fiestas y, en general, cualquier instalación, construcción, actividad, servicio u obra en los que debido a su propia naturaleza, al uso que se destine o a la concurrencia de personas, pueda existir riesgo;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AB372E" w:rsidRDefault="00AB372E" w:rsidP="00AB372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0EAD">
        <w:rPr>
          <w:rFonts w:ascii="Arial" w:hAnsi="Arial" w:cs="Arial"/>
          <w:b/>
          <w:bCs/>
          <w:sz w:val="24"/>
          <w:szCs w:val="24"/>
        </w:rPr>
        <w:t>XXIV. a la LVII. …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B372E" w:rsidRDefault="00AB372E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>ARTÍCULO 12.-</w:t>
      </w:r>
      <w:r w:rsidRPr="00440EAD">
        <w:rPr>
          <w:rFonts w:ascii="Arial" w:hAnsi="Arial" w:cs="Arial"/>
          <w:sz w:val="24"/>
          <w:szCs w:val="24"/>
        </w:rPr>
        <w:t xml:space="preserve"> Corresponde al Subsecretario de Protección Civil el ejercicio de las siguientes atribuciones: 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>I.  a la VIII. …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B372E" w:rsidRDefault="00AB372E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>IX.</w:t>
      </w:r>
      <w:r w:rsidRPr="00440EAD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440EAD">
        <w:rPr>
          <w:rFonts w:ascii="Arial" w:hAnsi="Arial" w:cs="Arial"/>
          <w:b/>
          <w:bCs/>
          <w:sz w:val="24"/>
          <w:szCs w:val="24"/>
        </w:rPr>
        <w:t xml:space="preserve"> ..</w:t>
      </w:r>
      <w:proofErr w:type="gramEnd"/>
      <w:r w:rsidRPr="00440EAD">
        <w:rPr>
          <w:rFonts w:ascii="Arial" w:hAnsi="Arial" w:cs="Arial"/>
          <w:b/>
          <w:bCs/>
          <w:sz w:val="24"/>
          <w:szCs w:val="24"/>
        </w:rPr>
        <w:t xml:space="preserve">… 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AB372E" w:rsidRDefault="00AB372E" w:rsidP="00AB372E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a) </w:t>
      </w:r>
      <w:r w:rsidRPr="00440EAD">
        <w:rPr>
          <w:rFonts w:ascii="Arial" w:hAnsi="Arial" w:cs="Arial"/>
          <w:b/>
          <w:sz w:val="24"/>
          <w:szCs w:val="24"/>
        </w:rPr>
        <w:tab/>
      </w:r>
      <w:r w:rsidRPr="00440EAD">
        <w:rPr>
          <w:rFonts w:ascii="Arial" w:hAnsi="Arial" w:cs="Arial"/>
          <w:sz w:val="24"/>
          <w:szCs w:val="24"/>
        </w:rPr>
        <w:t xml:space="preserve">Edificaciones con </w:t>
      </w:r>
      <w:r w:rsidRPr="000C5F8F">
        <w:rPr>
          <w:rFonts w:ascii="Arial" w:hAnsi="Arial" w:cs="Arial"/>
          <w:sz w:val="24"/>
          <w:szCs w:val="24"/>
        </w:rPr>
        <w:t>habitaciones colectivas para más de veinte personas, como asilos, conventos, internados, fraternidades, hoteles, moteles, incluyendo los lugares en los que se ofrece hospedaje mediante plataformas digitales, condominios</w:t>
      </w:r>
      <w:r w:rsidRPr="00440EAD">
        <w:rPr>
          <w:rFonts w:ascii="Arial" w:hAnsi="Arial" w:cs="Arial"/>
          <w:sz w:val="24"/>
          <w:szCs w:val="24"/>
        </w:rPr>
        <w:t>, campamentos turísticos y centros vacacionales;</w:t>
      </w:r>
    </w:p>
    <w:p w:rsidR="00440EAD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AB372E" w:rsidRDefault="00AB372E" w:rsidP="00AB372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b) </w:t>
      </w:r>
      <w:r w:rsidRPr="00440EAD">
        <w:rPr>
          <w:rFonts w:ascii="Arial" w:hAnsi="Arial" w:cs="Arial"/>
          <w:sz w:val="24"/>
          <w:szCs w:val="24"/>
        </w:rPr>
        <w:t xml:space="preserve">a la </w:t>
      </w:r>
      <w:r w:rsidRPr="00440EAD">
        <w:rPr>
          <w:rFonts w:ascii="Arial" w:hAnsi="Arial" w:cs="Arial"/>
          <w:b/>
          <w:sz w:val="24"/>
          <w:szCs w:val="24"/>
        </w:rPr>
        <w:t>l)</w:t>
      </w:r>
      <w:r w:rsidRPr="00440EAD">
        <w:rPr>
          <w:rFonts w:ascii="Arial" w:hAnsi="Arial" w:cs="Arial"/>
          <w:sz w:val="24"/>
          <w:szCs w:val="24"/>
        </w:rPr>
        <w:t xml:space="preserve"> …</w:t>
      </w: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AB372E" w:rsidRDefault="00AB372E" w:rsidP="00AB372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440EAD">
        <w:rPr>
          <w:rFonts w:ascii="Arial" w:hAnsi="Arial" w:cs="Arial"/>
          <w:b/>
          <w:sz w:val="24"/>
          <w:szCs w:val="24"/>
        </w:rPr>
        <w:t xml:space="preserve">X. </w:t>
      </w:r>
      <w:r w:rsidRPr="00440EAD">
        <w:rPr>
          <w:rFonts w:ascii="Arial" w:hAnsi="Arial" w:cs="Arial"/>
          <w:sz w:val="24"/>
          <w:szCs w:val="24"/>
        </w:rPr>
        <w:t xml:space="preserve">a la </w:t>
      </w:r>
      <w:r w:rsidRPr="00440EAD">
        <w:rPr>
          <w:rFonts w:ascii="Arial" w:hAnsi="Arial" w:cs="Arial"/>
          <w:b/>
          <w:sz w:val="24"/>
          <w:szCs w:val="24"/>
        </w:rPr>
        <w:t xml:space="preserve">XXXVIII. </w:t>
      </w:r>
      <w:r w:rsidRPr="00440EAD">
        <w:rPr>
          <w:rFonts w:ascii="Arial" w:hAnsi="Arial" w:cs="Arial"/>
          <w:sz w:val="24"/>
          <w:szCs w:val="24"/>
        </w:rPr>
        <w:t>…</w:t>
      </w:r>
      <w:r w:rsidRPr="00440EAD">
        <w:rPr>
          <w:rFonts w:ascii="Arial" w:hAnsi="Arial" w:cs="Arial"/>
          <w:i/>
          <w:sz w:val="24"/>
          <w:szCs w:val="24"/>
        </w:rPr>
        <w:t xml:space="preserve">  </w:t>
      </w:r>
    </w:p>
    <w:p w:rsidR="00440EAD" w:rsidRPr="00440EAD" w:rsidRDefault="00440EAD" w:rsidP="00AB372E">
      <w:pPr>
        <w:spacing w:after="0" w:line="276" w:lineRule="auto"/>
        <w:rPr>
          <w:rFonts w:ascii="Arial" w:hAnsi="Arial" w:cs="Arial"/>
          <w:bCs/>
          <w:i/>
          <w:sz w:val="24"/>
          <w:szCs w:val="24"/>
        </w:rPr>
      </w:pPr>
    </w:p>
    <w:p w:rsidR="00AB372E" w:rsidRPr="000C5F8F" w:rsidRDefault="00AB372E" w:rsidP="00AB37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40EAD" w:rsidRPr="00AB372E" w:rsidRDefault="00440EAD" w:rsidP="00AB37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B372E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AB372E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AB372E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440EAD" w:rsidRPr="00AB372E" w:rsidRDefault="00440EAD" w:rsidP="00AB372E">
      <w:pPr>
        <w:spacing w:after="0" w:line="276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AB372E" w:rsidRPr="000C5F8F" w:rsidRDefault="00AB372E" w:rsidP="00AB372E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F4EB6" w:rsidRPr="00440EAD" w:rsidRDefault="00440EAD" w:rsidP="00AB37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ÚNICO.</w:t>
      </w:r>
      <w:r w:rsidRPr="00440EAD">
        <w:rPr>
          <w:rFonts w:ascii="Arial" w:hAnsi="Arial" w:cs="Arial"/>
          <w:b/>
          <w:sz w:val="24"/>
          <w:szCs w:val="24"/>
        </w:rPr>
        <w:t>-</w:t>
      </w:r>
      <w:proofErr w:type="gramEnd"/>
      <w:r w:rsidRPr="00440EAD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40EAD" w:rsidRDefault="00440EAD" w:rsidP="00AB372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372E" w:rsidRDefault="00AB372E" w:rsidP="009F4E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372E" w:rsidRDefault="00AB372E" w:rsidP="009F4E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372E" w:rsidRDefault="00AB372E" w:rsidP="009F4E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Default="00F13CC3" w:rsidP="00F13CC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13CC3" w:rsidRDefault="00F13CC3" w:rsidP="00F13CC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13CC3" w:rsidRPr="002E6914" w:rsidRDefault="00F13CC3" w:rsidP="00F13CC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13CC3" w:rsidRPr="002E6914" w:rsidRDefault="00F13CC3" w:rsidP="00F13C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3CC3" w:rsidRPr="002E6914" w:rsidRDefault="00F13CC3" w:rsidP="00F13CC3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F13CC3" w:rsidRDefault="00F13CC3" w:rsidP="00F13CC3"/>
    <w:p w:rsidR="00245157" w:rsidRPr="00440EAD" w:rsidRDefault="00C02E9E" w:rsidP="00F13C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440EAD" w:rsidSect="00440EAD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9E" w:rsidRDefault="00C02E9E">
      <w:pPr>
        <w:spacing w:after="0" w:line="240" w:lineRule="auto"/>
      </w:pPr>
      <w:r>
        <w:separator/>
      </w:r>
    </w:p>
  </w:endnote>
  <w:endnote w:type="continuationSeparator" w:id="0">
    <w:p w:rsidR="00C02E9E" w:rsidRDefault="00C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9E" w:rsidRDefault="00C02E9E">
      <w:pPr>
        <w:spacing w:after="0" w:line="240" w:lineRule="auto"/>
      </w:pPr>
      <w:r>
        <w:separator/>
      </w:r>
    </w:p>
  </w:footnote>
  <w:footnote w:type="continuationSeparator" w:id="0">
    <w:p w:rsidR="00C02E9E" w:rsidRDefault="00C0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B372E" w:rsidRPr="00AB372E" w:rsidTr="00660FE6">
      <w:trPr>
        <w:jc w:val="center"/>
      </w:trPr>
      <w:tc>
        <w:tcPr>
          <w:tcW w:w="1541" w:type="dxa"/>
        </w:tcPr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B372E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DEB93F5" wp14:editId="119801B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B372E" w:rsidRPr="00AB372E" w:rsidRDefault="00AB372E" w:rsidP="00AB37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B372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B372E" w:rsidRPr="00AB372E" w:rsidRDefault="00AB372E" w:rsidP="00AB37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B372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B372E" w:rsidRPr="00AB372E" w:rsidRDefault="00AB372E" w:rsidP="00AB37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B372E" w:rsidRPr="00AB372E" w:rsidRDefault="00AB372E" w:rsidP="00AB372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B372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B372E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24ABA23" wp14:editId="27D38671">
                <wp:simplePos x="0" y="0"/>
                <wp:positionH relativeFrom="column">
                  <wp:posOffset>165100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B372E" w:rsidRPr="00AB372E" w:rsidRDefault="00AB372E" w:rsidP="00AB372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B372E" w:rsidRPr="00AB372E" w:rsidRDefault="00AB372E" w:rsidP="00AB372E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EC5"/>
    <w:multiLevelType w:val="hybridMultilevel"/>
    <w:tmpl w:val="BCEEB024"/>
    <w:lvl w:ilvl="0" w:tplc="0B9E30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B6"/>
    <w:rsid w:val="000653EC"/>
    <w:rsid w:val="000C5F8F"/>
    <w:rsid w:val="001A0235"/>
    <w:rsid w:val="00251C26"/>
    <w:rsid w:val="003B2095"/>
    <w:rsid w:val="00440EAD"/>
    <w:rsid w:val="004562E7"/>
    <w:rsid w:val="007E30DD"/>
    <w:rsid w:val="00863359"/>
    <w:rsid w:val="008C204D"/>
    <w:rsid w:val="009F4EB6"/>
    <w:rsid w:val="00AB372E"/>
    <w:rsid w:val="00B24A82"/>
    <w:rsid w:val="00C02E9E"/>
    <w:rsid w:val="00F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6CEE"/>
  <w15:chartTrackingRefBased/>
  <w15:docId w15:val="{CE2340F3-BD67-4868-BA63-489304A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EAD"/>
  </w:style>
  <w:style w:type="paragraph" w:styleId="Piedepgina">
    <w:name w:val="footer"/>
    <w:basedOn w:val="Normal"/>
    <w:link w:val="PiedepginaCar"/>
    <w:uiPriority w:val="99"/>
    <w:unhideWhenUsed/>
    <w:rsid w:val="0044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2443-28BA-427A-83FD-BA08EA2C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2020-10-08T16:09:00Z</cp:lastPrinted>
  <dcterms:created xsi:type="dcterms:W3CDTF">2020-10-08T16:12:00Z</dcterms:created>
  <dcterms:modified xsi:type="dcterms:W3CDTF">2020-10-08T16:12:00Z</dcterms:modified>
</cp:coreProperties>
</file>