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69" w:rsidRDefault="00BC2769" w:rsidP="00BC2769">
      <w:pPr>
        <w:spacing w:after="0" w:line="240" w:lineRule="auto"/>
        <w:jc w:val="both"/>
        <w:rPr>
          <w:rFonts w:ascii="Arial" w:eastAsia="Times New Roman" w:hAnsi="Arial" w:cs="Arial"/>
          <w:b/>
          <w:snapToGrid w:val="0"/>
          <w:sz w:val="26"/>
          <w:szCs w:val="26"/>
          <w:lang w:val="es-ES_tradnl" w:eastAsia="es-ES"/>
        </w:rPr>
      </w:pPr>
    </w:p>
    <w:p w:rsidR="00BC2769" w:rsidRPr="00747092" w:rsidRDefault="00BC2769" w:rsidP="00BC2769">
      <w:pPr>
        <w:spacing w:after="0" w:line="240" w:lineRule="auto"/>
        <w:jc w:val="both"/>
        <w:rPr>
          <w:rFonts w:ascii="Arial" w:eastAsia="Times New Roman" w:hAnsi="Arial" w:cs="Arial"/>
          <w:b/>
          <w:snapToGrid w:val="0"/>
          <w:sz w:val="26"/>
          <w:szCs w:val="26"/>
          <w:lang w:val="es-ES_tradnl" w:eastAsia="es-ES"/>
        </w:rPr>
      </w:pPr>
      <w:r w:rsidRPr="00747092">
        <w:rPr>
          <w:rFonts w:ascii="Arial" w:eastAsia="Times New Roman" w:hAnsi="Arial" w:cs="Arial"/>
          <w:b/>
          <w:snapToGrid w:val="0"/>
          <w:sz w:val="26"/>
          <w:szCs w:val="26"/>
          <w:lang w:val="es-ES_tradnl" w:eastAsia="es-ES"/>
        </w:rPr>
        <w:t>QUE EL CONGRESO DEL ESTADO INDEPENDIENTE, LIBRE Y SOBERANO DE COAHUILA DE ZARAGOZA;</w:t>
      </w:r>
    </w:p>
    <w:p w:rsidR="00BC2769" w:rsidRDefault="00BC2769" w:rsidP="00BC2769">
      <w:pPr>
        <w:spacing w:after="0" w:line="240" w:lineRule="auto"/>
        <w:jc w:val="both"/>
        <w:rPr>
          <w:rFonts w:ascii="Arial" w:eastAsia="Times New Roman" w:hAnsi="Arial" w:cs="Arial"/>
          <w:b/>
          <w:snapToGrid w:val="0"/>
          <w:sz w:val="26"/>
          <w:szCs w:val="26"/>
          <w:lang w:val="es-ES_tradnl" w:eastAsia="es-ES"/>
        </w:rPr>
      </w:pPr>
    </w:p>
    <w:p w:rsidR="00BC2769" w:rsidRPr="00747092" w:rsidRDefault="00BC2769" w:rsidP="00BC2769">
      <w:pPr>
        <w:spacing w:after="0" w:line="240" w:lineRule="auto"/>
        <w:jc w:val="both"/>
        <w:rPr>
          <w:rFonts w:ascii="Arial" w:eastAsia="Times New Roman" w:hAnsi="Arial" w:cs="Arial"/>
          <w:b/>
          <w:snapToGrid w:val="0"/>
          <w:sz w:val="26"/>
          <w:szCs w:val="26"/>
          <w:lang w:val="es-ES_tradnl" w:eastAsia="es-ES"/>
        </w:rPr>
      </w:pPr>
    </w:p>
    <w:p w:rsidR="00BC2769" w:rsidRPr="00747092" w:rsidRDefault="00BC2769" w:rsidP="00BC2769">
      <w:pPr>
        <w:widowControl w:val="0"/>
        <w:spacing w:after="0" w:line="240" w:lineRule="auto"/>
        <w:jc w:val="both"/>
        <w:rPr>
          <w:rFonts w:ascii="Arial" w:eastAsia="Times New Roman" w:hAnsi="Arial" w:cs="Arial"/>
          <w:b/>
          <w:snapToGrid w:val="0"/>
          <w:sz w:val="26"/>
          <w:szCs w:val="26"/>
          <w:lang w:val="es-ES_tradnl" w:eastAsia="es-ES"/>
        </w:rPr>
      </w:pPr>
      <w:r w:rsidRPr="00747092">
        <w:rPr>
          <w:rFonts w:ascii="Arial" w:eastAsia="Times New Roman" w:hAnsi="Arial" w:cs="Arial"/>
          <w:b/>
          <w:snapToGrid w:val="0"/>
          <w:sz w:val="26"/>
          <w:szCs w:val="26"/>
          <w:lang w:val="es-ES_tradnl" w:eastAsia="es-ES"/>
        </w:rPr>
        <w:t xml:space="preserve">DECRETA: </w:t>
      </w:r>
    </w:p>
    <w:p w:rsidR="00BC2769" w:rsidRPr="00747092" w:rsidRDefault="00BC2769" w:rsidP="00BC2769">
      <w:pPr>
        <w:widowControl w:val="0"/>
        <w:spacing w:after="0" w:line="240" w:lineRule="auto"/>
        <w:jc w:val="both"/>
        <w:rPr>
          <w:rFonts w:ascii="Arial" w:eastAsia="Times New Roman" w:hAnsi="Arial" w:cs="Arial"/>
          <w:b/>
          <w:snapToGrid w:val="0"/>
          <w:sz w:val="26"/>
          <w:szCs w:val="26"/>
          <w:lang w:val="es-ES_tradnl" w:eastAsia="es-ES"/>
        </w:rPr>
      </w:pPr>
    </w:p>
    <w:p w:rsidR="00500B72" w:rsidRPr="00500B72" w:rsidRDefault="00BC2769" w:rsidP="00500B72">
      <w:pPr>
        <w:widowControl w:val="0"/>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NÚMERO 801</w:t>
      </w:r>
      <w:r w:rsidR="00500B72">
        <w:rPr>
          <w:rFonts w:ascii="Arial" w:eastAsia="Times New Roman" w:hAnsi="Arial" w:cs="Arial"/>
          <w:b/>
          <w:snapToGrid w:val="0"/>
          <w:sz w:val="26"/>
          <w:szCs w:val="26"/>
          <w:lang w:val="es-ES_tradnl" w:eastAsia="es-ES"/>
        </w:rPr>
        <w:t>.-</w:t>
      </w:r>
    </w:p>
    <w:p w:rsidR="00500B72" w:rsidRPr="00801A33" w:rsidRDefault="00500B72" w:rsidP="00500B72">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 xml:space="preserve">ARTÍCULO ÚNICO. </w:t>
      </w:r>
      <w:r w:rsidRPr="00801A33">
        <w:rPr>
          <w:rFonts w:ascii="Arial" w:eastAsia="Arial" w:hAnsi="Arial" w:cs="Arial"/>
          <w:color w:val="000000"/>
          <w:sz w:val="24"/>
          <w:szCs w:val="24"/>
          <w:lang w:eastAsia="es-MX"/>
        </w:rPr>
        <w:t xml:space="preserve">Se </w:t>
      </w:r>
      <w:r w:rsidRPr="00801A33">
        <w:rPr>
          <w:rFonts w:ascii="Arial" w:eastAsia="Arial" w:hAnsi="Arial" w:cs="Arial"/>
          <w:b/>
          <w:color w:val="000000"/>
          <w:sz w:val="24"/>
          <w:szCs w:val="24"/>
          <w:lang w:eastAsia="es-MX"/>
        </w:rPr>
        <w:t>modifican</w:t>
      </w:r>
      <w:r w:rsidRPr="00801A33">
        <w:rPr>
          <w:rFonts w:ascii="Arial" w:eastAsia="Arial" w:hAnsi="Arial" w:cs="Arial"/>
          <w:color w:val="000000"/>
          <w:sz w:val="24"/>
          <w:szCs w:val="24"/>
          <w:lang w:eastAsia="es-MX"/>
        </w:rPr>
        <w:t xml:space="preserve">: la fracción III del artículo 2; el primer párrafo del 42; el primer párrafo del artículo 46; la fracción VII del artículo 50; el primer párrafo del inciso a), los incisos b) y c) de la fracción I del artículo 76; la fracción III del artículo 80; las fracciones I, II, III, IV, V, VI, VII y VIII del artículo 92; el primer párrafo del 103; el primer párrafo del artículo104; el artículo 166; la fracción IV del artículo 167; la fracción V del artículo 169; el párrafo segundo del artículo 171; el artículo 192; el artículo 200; y el artículo 243; se </w:t>
      </w:r>
      <w:r w:rsidRPr="00801A33">
        <w:rPr>
          <w:rFonts w:ascii="Arial" w:eastAsia="Arial" w:hAnsi="Arial" w:cs="Arial"/>
          <w:b/>
          <w:color w:val="000000"/>
          <w:sz w:val="24"/>
          <w:szCs w:val="24"/>
          <w:lang w:eastAsia="es-MX"/>
        </w:rPr>
        <w:t>adicionan</w:t>
      </w:r>
      <w:r w:rsidRPr="00801A33">
        <w:rPr>
          <w:rFonts w:ascii="Arial" w:eastAsia="Arial" w:hAnsi="Arial" w:cs="Arial"/>
          <w:color w:val="000000"/>
          <w:sz w:val="24"/>
          <w:szCs w:val="24"/>
          <w:lang w:eastAsia="es-MX"/>
        </w:rPr>
        <w:t xml:space="preserve">: las fracciones VII, VIII y IX del artículo 75; los numerales 6 y 7 al inciso a) de la fracción I y un tercer párrafo al artículo 76; las fracciones IX, X, XI y XII del artículo 92; la fracción VI del artículo 169; y se </w:t>
      </w:r>
      <w:r w:rsidRPr="00801A33">
        <w:rPr>
          <w:rFonts w:ascii="Arial" w:eastAsia="Arial" w:hAnsi="Arial" w:cs="Arial"/>
          <w:b/>
          <w:color w:val="000000"/>
          <w:sz w:val="24"/>
          <w:szCs w:val="24"/>
          <w:lang w:eastAsia="es-MX"/>
        </w:rPr>
        <w:t>deroga</w:t>
      </w:r>
      <w:r w:rsidRPr="00801A33">
        <w:rPr>
          <w:rFonts w:ascii="Arial" w:eastAsia="Arial" w:hAnsi="Arial" w:cs="Arial"/>
          <w:color w:val="000000"/>
          <w:sz w:val="24"/>
          <w:szCs w:val="24"/>
          <w:lang w:eastAsia="es-MX"/>
        </w:rPr>
        <w:t xml:space="preserve"> la fracción III del artículo 46, de la </w:t>
      </w:r>
      <w:r w:rsidRPr="00801A33">
        <w:rPr>
          <w:rFonts w:ascii="Arial" w:eastAsia="Arial" w:hAnsi="Arial" w:cs="Arial"/>
          <w:b/>
          <w:color w:val="000000"/>
          <w:sz w:val="24"/>
          <w:szCs w:val="24"/>
          <w:lang w:eastAsia="es-MX"/>
        </w:rPr>
        <w:t>Ley del Sistema de Seguridad Pública del Estado de Coahuila de Zaragoza</w:t>
      </w:r>
      <w:r w:rsidRPr="00801A33">
        <w:rPr>
          <w:rFonts w:ascii="Arial" w:eastAsia="Arial" w:hAnsi="Arial" w:cs="Arial"/>
          <w:color w:val="000000"/>
          <w:sz w:val="24"/>
          <w:szCs w:val="24"/>
          <w:lang w:eastAsia="es-MX"/>
        </w:rPr>
        <w:t xml:space="preserve">, para quedar como sigue: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2.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w:t>
      </w:r>
      <w:r w:rsidRPr="00801A33">
        <w:rPr>
          <w:rFonts w:ascii="Arial" w:eastAsia="Arial" w:hAnsi="Arial" w:cs="Arial"/>
          <w:color w:val="000000"/>
          <w:sz w:val="24"/>
          <w:szCs w:val="24"/>
          <w:lang w:eastAsia="es-MX"/>
        </w:rPr>
        <w:t xml:space="preserve"> a </w:t>
      </w:r>
      <w:r w:rsidRPr="00801A33">
        <w:rPr>
          <w:rFonts w:ascii="Arial" w:eastAsia="Arial" w:hAnsi="Arial" w:cs="Arial"/>
          <w:b/>
          <w:color w:val="000000"/>
          <w:sz w:val="24"/>
          <w:szCs w:val="24"/>
          <w:lang w:eastAsia="es-MX"/>
        </w:rPr>
        <w:t>II.</w:t>
      </w: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III.</w:t>
      </w:r>
      <w:r w:rsidRPr="00801A33">
        <w:rPr>
          <w:rFonts w:ascii="Arial" w:eastAsia="Arial" w:hAnsi="Arial" w:cs="Arial"/>
          <w:b/>
          <w:color w:val="000000"/>
          <w:sz w:val="24"/>
          <w:szCs w:val="24"/>
          <w:lang w:eastAsia="es-MX"/>
        </w:rPr>
        <w:tab/>
        <w:t>Centro de Profesionalización:</w:t>
      </w:r>
      <w:r w:rsidRPr="00801A33">
        <w:rPr>
          <w:rFonts w:ascii="Arial" w:eastAsia="Arial" w:hAnsi="Arial" w:cs="Arial"/>
          <w:color w:val="000000"/>
          <w:sz w:val="24"/>
          <w:szCs w:val="24"/>
          <w:lang w:eastAsia="es-MX"/>
        </w:rPr>
        <w:t xml:space="preserve"> el Centro de Profesionalización, Certificación, Acreditación y Carrera</w:t>
      </w:r>
      <w:r w:rsidRPr="00801A33">
        <w:rPr>
          <w:rFonts w:ascii="Arial" w:eastAsia="Arial" w:hAnsi="Arial" w:cs="Arial"/>
          <w:b/>
          <w:color w:val="000000"/>
          <w:sz w:val="24"/>
          <w:szCs w:val="24"/>
          <w:lang w:eastAsia="es-MX"/>
        </w:rPr>
        <w:t>,</w:t>
      </w:r>
      <w:r w:rsidRPr="00801A33">
        <w:rPr>
          <w:rFonts w:ascii="Arial" w:eastAsia="Arial" w:hAnsi="Arial" w:cs="Arial"/>
          <w:color w:val="000000"/>
          <w:sz w:val="24"/>
          <w:szCs w:val="24"/>
          <w:lang w:eastAsia="es-MX"/>
        </w:rPr>
        <w:t xml:space="preserve"> de la Fiscalía General y la Universidad de Ciencias de la Seguridad</w:t>
      </w:r>
      <w:r w:rsidRPr="00801A33">
        <w:rPr>
          <w:rFonts w:ascii="Arial" w:eastAsia="Arial" w:hAnsi="Arial" w:cs="Arial"/>
          <w:b/>
          <w:color w:val="000000"/>
          <w:sz w:val="24"/>
          <w:szCs w:val="24"/>
          <w:lang w:eastAsia="es-MX"/>
        </w:rPr>
        <w:t>,</w:t>
      </w:r>
      <w:r w:rsidRPr="00801A33">
        <w:rPr>
          <w:rFonts w:ascii="Arial" w:eastAsia="Arial" w:hAnsi="Arial" w:cs="Arial"/>
          <w:color w:val="000000"/>
          <w:sz w:val="24"/>
          <w:szCs w:val="24"/>
          <w:lang w:eastAsia="es-MX"/>
        </w:rPr>
        <w:t xml:space="preserve"> de la Secretaría de Seguridad;</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IV </w:t>
      </w:r>
      <w:r w:rsidRPr="00801A33">
        <w:rPr>
          <w:rFonts w:ascii="Arial" w:eastAsia="Arial" w:hAnsi="Arial" w:cs="Arial"/>
          <w:color w:val="000000"/>
          <w:sz w:val="24"/>
          <w:szCs w:val="24"/>
          <w:lang w:eastAsia="es-MX"/>
        </w:rPr>
        <w:t xml:space="preserve">a </w:t>
      </w:r>
      <w:r w:rsidRPr="00801A33">
        <w:rPr>
          <w:rFonts w:ascii="Arial" w:eastAsia="Arial" w:hAnsi="Arial" w:cs="Arial"/>
          <w:b/>
          <w:color w:val="000000"/>
          <w:sz w:val="24"/>
          <w:szCs w:val="24"/>
          <w:lang w:eastAsia="es-MX"/>
        </w:rPr>
        <w:t>XXXVIII.</w:t>
      </w: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Artículo 42.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FF0000"/>
          <w:sz w:val="24"/>
          <w:szCs w:val="24"/>
          <w:lang w:eastAsia="es-MX"/>
        </w:rPr>
      </w:pPr>
      <w:r w:rsidRPr="00801A33">
        <w:rPr>
          <w:rFonts w:ascii="Arial" w:eastAsia="Arial" w:hAnsi="Arial" w:cs="Arial"/>
          <w:color w:val="000000"/>
          <w:sz w:val="24"/>
          <w:szCs w:val="24"/>
          <w:lang w:eastAsia="es-MX"/>
        </w:rPr>
        <w:lastRenderedPageBreak/>
        <w:t>Son atribuciones y deberes de la persona titular de la Secretaría de Seguridad, además de las previstas en la Constitución Local, la Ley Orgánica de la Administración Pública del Estado de Coahuila de Zaragoza y la Ley Orgánica de la Secretaría de Seguridad Pública del Estado de Coahuila de Zaragoza, las siguientes:</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I. </w:t>
      </w:r>
      <w:r w:rsidRPr="00801A33">
        <w:rPr>
          <w:rFonts w:ascii="Arial" w:eastAsia="Arial" w:hAnsi="Arial" w:cs="Arial"/>
          <w:color w:val="000000"/>
          <w:sz w:val="24"/>
          <w:szCs w:val="24"/>
          <w:lang w:eastAsia="es-MX"/>
        </w:rPr>
        <w:t>a</w:t>
      </w:r>
      <w:r w:rsidRPr="00801A33">
        <w:rPr>
          <w:rFonts w:ascii="Arial" w:eastAsia="Arial" w:hAnsi="Arial" w:cs="Arial"/>
          <w:b/>
          <w:color w:val="000000"/>
          <w:sz w:val="24"/>
          <w:szCs w:val="24"/>
          <w:lang w:eastAsia="es-MX"/>
        </w:rPr>
        <w:t xml:space="preserve"> XI.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46.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El Secretariado Ejecutivo es un órgano desconcentrado de la Secretaría de Seguridad, encargado de la operatividad del Sistema Estatal, al que le estarán adscritas las siguientes unidades administrativas:</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w:t>
      </w:r>
      <w:r w:rsidRPr="00801A33">
        <w:rPr>
          <w:rFonts w:ascii="Arial" w:eastAsia="Arial" w:hAnsi="Arial" w:cs="Arial"/>
          <w:color w:val="000000"/>
          <w:sz w:val="24"/>
          <w:szCs w:val="24"/>
          <w:lang w:eastAsia="es-MX"/>
        </w:rPr>
        <w:t xml:space="preserve"> a </w:t>
      </w:r>
      <w:r w:rsidRPr="00801A33">
        <w:rPr>
          <w:rFonts w:ascii="Arial" w:eastAsia="Arial" w:hAnsi="Arial" w:cs="Arial"/>
          <w:b/>
          <w:color w:val="000000"/>
          <w:sz w:val="24"/>
          <w:szCs w:val="24"/>
          <w:lang w:eastAsia="es-MX"/>
        </w:rPr>
        <w:t>II.</w:t>
      </w: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III.</w:t>
      </w:r>
      <w:r w:rsidRPr="00801A33">
        <w:rPr>
          <w:rFonts w:ascii="Arial" w:eastAsia="Arial" w:hAnsi="Arial" w:cs="Arial"/>
          <w:color w:val="000000"/>
          <w:sz w:val="24"/>
          <w:szCs w:val="24"/>
          <w:lang w:eastAsia="es-MX"/>
        </w:rPr>
        <w:tab/>
        <w:t>Se deroga;</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IV.</w:t>
      </w: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50.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I </w:t>
      </w:r>
      <w:r w:rsidRPr="00801A33">
        <w:rPr>
          <w:rFonts w:ascii="Arial" w:eastAsia="Arial" w:hAnsi="Arial" w:cs="Arial"/>
          <w:color w:val="000000"/>
          <w:sz w:val="24"/>
          <w:szCs w:val="24"/>
          <w:lang w:eastAsia="es-MX"/>
        </w:rPr>
        <w:t>a</w:t>
      </w:r>
      <w:r w:rsidRPr="00801A33">
        <w:rPr>
          <w:rFonts w:ascii="Arial" w:eastAsia="Arial" w:hAnsi="Arial" w:cs="Arial"/>
          <w:b/>
          <w:color w:val="000000"/>
          <w:sz w:val="24"/>
          <w:szCs w:val="24"/>
          <w:lang w:eastAsia="es-MX"/>
        </w:rPr>
        <w:t xml:space="preserve"> VI.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VII.</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Celebrar convenios previo acuerdo con la Secretaría de Seguridad, de coordinación, colaboración y concertación necesarios para el cumplimiento de los fines del Sistema Estatal;</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VIII.</w:t>
      </w:r>
      <w:r w:rsidRPr="00801A33">
        <w:rPr>
          <w:rFonts w:ascii="Arial" w:eastAsia="Arial" w:hAnsi="Arial" w:cs="Arial"/>
          <w:color w:val="000000"/>
          <w:sz w:val="24"/>
          <w:szCs w:val="24"/>
          <w:lang w:eastAsia="es-MX"/>
        </w:rPr>
        <w:t xml:space="preserve"> a </w:t>
      </w:r>
      <w:r w:rsidRPr="00801A33">
        <w:rPr>
          <w:rFonts w:ascii="Arial" w:eastAsia="Arial" w:hAnsi="Arial" w:cs="Arial"/>
          <w:b/>
          <w:color w:val="000000"/>
          <w:sz w:val="24"/>
          <w:szCs w:val="24"/>
          <w:lang w:eastAsia="es-MX"/>
        </w:rPr>
        <w:t>XXVI.</w:t>
      </w: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75.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I </w:t>
      </w:r>
      <w:r w:rsidRPr="00801A33">
        <w:rPr>
          <w:rFonts w:ascii="Arial" w:eastAsia="Arial" w:hAnsi="Arial" w:cs="Arial"/>
          <w:color w:val="000000"/>
          <w:sz w:val="24"/>
          <w:szCs w:val="24"/>
          <w:lang w:eastAsia="es-MX"/>
        </w:rPr>
        <w:t>a</w:t>
      </w:r>
      <w:r w:rsidRPr="00801A33">
        <w:rPr>
          <w:rFonts w:ascii="Arial" w:eastAsia="Arial" w:hAnsi="Arial" w:cs="Arial"/>
          <w:b/>
          <w:color w:val="000000"/>
          <w:sz w:val="24"/>
          <w:szCs w:val="24"/>
          <w:lang w:eastAsia="es-MX"/>
        </w:rPr>
        <w:t xml:space="preserve"> VI.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VII.</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Cibernética: de seleccionar y actualizar permanentemente los conocimientos y herramientas electrónicas para apoyar la investigación para la prevención de los delitos. Vigilar, identificar, monitorear y rastrear en la red pública de internet con el fin de prevenir conductas delictivas;</w:t>
      </w: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right="-93"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VIII.</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 xml:space="preserve">Seguridad Complementaria: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 </w:t>
      </w:r>
    </w:p>
    <w:p w:rsidR="00500B72" w:rsidRPr="00801A33" w:rsidRDefault="00500B72" w:rsidP="00500B72">
      <w:pPr>
        <w:pBdr>
          <w:top w:val="nil"/>
          <w:left w:val="nil"/>
          <w:bottom w:val="nil"/>
          <w:right w:val="nil"/>
          <w:between w:val="nil"/>
        </w:pBdr>
        <w:spacing w:after="0" w:line="360" w:lineRule="auto"/>
        <w:ind w:left="567" w:right="-93"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IX.</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Inteligencia: de analizar, investigar, diseñar, dirigir, suministrar, y operar sistemas de recopilación, clasificación, registro y explotación de información policial, a fin de conformar bancos de datos que sustenten el desarrollo de acciones contra la delincuencia.</w:t>
      </w:r>
    </w:p>
    <w:p w:rsidR="00500B72" w:rsidRPr="00801A33" w:rsidRDefault="00500B72" w:rsidP="00500B72">
      <w:pPr>
        <w:pBdr>
          <w:top w:val="nil"/>
          <w:left w:val="nil"/>
          <w:bottom w:val="nil"/>
          <w:right w:val="nil"/>
          <w:between w:val="nil"/>
        </w:pBdr>
        <w:spacing w:after="0" w:line="360" w:lineRule="auto"/>
        <w:ind w:right="-93"/>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Artículo 76.</w:t>
      </w:r>
      <w:r w:rsidRPr="00801A33">
        <w:rPr>
          <w:rFonts w:ascii="Arial" w:eastAsia="Arial" w:hAnsi="Arial" w:cs="Arial"/>
          <w:color w:val="000000"/>
          <w:sz w:val="24"/>
          <w:szCs w:val="24"/>
          <w:lang w:eastAsia="es-MX"/>
        </w:rPr>
        <w:t xml:space="preserve"> </w:t>
      </w: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454" w:hanging="454"/>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ind w:left="454" w:hanging="454"/>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908" w:hanging="454"/>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137" w:hanging="570"/>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a)</w:t>
      </w:r>
      <w:r w:rsidRPr="00801A33">
        <w:rPr>
          <w:rFonts w:ascii="Arial" w:eastAsia="Arial" w:hAnsi="Arial" w:cs="Arial"/>
          <w:color w:val="000000"/>
          <w:sz w:val="24"/>
          <w:szCs w:val="24"/>
          <w:lang w:eastAsia="es-MX"/>
        </w:rPr>
        <w:tab/>
        <w:t>La Policía del Estado, que es la corporación policial del Gobierno del Estado de Coahuila de Zaragoza a cargo de la Secretaría de Seguridad, la cual tendrá competencia en todo el Estado, para desempeñar las atribuciones siguientes:</w:t>
      </w:r>
    </w:p>
    <w:p w:rsidR="00500B72" w:rsidRPr="00801A33" w:rsidRDefault="00500B72" w:rsidP="00500B72">
      <w:pPr>
        <w:pBdr>
          <w:top w:val="nil"/>
          <w:left w:val="nil"/>
          <w:bottom w:val="nil"/>
          <w:right w:val="nil"/>
          <w:between w:val="nil"/>
        </w:pBdr>
        <w:spacing w:after="0" w:line="360" w:lineRule="auto"/>
        <w:ind w:left="1137"/>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701" w:hanging="567"/>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1. </w:t>
      </w:r>
      <w:r w:rsidRPr="00801A33">
        <w:rPr>
          <w:rFonts w:ascii="Arial" w:eastAsia="Arial" w:hAnsi="Arial" w:cs="Arial"/>
          <w:color w:val="000000"/>
          <w:sz w:val="24"/>
          <w:szCs w:val="24"/>
          <w:lang w:eastAsia="es-MX"/>
        </w:rPr>
        <w:t>a</w:t>
      </w:r>
      <w:r w:rsidRPr="00801A33">
        <w:rPr>
          <w:rFonts w:ascii="Arial" w:eastAsia="Arial" w:hAnsi="Arial" w:cs="Arial"/>
          <w:b/>
          <w:color w:val="000000"/>
          <w:sz w:val="24"/>
          <w:szCs w:val="24"/>
          <w:lang w:eastAsia="es-MX"/>
        </w:rPr>
        <w:t xml:space="preserve"> 5.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1701"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6.</w:t>
      </w:r>
      <w:r w:rsidRPr="00801A33">
        <w:rPr>
          <w:rFonts w:ascii="Arial" w:eastAsia="Arial" w:hAnsi="Arial" w:cs="Arial"/>
          <w:color w:val="000000"/>
          <w:sz w:val="24"/>
          <w:szCs w:val="24"/>
          <w:lang w:eastAsia="es-MX"/>
        </w:rPr>
        <w:tab/>
        <w:t>Cibernética; y</w:t>
      </w:r>
    </w:p>
    <w:p w:rsidR="00500B72" w:rsidRPr="00801A33" w:rsidRDefault="00500B72" w:rsidP="00500B72">
      <w:pPr>
        <w:pBdr>
          <w:top w:val="nil"/>
          <w:left w:val="nil"/>
          <w:bottom w:val="nil"/>
          <w:right w:val="nil"/>
          <w:between w:val="nil"/>
        </w:pBdr>
        <w:spacing w:after="0" w:line="360" w:lineRule="auto"/>
        <w:ind w:left="1701"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701"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lastRenderedPageBreak/>
        <w:t>7.</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Seguridad Complementaria.</w:t>
      </w: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b)</w:t>
      </w:r>
      <w:r w:rsidRPr="00801A33">
        <w:rPr>
          <w:rFonts w:ascii="Arial" w:eastAsia="Arial" w:hAnsi="Arial" w:cs="Arial"/>
          <w:color w:val="000000"/>
          <w:sz w:val="24"/>
          <w:szCs w:val="24"/>
          <w:lang w:eastAsia="es-MX"/>
        </w:rPr>
        <w:tab/>
        <w:t>El Grupo Especializado de la PRONNIF, que se conformará con elementos de la Policía del Estado, Policía Investigadora y policías preventivas municipales, previo convenio de colaboración que se celebre entre las partes.</w:t>
      </w: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ab/>
        <w:t>La competencia, funciones, integración, mando y demás elementos necesarios para la operación del Grupo Especializado de la PRONNIF, se establecerán en los convenios de colaboración que se celebren para su integración y demás disposiciones aplicables.</w:t>
      </w: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c)</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 xml:space="preserve">Los grupos especializados de policía metropolitana que se conformarán con elementos de la Policía del Estado y cuando así se convenga con los ayuntamientos respectivos, con integrantes de las Policías Preventivas Municipales. </w:t>
      </w: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134"/>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La competencia, funciones, integración, mando y demás elementos necesarios para la operación de las policías metropolitanas, se establecerán en el acuerdo que emita el Ejecutivo del Estado, en esta ley, en la Ley Orgánica de la Secretaría de Seguridad Pública del Estado de Coahuila de Zaragoza, en convenios de colaboración que se celebren observando lo dispuesto en el artículo 9 de esta ley y demás disposiciones aplicables.  </w:t>
      </w:r>
    </w:p>
    <w:p w:rsidR="00500B72" w:rsidRPr="00801A33" w:rsidRDefault="00500B72" w:rsidP="00500B72">
      <w:pPr>
        <w:pBdr>
          <w:top w:val="nil"/>
          <w:left w:val="nil"/>
          <w:bottom w:val="nil"/>
          <w:right w:val="nil"/>
          <w:between w:val="nil"/>
        </w:pBdr>
        <w:spacing w:after="0" w:line="360" w:lineRule="auto"/>
        <w:ind w:left="1134"/>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1134"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d)</w:t>
      </w:r>
      <w:r w:rsidRPr="00801A33">
        <w:rPr>
          <w:rFonts w:ascii="Arial" w:eastAsia="Arial" w:hAnsi="Arial" w:cs="Arial"/>
          <w:color w:val="000000"/>
          <w:sz w:val="24"/>
          <w:szCs w:val="24"/>
          <w:lang w:eastAsia="es-MX"/>
        </w:rPr>
        <w:tab/>
        <w:t>…</w:t>
      </w:r>
    </w:p>
    <w:p w:rsidR="00500B72" w:rsidRPr="00801A33" w:rsidRDefault="00500B72" w:rsidP="00500B72">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II.</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454" w:hanging="454"/>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454" w:hanging="454"/>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454" w:hanging="454"/>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Las corporaciones policiales contarán con las facultades establecidas en esta ley, y en las disposiciones normativas de las instituciones de seguridad pública, así como las demás aplicables para el ejercicio de sus atribuciones.</w:t>
      </w:r>
    </w:p>
    <w:p w:rsidR="00500B72" w:rsidRPr="00801A33" w:rsidRDefault="00500B72" w:rsidP="00500B72">
      <w:pPr>
        <w:pBdr>
          <w:top w:val="nil"/>
          <w:left w:val="nil"/>
          <w:bottom w:val="nil"/>
          <w:right w:val="nil"/>
          <w:between w:val="nil"/>
        </w:pBdr>
        <w:spacing w:after="0" w:line="360" w:lineRule="auto"/>
        <w:ind w:left="454" w:hanging="454"/>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Artículo 80.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w:t>
      </w:r>
      <w:r w:rsidRPr="00801A33">
        <w:rPr>
          <w:rFonts w:ascii="Arial" w:eastAsia="Arial" w:hAnsi="Arial" w:cs="Arial"/>
          <w:color w:val="000000"/>
          <w:sz w:val="24"/>
          <w:szCs w:val="24"/>
          <w:lang w:eastAsia="es-MX"/>
        </w:rPr>
        <w:t xml:space="preserve"> a </w:t>
      </w:r>
      <w:r w:rsidRPr="00801A33">
        <w:rPr>
          <w:rFonts w:ascii="Arial" w:eastAsia="Arial" w:hAnsi="Arial" w:cs="Arial"/>
          <w:b/>
          <w:color w:val="000000"/>
          <w:sz w:val="24"/>
          <w:szCs w:val="24"/>
          <w:lang w:eastAsia="es-MX"/>
        </w:rPr>
        <w:t>II.</w:t>
      </w: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III.</w:t>
      </w:r>
      <w:r w:rsidRPr="00801A33">
        <w:rPr>
          <w:rFonts w:ascii="Arial" w:eastAsia="Arial" w:hAnsi="Arial" w:cs="Arial"/>
          <w:color w:val="000000"/>
          <w:sz w:val="24"/>
          <w:szCs w:val="24"/>
          <w:lang w:eastAsia="es-MX"/>
        </w:rPr>
        <w:tab/>
        <w:t>Mando superior, que lo ejercerá el Subsecretario de Operación Policial respecto de la corporación policial, denominada Policía del Estado y el Director General de la Policía Investigadora, respecto de la Policía Investigadora de la Fiscalía General;</w:t>
      </w: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IV</w:t>
      </w:r>
      <w:r w:rsidRPr="00801A33">
        <w:rPr>
          <w:rFonts w:ascii="Arial" w:eastAsia="Arial" w:hAnsi="Arial" w:cs="Arial"/>
          <w:color w:val="000000"/>
          <w:sz w:val="24"/>
          <w:szCs w:val="24"/>
          <w:lang w:eastAsia="es-MX"/>
        </w:rPr>
        <w:t xml:space="preserve"> a </w:t>
      </w:r>
      <w:r w:rsidRPr="00801A33">
        <w:rPr>
          <w:rFonts w:ascii="Arial" w:eastAsia="Arial" w:hAnsi="Arial" w:cs="Arial"/>
          <w:b/>
          <w:color w:val="000000"/>
          <w:sz w:val="24"/>
          <w:szCs w:val="24"/>
          <w:lang w:eastAsia="es-MX"/>
        </w:rPr>
        <w:t>V.</w:t>
      </w:r>
      <w:r w:rsidRPr="00801A33">
        <w:rPr>
          <w:rFonts w:ascii="Arial" w:eastAsia="Arial" w:hAnsi="Arial" w:cs="Arial"/>
          <w:color w:val="000000"/>
          <w:sz w:val="24"/>
          <w:szCs w:val="24"/>
          <w:lang w:eastAsia="es-MX"/>
        </w:rPr>
        <w:t xml:space="preserve"> … </w:t>
      </w:r>
    </w:p>
    <w:p w:rsidR="00500B72" w:rsidRPr="00801A33" w:rsidRDefault="00500B72" w:rsidP="00500B72">
      <w:pPr>
        <w:pBdr>
          <w:top w:val="nil"/>
          <w:left w:val="nil"/>
          <w:bottom w:val="nil"/>
          <w:right w:val="nil"/>
          <w:between w:val="nil"/>
        </w:pBdr>
        <w:tabs>
          <w:tab w:val="left" w:pos="426"/>
        </w:tabs>
        <w:spacing w:after="0" w:line="360" w:lineRule="auto"/>
        <w:ind w:left="567" w:hanging="567"/>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tabs>
          <w:tab w:val="left" w:pos="426"/>
        </w:tabs>
        <w:spacing w:after="0" w:line="360" w:lineRule="auto"/>
        <w:ind w:left="567" w:hanging="567"/>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Artículo 92.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de Acción y Reacción;</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Cibernética;</w:t>
      </w:r>
    </w:p>
    <w:p w:rsidR="00500B72" w:rsidRPr="00801A33" w:rsidRDefault="00500B72" w:rsidP="00500B72">
      <w:pPr>
        <w:pBdr>
          <w:top w:val="nil"/>
          <w:left w:val="nil"/>
          <w:bottom w:val="nil"/>
          <w:right w:val="nil"/>
          <w:between w:val="nil"/>
        </w:pBdr>
        <w:spacing w:after="0" w:line="360" w:lineRule="auto"/>
        <w:ind w:left="720"/>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Policía Civil; </w:t>
      </w:r>
    </w:p>
    <w:p w:rsidR="00500B72" w:rsidRPr="00801A33" w:rsidRDefault="00500B72" w:rsidP="00500B72">
      <w:pPr>
        <w:pBdr>
          <w:top w:val="nil"/>
          <w:left w:val="nil"/>
          <w:bottom w:val="nil"/>
          <w:right w:val="nil"/>
          <w:between w:val="nil"/>
        </w:pBdr>
        <w:spacing w:after="0" w:line="360" w:lineRule="auto"/>
        <w:ind w:left="567"/>
        <w:jc w:val="both"/>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Complementaria;</w:t>
      </w:r>
    </w:p>
    <w:p w:rsidR="00500B72" w:rsidRPr="00801A33" w:rsidRDefault="00500B72" w:rsidP="00500B72">
      <w:pPr>
        <w:pBdr>
          <w:top w:val="nil"/>
          <w:left w:val="nil"/>
          <w:bottom w:val="nil"/>
          <w:right w:val="nil"/>
          <w:between w:val="nil"/>
        </w:pBdr>
        <w:spacing w:after="0" w:line="360" w:lineRule="auto"/>
        <w:ind w:left="720"/>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Especializada;</w:t>
      </w:r>
    </w:p>
    <w:p w:rsidR="00500B72" w:rsidRPr="00801A33" w:rsidRDefault="00500B72" w:rsidP="00500B72">
      <w:pPr>
        <w:pBdr>
          <w:top w:val="nil"/>
          <w:left w:val="nil"/>
          <w:bottom w:val="nil"/>
          <w:right w:val="nil"/>
          <w:between w:val="nil"/>
        </w:pBdr>
        <w:spacing w:after="0" w:line="360" w:lineRule="auto"/>
        <w:ind w:left="567"/>
        <w:jc w:val="both"/>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lastRenderedPageBreak/>
        <w:t>Policía de Inteligencia;</w:t>
      </w:r>
    </w:p>
    <w:p w:rsidR="00500B72" w:rsidRPr="00801A33" w:rsidRDefault="00500B72" w:rsidP="00500B72">
      <w:pPr>
        <w:pBdr>
          <w:top w:val="nil"/>
          <w:left w:val="nil"/>
          <w:bottom w:val="nil"/>
          <w:right w:val="nil"/>
          <w:between w:val="nil"/>
        </w:pBdr>
        <w:spacing w:after="0" w:line="360" w:lineRule="auto"/>
        <w:ind w:left="567"/>
        <w:jc w:val="both"/>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Penitenciaria;</w:t>
      </w:r>
    </w:p>
    <w:p w:rsidR="00500B72" w:rsidRPr="00801A33" w:rsidRDefault="00500B72" w:rsidP="00500B72">
      <w:pPr>
        <w:pBdr>
          <w:top w:val="nil"/>
          <w:left w:val="nil"/>
          <w:bottom w:val="nil"/>
          <w:right w:val="nil"/>
          <w:between w:val="nil"/>
        </w:pBdr>
        <w:spacing w:after="0" w:line="360" w:lineRule="auto"/>
        <w:ind w:left="720"/>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Policía Procesal; </w:t>
      </w:r>
    </w:p>
    <w:p w:rsidR="00500B72" w:rsidRPr="00801A33" w:rsidRDefault="00500B72" w:rsidP="00500B72">
      <w:pPr>
        <w:pBdr>
          <w:top w:val="nil"/>
          <w:left w:val="nil"/>
          <w:bottom w:val="nil"/>
          <w:right w:val="nil"/>
          <w:between w:val="nil"/>
        </w:pBdr>
        <w:spacing w:after="0" w:line="360" w:lineRule="auto"/>
        <w:ind w:left="720"/>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Preventiva;</w:t>
      </w:r>
    </w:p>
    <w:p w:rsidR="00500B72" w:rsidRPr="00801A33" w:rsidRDefault="00500B72" w:rsidP="00500B72">
      <w:pPr>
        <w:pBdr>
          <w:top w:val="nil"/>
          <w:left w:val="nil"/>
          <w:bottom w:val="nil"/>
          <w:right w:val="nil"/>
          <w:between w:val="nil"/>
        </w:pBdr>
        <w:spacing w:after="0" w:line="360" w:lineRule="auto"/>
        <w:ind w:left="720"/>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Policía de Investigación;</w:t>
      </w:r>
    </w:p>
    <w:p w:rsidR="00500B72" w:rsidRPr="00801A33" w:rsidRDefault="00500B72" w:rsidP="00500B72">
      <w:pPr>
        <w:pBdr>
          <w:top w:val="nil"/>
          <w:left w:val="nil"/>
          <w:bottom w:val="nil"/>
          <w:right w:val="nil"/>
          <w:between w:val="nil"/>
        </w:pBdr>
        <w:spacing w:after="0" w:line="360" w:lineRule="auto"/>
        <w:ind w:left="720"/>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Agente del Ministerio Publico; y </w:t>
      </w:r>
    </w:p>
    <w:p w:rsidR="00500B72" w:rsidRPr="00801A33" w:rsidRDefault="00500B72" w:rsidP="00500B72">
      <w:pPr>
        <w:pBdr>
          <w:top w:val="nil"/>
          <w:left w:val="nil"/>
          <w:bottom w:val="nil"/>
          <w:right w:val="nil"/>
          <w:between w:val="nil"/>
        </w:pBdr>
        <w:spacing w:after="0" w:line="360" w:lineRule="auto"/>
        <w:ind w:left="567"/>
        <w:jc w:val="both"/>
        <w:rPr>
          <w:rFonts w:ascii="Arial" w:eastAsia="Arial" w:hAnsi="Arial" w:cs="Arial"/>
          <w:b/>
          <w:color w:val="000000"/>
          <w:sz w:val="24"/>
          <w:szCs w:val="24"/>
          <w:lang w:eastAsia="es-MX"/>
        </w:rPr>
      </w:pPr>
    </w:p>
    <w:p w:rsidR="00500B72" w:rsidRPr="00801A33" w:rsidRDefault="00500B72" w:rsidP="00500B72">
      <w:pPr>
        <w:numPr>
          <w:ilvl w:val="0"/>
          <w:numId w:val="1"/>
        </w:numPr>
        <w:pBdr>
          <w:top w:val="nil"/>
          <w:left w:val="nil"/>
          <w:bottom w:val="nil"/>
          <w:right w:val="nil"/>
          <w:between w:val="nil"/>
        </w:pBdr>
        <w:spacing w:after="200" w:line="360" w:lineRule="auto"/>
        <w:ind w:left="567" w:hanging="567"/>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Perito. </w:t>
      </w:r>
    </w:p>
    <w:p w:rsidR="00500B72" w:rsidRPr="00801A33" w:rsidRDefault="00500B72" w:rsidP="00500B72">
      <w:pPr>
        <w:pBdr>
          <w:top w:val="nil"/>
          <w:left w:val="nil"/>
          <w:bottom w:val="nil"/>
          <w:right w:val="nil"/>
          <w:between w:val="nil"/>
        </w:pBdr>
        <w:spacing w:after="0" w:line="240" w:lineRule="auto"/>
        <w:jc w:val="center"/>
        <w:rPr>
          <w:rFonts w:ascii="Arial" w:eastAsia="Arial" w:hAnsi="Arial" w:cs="Arial"/>
          <w:b/>
          <w:color w:val="000000"/>
          <w:sz w:val="24"/>
          <w:szCs w:val="24"/>
          <w:u w:val="single"/>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Artículo 103.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El ingreso al servicio profesional de carrera será de carácter obligatorio para el personal de las instituciones, de acuerdo a la Ley General, Ley Estatal, Ley Orgánica de la Fiscalía General del Estado de Coahuila de Zaragoza, Ley Orgánica de la Secretaría de Seguridad Pública del Estado de Coahuila de Zaragoza, el Programa Rector y demás ordenamientos aplicables.</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104. …</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La unidad administrativa del servicio profesional de carrera respectiva, con base en la información proporcionada por el Centro de Profesionalización, las academias y la opinión de la Comisión, declarará procedente el ingreso de los aspirantes que hayan aprobado el proceso </w:t>
      </w:r>
      <w:r w:rsidRPr="00801A33">
        <w:rPr>
          <w:rFonts w:ascii="Arial" w:eastAsia="Arial" w:hAnsi="Arial" w:cs="Arial"/>
          <w:color w:val="000000"/>
          <w:sz w:val="24"/>
          <w:szCs w:val="24"/>
          <w:lang w:eastAsia="es-MX"/>
        </w:rPr>
        <w:lastRenderedPageBreak/>
        <w:t>relativo en términos de esta ley; asimismo, publicará el listado respectivo y lo comunicará a la institución de seguridad pública correspondiente a efecto de que, conforme a las posibilidades presupuestales de ésta, proceda a su contratación.</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166.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Se establecen las Comisiones como la instancia encargada de conocer y resolver los procedimientos relacionados con el ingreso, selección, permanencia, desempeño, otorgamiento de promociones, asensos, reconocimientos y estímulos, así como por violación a las obligaciones y deberes relativos al régimen disciplinario, en los términos de esta ley.</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167.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I. </w:t>
      </w:r>
      <w:r w:rsidRPr="00801A33">
        <w:rPr>
          <w:rFonts w:ascii="Arial" w:eastAsia="Arial" w:hAnsi="Arial" w:cs="Arial"/>
          <w:color w:val="000000"/>
          <w:sz w:val="24"/>
          <w:szCs w:val="24"/>
          <w:lang w:eastAsia="es-MX"/>
        </w:rPr>
        <w:t xml:space="preserve">a </w:t>
      </w:r>
      <w:r w:rsidRPr="00801A33">
        <w:rPr>
          <w:rFonts w:ascii="Arial" w:eastAsia="Arial" w:hAnsi="Arial" w:cs="Arial"/>
          <w:b/>
          <w:color w:val="000000"/>
          <w:sz w:val="24"/>
          <w:szCs w:val="24"/>
          <w:lang w:eastAsia="es-MX"/>
        </w:rPr>
        <w:t xml:space="preserve">III.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IV.</w:t>
      </w:r>
      <w:r w:rsidRPr="00801A33">
        <w:rPr>
          <w:rFonts w:ascii="Arial" w:eastAsia="Arial" w:hAnsi="Arial" w:cs="Arial"/>
          <w:color w:val="000000"/>
          <w:sz w:val="24"/>
          <w:szCs w:val="24"/>
          <w:lang w:eastAsia="es-MX"/>
        </w:rPr>
        <w:tab/>
        <w:t>Un vocal, que será la personal titular de la Unidad de Asuntos Internos o su similar;</w:t>
      </w: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V. </w:t>
      </w:r>
      <w:r w:rsidRPr="00801A33">
        <w:rPr>
          <w:rFonts w:ascii="Arial" w:eastAsia="Arial" w:hAnsi="Arial" w:cs="Arial"/>
          <w:color w:val="000000"/>
          <w:sz w:val="24"/>
          <w:szCs w:val="24"/>
          <w:lang w:eastAsia="es-MX"/>
        </w:rPr>
        <w:t xml:space="preserve">a </w:t>
      </w:r>
      <w:r w:rsidRPr="00801A33">
        <w:rPr>
          <w:rFonts w:ascii="Arial" w:eastAsia="Arial" w:hAnsi="Arial" w:cs="Arial"/>
          <w:b/>
          <w:color w:val="000000"/>
          <w:sz w:val="24"/>
          <w:szCs w:val="24"/>
          <w:lang w:eastAsia="es-MX"/>
        </w:rPr>
        <w:t xml:space="preserve">VIII.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169. …</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 xml:space="preserve">I </w:t>
      </w:r>
      <w:r w:rsidRPr="00801A33">
        <w:rPr>
          <w:rFonts w:ascii="Arial" w:eastAsia="Arial" w:hAnsi="Arial" w:cs="Arial"/>
          <w:color w:val="000000"/>
          <w:sz w:val="24"/>
          <w:szCs w:val="24"/>
          <w:lang w:eastAsia="es-MX"/>
        </w:rPr>
        <w:t>a</w:t>
      </w:r>
      <w:r w:rsidRPr="00801A33">
        <w:rPr>
          <w:rFonts w:ascii="Arial" w:eastAsia="Arial" w:hAnsi="Arial" w:cs="Arial"/>
          <w:b/>
          <w:color w:val="000000"/>
          <w:sz w:val="24"/>
          <w:szCs w:val="24"/>
          <w:lang w:eastAsia="es-MX"/>
        </w:rPr>
        <w:t xml:space="preserve"> IV. </w:t>
      </w:r>
      <w:r w:rsidRPr="00801A33">
        <w:rPr>
          <w:rFonts w:ascii="Arial" w:eastAsia="Arial" w:hAnsi="Arial" w:cs="Arial"/>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left="567" w:right="-12"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V.</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Emitir opiniones relativas al ingreso, selección y permanencia, de los integrantes del servicio profesional de carrera; y</w:t>
      </w:r>
    </w:p>
    <w:p w:rsidR="00500B72" w:rsidRPr="00801A33" w:rsidRDefault="00500B72" w:rsidP="00500B72">
      <w:pPr>
        <w:pBdr>
          <w:top w:val="nil"/>
          <w:left w:val="nil"/>
          <w:bottom w:val="nil"/>
          <w:right w:val="nil"/>
          <w:between w:val="nil"/>
        </w:pBdr>
        <w:spacing w:after="0" w:line="360" w:lineRule="auto"/>
        <w:ind w:left="567" w:right="-12" w:hanging="567"/>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left="567" w:hanging="567"/>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VI.</w:t>
      </w:r>
      <w:r w:rsidRPr="00801A33">
        <w:rPr>
          <w:rFonts w:ascii="Arial" w:eastAsia="Arial" w:hAnsi="Arial" w:cs="Arial"/>
          <w:b/>
          <w:color w:val="000000"/>
          <w:sz w:val="24"/>
          <w:szCs w:val="24"/>
          <w:lang w:eastAsia="es-MX"/>
        </w:rPr>
        <w:tab/>
      </w:r>
      <w:r w:rsidRPr="00801A33">
        <w:rPr>
          <w:rFonts w:ascii="Arial" w:eastAsia="Arial" w:hAnsi="Arial" w:cs="Arial"/>
          <w:color w:val="000000"/>
          <w:sz w:val="24"/>
          <w:szCs w:val="24"/>
          <w:lang w:eastAsia="es-MX"/>
        </w:rPr>
        <w:t>Las demás que establezcan otras disposiciones legales y reglamentarias, así como las que sean acordadas por la propia comisión.</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171. …</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Iniciará por solicitud escrita fundamentada y motivada del superior jerárquico del infractor o por la unidad de asuntos internos de las instituciones de seguridad pública o su similar ante el Secretario Técnico de la Comisión, en la que expresará la causa de separación que a su parecer se ha actualizado, así como los hechos que eventualmente la configuren y expondrá el contenido de las actuaciones de la investigación que se hubieren realizado, así como los demás elementos probatorios en que se apoye.</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192. …</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El Centro de Profesionalización es responsable de la profesionalización tanto de aspirantes como de miembros en activo de las instituciones de seguridad pública, mediante el reclutamiento, evaluación para selección, formación, desarrollo, capacitación, actualización, especialización y certificación de competencias, así como de la promoción para grado académico de los integrantes de las instituciones de seguridad pública de conformidad con el Programa Rector.</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200.</w:t>
      </w:r>
      <w:r w:rsidRPr="00801A33">
        <w:rPr>
          <w:rFonts w:ascii="Arial Narrow" w:eastAsia="Arial Narrow" w:hAnsi="Arial Narrow" w:cs="Arial Narrow"/>
          <w:b/>
          <w:color w:val="000000"/>
          <w:sz w:val="24"/>
          <w:szCs w:val="24"/>
          <w:lang w:eastAsia="es-MX"/>
        </w:rPr>
        <w:t xml:space="preserve"> </w:t>
      </w:r>
      <w:r w:rsidRPr="00801A33">
        <w:rPr>
          <w:rFonts w:ascii="Arial" w:eastAsia="Arial" w:hAnsi="Arial" w:cs="Arial"/>
          <w:b/>
          <w:color w:val="000000"/>
          <w:sz w:val="24"/>
          <w:szCs w:val="24"/>
          <w:lang w:eastAsia="es-MX"/>
        </w:rPr>
        <w:t>…</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El Centro de Profesionalización contará con la estructura, unidades y personal administrativo que se requiera, la cual estará prevista en las disposiciones legales y reglamentarias aplicables de la institución de seguridad pública que corresponda.</w:t>
      </w:r>
    </w:p>
    <w:p w:rsidR="00500B72" w:rsidRPr="00801A33" w:rsidRDefault="00500B72" w:rsidP="00500B72">
      <w:pPr>
        <w:pBdr>
          <w:top w:val="nil"/>
          <w:left w:val="nil"/>
          <w:bottom w:val="nil"/>
          <w:right w:val="nil"/>
          <w:between w:val="nil"/>
        </w:pBdr>
        <w:spacing w:after="0" w:line="360" w:lineRule="auto"/>
        <w:ind w:right="-12"/>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0" w:line="360" w:lineRule="auto"/>
        <w:jc w:val="both"/>
        <w:rPr>
          <w:rFonts w:ascii="Arial" w:eastAsia="Arial" w:hAnsi="Arial" w:cs="Arial"/>
          <w:b/>
          <w:color w:val="000000"/>
          <w:sz w:val="24"/>
          <w:szCs w:val="24"/>
          <w:lang w:eastAsia="es-MX"/>
        </w:rPr>
      </w:pPr>
      <w:r w:rsidRPr="00801A33">
        <w:rPr>
          <w:rFonts w:ascii="Arial" w:eastAsia="Arial" w:hAnsi="Arial" w:cs="Arial"/>
          <w:b/>
          <w:color w:val="000000"/>
          <w:sz w:val="24"/>
          <w:szCs w:val="24"/>
          <w:lang w:eastAsia="es-MX"/>
        </w:rPr>
        <w:t>Artículo 243. …</w:t>
      </w:r>
    </w:p>
    <w:p w:rsidR="00500B72" w:rsidRDefault="00500B72" w:rsidP="00500B72">
      <w:pPr>
        <w:pBdr>
          <w:top w:val="nil"/>
          <w:left w:val="nil"/>
          <w:bottom w:val="nil"/>
          <w:right w:val="nil"/>
          <w:between w:val="nil"/>
        </w:pBdr>
        <w:spacing w:after="200" w:line="360" w:lineRule="auto"/>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La Secretaría de Seguridad a través de la Dirección General de Registro y Control de los Servicios de Seguridad Privada, en los casos en que se requiera y convenga al interés general, podrá autorizar o negar la prestación de servicios de seguridad privada a cargo de particulares, previa aprobación del Secretario.</w:t>
      </w:r>
    </w:p>
    <w:p w:rsidR="00801A33" w:rsidRPr="00801A33" w:rsidRDefault="00801A33" w:rsidP="00500B72">
      <w:pPr>
        <w:pBdr>
          <w:top w:val="nil"/>
          <w:left w:val="nil"/>
          <w:bottom w:val="nil"/>
          <w:right w:val="nil"/>
          <w:between w:val="nil"/>
        </w:pBdr>
        <w:spacing w:after="200" w:line="360" w:lineRule="auto"/>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200" w:line="360" w:lineRule="auto"/>
        <w:jc w:val="center"/>
        <w:rPr>
          <w:rFonts w:ascii="Arial" w:eastAsia="Arial" w:hAnsi="Arial" w:cs="Arial"/>
          <w:color w:val="000000"/>
          <w:sz w:val="24"/>
          <w:szCs w:val="24"/>
          <w:lang w:val="en-US" w:eastAsia="es-MX"/>
        </w:rPr>
      </w:pPr>
      <w:r w:rsidRPr="00801A33">
        <w:rPr>
          <w:rFonts w:ascii="Arial" w:eastAsia="Arial" w:hAnsi="Arial" w:cs="Arial"/>
          <w:b/>
          <w:color w:val="000000"/>
          <w:sz w:val="24"/>
          <w:szCs w:val="24"/>
          <w:lang w:val="en-US" w:eastAsia="es-MX"/>
        </w:rPr>
        <w:lastRenderedPageBreak/>
        <w:t xml:space="preserve">T R </w:t>
      </w:r>
      <w:proofErr w:type="gramStart"/>
      <w:r w:rsidRPr="00801A33">
        <w:rPr>
          <w:rFonts w:ascii="Arial" w:eastAsia="Arial" w:hAnsi="Arial" w:cs="Arial"/>
          <w:b/>
          <w:color w:val="000000"/>
          <w:sz w:val="24"/>
          <w:szCs w:val="24"/>
          <w:lang w:val="en-US" w:eastAsia="es-MX"/>
        </w:rPr>
        <w:t>A</w:t>
      </w:r>
      <w:proofErr w:type="gramEnd"/>
      <w:r w:rsidRPr="00801A33">
        <w:rPr>
          <w:rFonts w:ascii="Arial" w:eastAsia="Arial" w:hAnsi="Arial" w:cs="Arial"/>
          <w:b/>
          <w:color w:val="000000"/>
          <w:sz w:val="24"/>
          <w:szCs w:val="24"/>
          <w:lang w:val="en-US" w:eastAsia="es-MX"/>
        </w:rPr>
        <w:t xml:space="preserve"> N S I T O R I O S</w:t>
      </w: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PRIMERO.</w:t>
      </w:r>
      <w:r w:rsidRPr="00801A33">
        <w:rPr>
          <w:rFonts w:ascii="Arial" w:eastAsia="Arial" w:hAnsi="Arial" w:cs="Arial"/>
          <w:color w:val="000000"/>
          <w:sz w:val="24"/>
          <w:szCs w:val="24"/>
          <w:lang w:eastAsia="es-MX"/>
        </w:rPr>
        <w:t xml:space="preserve"> La presente Ley entrará en vigor al día siguiente de su publicación en el Periódico Oficial del Gobierno del Estado.</w:t>
      </w: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 xml:space="preserve"> </w:t>
      </w: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SEGUNDO.</w:t>
      </w:r>
      <w:r w:rsidRPr="00801A33">
        <w:rPr>
          <w:rFonts w:ascii="Arial" w:eastAsia="Arial" w:hAnsi="Arial" w:cs="Arial"/>
          <w:color w:val="000000"/>
          <w:sz w:val="24"/>
          <w:szCs w:val="24"/>
          <w:lang w:eastAsia="es-MX"/>
        </w:rPr>
        <w:t xml:space="preserve"> Dentro de los ciento ochenta días naturales contados a partir de la entrada en vigor del presente decreto, se deberá expedir las disposiciones legales, reglamentarias y administrativas necesarias para instrumentar las disposiciones de la presente Ley.</w:t>
      </w: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TERCERO.</w:t>
      </w:r>
      <w:r w:rsidRPr="00801A33">
        <w:rPr>
          <w:rFonts w:ascii="Arial" w:eastAsia="Arial" w:hAnsi="Arial" w:cs="Arial"/>
          <w:color w:val="000000"/>
          <w:sz w:val="24"/>
          <w:szCs w:val="24"/>
          <w:lang w:eastAsia="es-MX"/>
        </w:rPr>
        <w:t xml:space="preserve"> Las disposiciones reglamentarias y administrativas vigentes a la fecha de entrada en vigor de este decreto, seguirán aplicándose en todo lo que no se opongan a lo dispuesto en el mismo, hasta en tanto se realice la armonización correspondiente con el presente decreto.</w:t>
      </w: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CUARTO.</w:t>
      </w:r>
      <w:r w:rsidRPr="00801A33">
        <w:rPr>
          <w:rFonts w:ascii="Arial" w:eastAsia="Arial" w:hAnsi="Arial" w:cs="Arial"/>
          <w:color w:val="000000"/>
          <w:sz w:val="24"/>
          <w:szCs w:val="24"/>
          <w:lang w:eastAsia="es-MX"/>
        </w:rPr>
        <w:t xml:space="preserve"> La Secretaría de Finanzas y la Secretaría de Fiscalización y Rendición de Cuentas en el ámbito de sus atribuciones, en coordinación con las dependencias competentes, deberán implementar las acciones necesarias para que los recursos humanos, materiales, financieros y presupuestales de la Secretaría de Gobierno que correspondan al Secretariado Ejecutivo del Sistema Estatal de Seguridad, sean reasignados a la Secretaría de Seguridad Pública, de acuerdo a este decreto y demás disposiciones legales y administrativas aplicables.</w:t>
      </w:r>
    </w:p>
    <w:p w:rsidR="00500B72" w:rsidRPr="00801A33"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p>
    <w:p w:rsidR="00500B72" w:rsidRDefault="00500B72"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r w:rsidRPr="00801A33">
        <w:rPr>
          <w:rFonts w:ascii="Arial" w:eastAsia="Arial" w:hAnsi="Arial" w:cs="Arial"/>
          <w:color w:val="000000"/>
          <w:sz w:val="24"/>
          <w:szCs w:val="24"/>
          <w:lang w:eastAsia="es-MX"/>
        </w:rPr>
        <w:t>Asimismo, los asuntos que se encuentren en trámite del Secretariado Ejecutivo, serán transferidos a la Secretaría de Seguridad Pública.</w:t>
      </w:r>
    </w:p>
    <w:p w:rsidR="00801A33" w:rsidRPr="00801A33" w:rsidRDefault="00801A33" w:rsidP="00500B72">
      <w:pPr>
        <w:pBdr>
          <w:top w:val="nil"/>
          <w:left w:val="nil"/>
          <w:bottom w:val="nil"/>
          <w:right w:val="nil"/>
          <w:between w:val="nil"/>
        </w:pBdr>
        <w:spacing w:after="200" w:line="360" w:lineRule="auto"/>
        <w:ind w:right="-93"/>
        <w:jc w:val="both"/>
        <w:rPr>
          <w:rFonts w:ascii="Arial" w:eastAsia="Arial" w:hAnsi="Arial" w:cs="Arial"/>
          <w:color w:val="000000"/>
          <w:sz w:val="24"/>
          <w:szCs w:val="24"/>
          <w:lang w:eastAsia="es-MX"/>
        </w:rPr>
      </w:pPr>
    </w:p>
    <w:p w:rsidR="00500B72" w:rsidRPr="00801A33" w:rsidRDefault="00500B72" w:rsidP="00500B72">
      <w:pPr>
        <w:pBdr>
          <w:top w:val="nil"/>
          <w:left w:val="nil"/>
          <w:bottom w:val="nil"/>
          <w:right w:val="nil"/>
          <w:between w:val="nil"/>
        </w:pBdr>
        <w:spacing w:after="200" w:line="360" w:lineRule="auto"/>
        <w:jc w:val="both"/>
        <w:rPr>
          <w:rFonts w:ascii="Arial" w:eastAsia="Arial" w:hAnsi="Arial" w:cs="Arial"/>
          <w:color w:val="000000"/>
          <w:sz w:val="24"/>
          <w:szCs w:val="24"/>
          <w:lang w:eastAsia="es-MX"/>
        </w:rPr>
      </w:pPr>
      <w:r w:rsidRPr="00801A33">
        <w:rPr>
          <w:rFonts w:ascii="Arial" w:eastAsia="Arial" w:hAnsi="Arial" w:cs="Arial"/>
          <w:b/>
          <w:color w:val="000000"/>
          <w:sz w:val="24"/>
          <w:szCs w:val="24"/>
          <w:lang w:eastAsia="es-MX"/>
        </w:rPr>
        <w:t>QUINTO.</w:t>
      </w:r>
      <w:r w:rsidRPr="00801A33">
        <w:rPr>
          <w:rFonts w:ascii="Arial" w:eastAsia="Arial" w:hAnsi="Arial" w:cs="Arial"/>
          <w:color w:val="000000"/>
          <w:sz w:val="24"/>
          <w:szCs w:val="24"/>
          <w:lang w:eastAsia="es-MX"/>
        </w:rPr>
        <w:t xml:space="preserve"> Los derechos laborales del personal del Secretariado Ejecutivo que, en virtud de lo dispuesto en la presente Ley, sean transferidos de la Secretaría de Gobierno a la Secretaría de Seguridad Pública, serán respetados conforme a las disposiciones aplicables.</w:t>
      </w:r>
    </w:p>
    <w:p w:rsidR="00801A33" w:rsidRDefault="00801A33" w:rsidP="00801A33">
      <w:pPr>
        <w:widowControl w:val="0"/>
        <w:spacing w:after="0" w:line="240" w:lineRule="auto"/>
        <w:jc w:val="both"/>
        <w:rPr>
          <w:rFonts w:ascii="Arial" w:eastAsia="Times New Roman" w:hAnsi="Arial" w:cs="Arial"/>
          <w:b/>
          <w:snapToGrid w:val="0"/>
          <w:sz w:val="26"/>
          <w:szCs w:val="26"/>
          <w:lang w:val="es-ES_tradnl" w:eastAsia="es-ES"/>
        </w:rPr>
      </w:pPr>
    </w:p>
    <w:p w:rsidR="00801A33" w:rsidRDefault="00801A33" w:rsidP="00801A33">
      <w:pPr>
        <w:widowControl w:val="0"/>
        <w:spacing w:after="0" w:line="240" w:lineRule="auto"/>
        <w:jc w:val="both"/>
        <w:rPr>
          <w:rFonts w:ascii="Arial" w:eastAsia="Times New Roman" w:hAnsi="Arial" w:cs="Arial"/>
          <w:b/>
          <w:snapToGrid w:val="0"/>
          <w:sz w:val="26"/>
          <w:szCs w:val="26"/>
          <w:lang w:val="es-ES_tradnl" w:eastAsia="es-ES"/>
        </w:rPr>
      </w:pPr>
    </w:p>
    <w:p w:rsidR="00801A33" w:rsidRDefault="00801A33" w:rsidP="00801A33">
      <w:pPr>
        <w:widowControl w:val="0"/>
        <w:spacing w:after="0" w:line="240" w:lineRule="auto"/>
        <w:jc w:val="both"/>
        <w:rPr>
          <w:rFonts w:ascii="Arial" w:eastAsia="Times New Roman" w:hAnsi="Arial" w:cs="Arial"/>
          <w:b/>
          <w:snapToGrid w:val="0"/>
          <w:sz w:val="26"/>
          <w:szCs w:val="26"/>
          <w:lang w:val="es-ES_tradnl" w:eastAsia="es-ES"/>
        </w:rPr>
      </w:pPr>
    </w:p>
    <w:p w:rsidR="00801A33" w:rsidRDefault="00801A33" w:rsidP="00801A33">
      <w:pPr>
        <w:widowControl w:val="0"/>
        <w:spacing w:after="0" w:line="240" w:lineRule="auto"/>
        <w:jc w:val="both"/>
        <w:rPr>
          <w:rFonts w:ascii="Arial" w:eastAsia="Times New Roman" w:hAnsi="Arial" w:cs="Arial"/>
          <w:b/>
          <w:snapToGrid w:val="0"/>
          <w:sz w:val="26"/>
          <w:szCs w:val="26"/>
          <w:lang w:val="es-ES_tradnl" w:eastAsia="es-ES"/>
        </w:rPr>
      </w:pPr>
    </w:p>
    <w:p w:rsidR="00801A33" w:rsidRPr="00747092" w:rsidRDefault="00801A33" w:rsidP="00801A3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Pr>
          <w:rFonts w:ascii="Arial" w:eastAsia="Times New Roman" w:hAnsi="Arial" w:cs="Arial"/>
          <w:b/>
          <w:snapToGrid w:val="0"/>
          <w:sz w:val="24"/>
          <w:szCs w:val="24"/>
          <w:lang w:val="es-ES_tradnl" w:eastAsia="es-ES"/>
        </w:rPr>
        <w:t>ahuila de Zaragoza, a los doce</w:t>
      </w:r>
      <w:r w:rsidRPr="00747092">
        <w:rPr>
          <w:rFonts w:ascii="Arial" w:eastAsia="Times New Roman" w:hAnsi="Arial" w:cs="Arial"/>
          <w:b/>
          <w:snapToGrid w:val="0"/>
          <w:sz w:val="24"/>
          <w:szCs w:val="24"/>
          <w:lang w:val="es-ES_tradnl" w:eastAsia="es-ES"/>
        </w:rPr>
        <w:t xml:space="preserve"> días del mes de noviembre del año dos mil veinte.</w:t>
      </w:r>
    </w:p>
    <w:p w:rsidR="00801A33" w:rsidRPr="00747092" w:rsidRDefault="00801A33" w:rsidP="00801A33">
      <w:pPr>
        <w:tabs>
          <w:tab w:val="left" w:pos="8749"/>
        </w:tabs>
        <w:spacing w:after="0" w:line="240" w:lineRule="auto"/>
        <w:jc w:val="both"/>
        <w:rPr>
          <w:rFonts w:ascii="Arial" w:eastAsia="Times New Roman" w:hAnsi="Arial" w:cs="Arial"/>
          <w:b/>
          <w:snapToGrid w:val="0"/>
          <w:sz w:val="24"/>
          <w:szCs w:val="24"/>
          <w:lang w:val="es-ES_tradnl" w:eastAsia="es-ES"/>
        </w:rPr>
      </w:pPr>
    </w:p>
    <w:p w:rsidR="00801A33" w:rsidRPr="00747092" w:rsidRDefault="00801A33" w:rsidP="00801A33">
      <w:pPr>
        <w:tabs>
          <w:tab w:val="left" w:pos="8749"/>
        </w:tabs>
        <w:spacing w:after="0" w:line="240" w:lineRule="auto"/>
        <w:jc w:val="both"/>
        <w:rPr>
          <w:rFonts w:ascii="Arial" w:eastAsia="Times New Roman" w:hAnsi="Arial" w:cs="Arial"/>
          <w:b/>
          <w:snapToGrid w:val="0"/>
          <w:sz w:val="24"/>
          <w:szCs w:val="24"/>
          <w:lang w:val="es-ES_tradnl" w:eastAsia="es-ES"/>
        </w:rPr>
      </w:pPr>
    </w:p>
    <w:p w:rsidR="00801A33" w:rsidRPr="00747092" w:rsidRDefault="00801A33" w:rsidP="00801A33">
      <w:pPr>
        <w:tabs>
          <w:tab w:val="left" w:pos="8749"/>
        </w:tabs>
        <w:spacing w:after="0" w:line="240" w:lineRule="auto"/>
        <w:jc w:val="both"/>
        <w:rPr>
          <w:rFonts w:ascii="Arial" w:eastAsia="Times New Roman" w:hAnsi="Arial" w:cs="Arial"/>
          <w:b/>
          <w:snapToGrid w:val="0"/>
          <w:sz w:val="24"/>
          <w:szCs w:val="24"/>
          <w:lang w:val="es-ES_tradnl" w:eastAsia="es-ES"/>
        </w:rPr>
      </w:pPr>
    </w:p>
    <w:p w:rsidR="00801A33" w:rsidRPr="00747092" w:rsidRDefault="00801A33" w:rsidP="00801A33">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DIPUTADO PRESIDENTE</w:t>
      </w:r>
    </w:p>
    <w:p w:rsidR="00801A33" w:rsidRPr="00747092"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Pr="00747092"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Pr="00747092"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Pr="00747092" w:rsidRDefault="000741F5" w:rsidP="00801A33">
      <w:pPr>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MARCELO DE JESÚS TORRES COFIÑO</w:t>
      </w:r>
    </w:p>
    <w:p w:rsidR="00801A33" w:rsidRPr="00747092"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Pr="00747092" w:rsidRDefault="00801A33" w:rsidP="00801A33">
      <w:pPr>
        <w:spacing w:after="0" w:line="240" w:lineRule="auto"/>
        <w:jc w:val="center"/>
        <w:rPr>
          <w:rFonts w:ascii="Arial" w:eastAsia="Times New Roman" w:hAnsi="Arial" w:cs="Arial"/>
          <w:b/>
          <w:snapToGrid w:val="0"/>
          <w:sz w:val="24"/>
          <w:szCs w:val="24"/>
          <w:lang w:val="es-ES_tradnl" w:eastAsia="es-ES"/>
        </w:rPr>
      </w:pPr>
    </w:p>
    <w:p w:rsidR="00801A33" w:rsidRPr="00747092" w:rsidRDefault="00801A33" w:rsidP="00801A33">
      <w:pPr>
        <w:spacing w:after="0" w:line="240" w:lineRule="auto"/>
        <w:rPr>
          <w:rFonts w:ascii="Arial" w:hAnsi="Arial" w:cs="Arial"/>
          <w:b/>
          <w:sz w:val="24"/>
          <w:szCs w:val="24"/>
        </w:rPr>
      </w:pPr>
      <w:r w:rsidRPr="00747092">
        <w:rPr>
          <w:rFonts w:ascii="Arial" w:hAnsi="Arial" w:cs="Arial"/>
          <w:b/>
          <w:sz w:val="24"/>
          <w:szCs w:val="24"/>
        </w:rPr>
        <w:t xml:space="preserve">       DIPUTADA SECRETARIA                                    </w:t>
      </w:r>
      <w:r>
        <w:rPr>
          <w:rFonts w:ascii="Arial" w:hAnsi="Arial" w:cs="Arial"/>
          <w:b/>
          <w:sz w:val="24"/>
          <w:szCs w:val="24"/>
        </w:rPr>
        <w:t xml:space="preserve">              </w:t>
      </w:r>
      <w:r w:rsidRPr="00747092">
        <w:rPr>
          <w:rFonts w:ascii="Arial" w:hAnsi="Arial" w:cs="Arial"/>
          <w:b/>
          <w:sz w:val="24"/>
          <w:szCs w:val="24"/>
        </w:rPr>
        <w:t>DIPUTADA SECRETARIA</w:t>
      </w:r>
    </w:p>
    <w:p w:rsidR="00801A33" w:rsidRPr="00747092" w:rsidRDefault="00801A33" w:rsidP="00801A33">
      <w:pPr>
        <w:spacing w:after="0" w:line="240" w:lineRule="auto"/>
        <w:rPr>
          <w:rFonts w:ascii="Arial" w:hAnsi="Arial" w:cs="Arial"/>
          <w:b/>
          <w:sz w:val="24"/>
          <w:szCs w:val="24"/>
        </w:rPr>
      </w:pPr>
    </w:p>
    <w:p w:rsidR="00801A33" w:rsidRDefault="00801A33" w:rsidP="00801A33">
      <w:pPr>
        <w:spacing w:after="0" w:line="240" w:lineRule="auto"/>
        <w:rPr>
          <w:rFonts w:ascii="Arial" w:hAnsi="Arial" w:cs="Arial"/>
          <w:b/>
          <w:sz w:val="24"/>
          <w:szCs w:val="24"/>
        </w:rPr>
      </w:pPr>
    </w:p>
    <w:p w:rsidR="00801A33" w:rsidRDefault="00801A33" w:rsidP="00801A33">
      <w:pPr>
        <w:spacing w:after="0" w:line="240" w:lineRule="auto"/>
        <w:rPr>
          <w:rFonts w:ascii="Arial" w:hAnsi="Arial" w:cs="Arial"/>
          <w:b/>
          <w:sz w:val="24"/>
          <w:szCs w:val="24"/>
        </w:rPr>
      </w:pPr>
      <w:bookmarkStart w:id="0" w:name="_GoBack"/>
      <w:bookmarkEnd w:id="0"/>
    </w:p>
    <w:p w:rsidR="00801A33" w:rsidRPr="00747092" w:rsidRDefault="00801A33" w:rsidP="00801A33">
      <w:pPr>
        <w:spacing w:after="0" w:line="240" w:lineRule="auto"/>
        <w:rPr>
          <w:rFonts w:ascii="Arial" w:hAnsi="Arial" w:cs="Arial"/>
          <w:b/>
          <w:sz w:val="24"/>
          <w:szCs w:val="24"/>
        </w:rPr>
      </w:pPr>
    </w:p>
    <w:p w:rsidR="00801A33" w:rsidRPr="00747092" w:rsidRDefault="00801A33" w:rsidP="00801A33">
      <w:pPr>
        <w:spacing w:after="0" w:line="240" w:lineRule="auto"/>
        <w:rPr>
          <w:rFonts w:ascii="Arial" w:hAnsi="Arial" w:cs="Arial"/>
          <w:b/>
          <w:sz w:val="24"/>
          <w:szCs w:val="24"/>
        </w:rPr>
      </w:pPr>
    </w:p>
    <w:p w:rsidR="00801A33" w:rsidRPr="00747092" w:rsidRDefault="000741F5" w:rsidP="00801A33">
      <w:pPr>
        <w:spacing w:after="0" w:line="240" w:lineRule="auto"/>
        <w:rPr>
          <w:rFonts w:ascii="Arial" w:hAnsi="Arial" w:cs="Arial"/>
          <w:b/>
          <w:sz w:val="24"/>
          <w:szCs w:val="24"/>
        </w:rPr>
      </w:pPr>
      <w:r>
        <w:rPr>
          <w:rFonts w:ascii="Arial" w:hAnsi="Arial" w:cs="Arial"/>
          <w:b/>
          <w:sz w:val="24"/>
          <w:szCs w:val="24"/>
        </w:rPr>
        <w:t xml:space="preserve">    BLANCA EPPEN CAN</w:t>
      </w:r>
      <w:r w:rsidR="00801A33">
        <w:rPr>
          <w:rFonts w:ascii="Arial" w:hAnsi="Arial" w:cs="Arial"/>
          <w:b/>
          <w:sz w:val="24"/>
          <w:szCs w:val="24"/>
        </w:rPr>
        <w:t>ALES                                             JOSEFINA GARZA BARRERA</w:t>
      </w:r>
    </w:p>
    <w:p w:rsidR="00801A33" w:rsidRPr="00747092" w:rsidRDefault="00801A33" w:rsidP="00801A33">
      <w:pPr>
        <w:spacing w:after="0" w:line="240" w:lineRule="auto"/>
        <w:rPr>
          <w:rFonts w:ascii="Arial" w:hAnsi="Arial" w:cs="Arial"/>
          <w:sz w:val="26"/>
          <w:szCs w:val="26"/>
        </w:rPr>
      </w:pPr>
    </w:p>
    <w:p w:rsidR="00801A33" w:rsidRPr="00747092" w:rsidRDefault="00801A33" w:rsidP="00801A33">
      <w:pPr>
        <w:spacing w:after="0" w:line="240" w:lineRule="auto"/>
        <w:rPr>
          <w:rFonts w:ascii="Arial" w:hAnsi="Arial" w:cs="Arial"/>
          <w:sz w:val="26"/>
          <w:szCs w:val="26"/>
        </w:rPr>
      </w:pPr>
    </w:p>
    <w:p w:rsidR="00801A33" w:rsidRPr="00747092" w:rsidRDefault="00801A33" w:rsidP="00801A33">
      <w:pPr>
        <w:rPr>
          <w:rFonts w:ascii="Arial" w:hAnsi="Arial" w:cs="Arial"/>
        </w:rPr>
      </w:pPr>
    </w:p>
    <w:p w:rsidR="00801A33" w:rsidRDefault="00801A33" w:rsidP="00801A33"/>
    <w:p w:rsidR="00BC2769" w:rsidRDefault="00BC2769" w:rsidP="00801A33">
      <w:pPr>
        <w:widowControl w:val="0"/>
        <w:tabs>
          <w:tab w:val="left" w:pos="8749"/>
        </w:tabs>
        <w:spacing w:after="0" w:line="240" w:lineRule="auto"/>
        <w:jc w:val="both"/>
      </w:pPr>
    </w:p>
    <w:sectPr w:rsidR="00BC2769" w:rsidSect="00F35DB2">
      <w:headerReference w:type="default" r:id="rId7"/>
      <w:pgSz w:w="12240" w:h="1584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F9" w:rsidRDefault="00246BF9" w:rsidP="00801A33">
      <w:pPr>
        <w:spacing w:after="0" w:line="240" w:lineRule="auto"/>
      </w:pPr>
      <w:r>
        <w:separator/>
      </w:r>
    </w:p>
  </w:endnote>
  <w:endnote w:type="continuationSeparator" w:id="0">
    <w:p w:rsidR="00246BF9" w:rsidRDefault="00246BF9" w:rsidP="0080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F9" w:rsidRDefault="00246BF9" w:rsidP="00801A33">
      <w:pPr>
        <w:spacing w:after="0" w:line="240" w:lineRule="auto"/>
      </w:pPr>
      <w:r>
        <w:separator/>
      </w:r>
    </w:p>
  </w:footnote>
  <w:footnote w:type="continuationSeparator" w:id="0">
    <w:p w:rsidR="00246BF9" w:rsidRDefault="00246BF9" w:rsidP="0080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01A33" w:rsidRPr="00252CC9" w:rsidTr="00C16100">
      <w:trPr>
        <w:jc w:val="center"/>
      </w:trPr>
      <w:tc>
        <w:tcPr>
          <w:tcW w:w="1541" w:type="dxa"/>
        </w:tcPr>
        <w:p w:rsidR="00801A33" w:rsidRPr="00252CC9" w:rsidRDefault="00801A33" w:rsidP="00801A33">
          <w:pPr>
            <w:spacing w:after="0" w:line="240" w:lineRule="auto"/>
            <w:jc w:val="center"/>
            <w:rPr>
              <w:rFonts w:ascii="Arial" w:eastAsia="Times New Roman" w:hAnsi="Arial" w:cs="Times New Roman"/>
              <w:b/>
              <w:bCs/>
              <w:sz w:val="12"/>
              <w:szCs w:val="20"/>
              <w:lang w:eastAsia="es-ES"/>
            </w:rPr>
          </w:pPr>
          <w:r w:rsidRPr="00252CC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7E4FFC4" wp14:editId="4734CD22">
                <wp:simplePos x="0" y="0"/>
                <wp:positionH relativeFrom="column">
                  <wp:posOffset>-15062</wp:posOffset>
                </wp:positionH>
                <wp:positionV relativeFrom="paragraph">
                  <wp:posOffset>22987</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A33" w:rsidRPr="00252CC9" w:rsidRDefault="00801A33" w:rsidP="00801A33">
          <w:pPr>
            <w:spacing w:after="0" w:line="240" w:lineRule="auto"/>
            <w:jc w:val="center"/>
            <w:rPr>
              <w:rFonts w:ascii="Arial" w:eastAsia="Times New Roman" w:hAnsi="Arial" w:cs="Times New Roman"/>
              <w:b/>
              <w:bCs/>
              <w:sz w:val="12"/>
              <w:szCs w:val="20"/>
              <w:lang w:eastAsia="es-ES"/>
            </w:rPr>
          </w:pPr>
        </w:p>
        <w:p w:rsidR="00801A33" w:rsidRPr="00252CC9" w:rsidRDefault="00801A33" w:rsidP="00801A33">
          <w:pPr>
            <w:spacing w:after="0" w:line="240" w:lineRule="auto"/>
            <w:jc w:val="center"/>
            <w:rPr>
              <w:rFonts w:ascii="Arial" w:eastAsia="Times New Roman" w:hAnsi="Arial" w:cs="Times New Roman"/>
              <w:b/>
              <w:bCs/>
              <w:sz w:val="12"/>
              <w:szCs w:val="20"/>
              <w:lang w:eastAsia="es-ES"/>
            </w:rPr>
          </w:pPr>
        </w:p>
      </w:tc>
      <w:tc>
        <w:tcPr>
          <w:tcW w:w="7975" w:type="dxa"/>
        </w:tcPr>
        <w:p w:rsidR="00801A33" w:rsidRPr="00252CC9" w:rsidRDefault="00801A33" w:rsidP="00801A33">
          <w:pPr>
            <w:spacing w:after="0" w:line="240" w:lineRule="auto"/>
            <w:jc w:val="center"/>
            <w:rPr>
              <w:rFonts w:ascii="Arial" w:eastAsia="Times New Roman" w:hAnsi="Arial" w:cs="Times New Roman"/>
              <w:b/>
              <w:bCs/>
              <w:szCs w:val="20"/>
              <w:lang w:eastAsia="es-ES"/>
            </w:rPr>
          </w:pPr>
        </w:p>
        <w:p w:rsidR="00801A33" w:rsidRPr="00252CC9" w:rsidRDefault="00801A33" w:rsidP="00801A3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Arial"/>
              <w:bCs/>
              <w:smallCaps/>
              <w:spacing w:val="20"/>
              <w:sz w:val="32"/>
              <w:szCs w:val="32"/>
              <w:lang w:eastAsia="es-ES"/>
            </w:rPr>
            <w:t>Congreso del Estado Independiente,</w:t>
          </w:r>
        </w:p>
        <w:p w:rsidR="00801A33" w:rsidRPr="00252CC9" w:rsidRDefault="00801A33" w:rsidP="00801A3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Arial"/>
              <w:bCs/>
              <w:smallCaps/>
              <w:spacing w:val="20"/>
              <w:sz w:val="32"/>
              <w:szCs w:val="32"/>
              <w:lang w:eastAsia="es-ES"/>
            </w:rPr>
            <w:t>Libre y Soberano de Coahuila de Zaragoza</w:t>
          </w:r>
        </w:p>
        <w:p w:rsidR="00801A33" w:rsidRPr="00252CC9" w:rsidRDefault="00801A33" w:rsidP="00801A3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01A33" w:rsidRPr="00252CC9" w:rsidRDefault="00801A33" w:rsidP="00801A3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Times New Roman"/>
              <w:sz w:val="18"/>
              <w:szCs w:val="20"/>
              <w:lang w:eastAsia="es-MX"/>
            </w:rPr>
            <w:t>“2020, Año del Centenario Luctuoso de Venustiano Carranza, el Varón de Cuatro Ciénegas”</w:t>
          </w:r>
        </w:p>
        <w:p w:rsidR="00801A33" w:rsidRPr="00252CC9" w:rsidRDefault="00801A33" w:rsidP="00801A33">
          <w:pPr>
            <w:spacing w:after="0" w:line="240" w:lineRule="auto"/>
            <w:jc w:val="center"/>
            <w:rPr>
              <w:rFonts w:ascii="Arial" w:eastAsia="Times New Roman" w:hAnsi="Arial" w:cs="Times New Roman"/>
              <w:b/>
              <w:bCs/>
              <w:sz w:val="12"/>
              <w:szCs w:val="20"/>
              <w:lang w:eastAsia="es-ES"/>
            </w:rPr>
          </w:pPr>
        </w:p>
      </w:tc>
      <w:tc>
        <w:tcPr>
          <w:tcW w:w="1541" w:type="dxa"/>
        </w:tcPr>
        <w:p w:rsidR="00801A33" w:rsidRPr="00252CC9" w:rsidRDefault="00801A33" w:rsidP="00801A33">
          <w:pPr>
            <w:spacing w:after="0" w:line="240" w:lineRule="auto"/>
            <w:jc w:val="center"/>
            <w:rPr>
              <w:rFonts w:ascii="Arial" w:eastAsia="Times New Roman" w:hAnsi="Arial" w:cs="Times New Roman"/>
              <w:b/>
              <w:bCs/>
              <w:sz w:val="12"/>
              <w:szCs w:val="20"/>
              <w:lang w:eastAsia="es-ES"/>
            </w:rPr>
          </w:pPr>
          <w:r w:rsidRPr="00252CC9">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FAE5D67" wp14:editId="6F422044">
                <wp:simplePos x="0" y="0"/>
                <wp:positionH relativeFrom="column">
                  <wp:posOffset>117475</wp:posOffset>
                </wp:positionH>
                <wp:positionV relativeFrom="paragraph">
                  <wp:posOffset>-314325</wp:posOffset>
                </wp:positionV>
                <wp:extent cx="463696" cy="126545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801A33" w:rsidRPr="00252CC9" w:rsidRDefault="00801A33" w:rsidP="00801A33">
          <w:pPr>
            <w:spacing w:after="0" w:line="240" w:lineRule="auto"/>
            <w:jc w:val="center"/>
            <w:rPr>
              <w:rFonts w:ascii="Arial" w:eastAsia="Times New Roman" w:hAnsi="Arial" w:cs="Times New Roman"/>
              <w:b/>
              <w:bCs/>
              <w:sz w:val="12"/>
              <w:szCs w:val="20"/>
              <w:lang w:eastAsia="es-ES"/>
            </w:rPr>
          </w:pPr>
        </w:p>
        <w:p w:rsidR="00801A33" w:rsidRPr="00252CC9" w:rsidRDefault="00801A33" w:rsidP="00801A33">
          <w:pPr>
            <w:spacing w:after="0" w:line="240" w:lineRule="auto"/>
            <w:jc w:val="center"/>
            <w:rPr>
              <w:rFonts w:ascii="Arial" w:eastAsia="Times New Roman" w:hAnsi="Arial" w:cs="Times New Roman"/>
              <w:b/>
              <w:bCs/>
              <w:sz w:val="12"/>
              <w:szCs w:val="20"/>
              <w:lang w:eastAsia="es-ES"/>
            </w:rPr>
          </w:pPr>
        </w:p>
      </w:tc>
    </w:tr>
  </w:tbl>
  <w:p w:rsidR="00801A33" w:rsidRPr="00252CC9" w:rsidRDefault="00801A33" w:rsidP="00801A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3167"/>
    <w:multiLevelType w:val="multilevel"/>
    <w:tmpl w:val="DF2C3658"/>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69"/>
    <w:rsid w:val="000653EC"/>
    <w:rsid w:val="000741F5"/>
    <w:rsid w:val="00246BF9"/>
    <w:rsid w:val="00251C26"/>
    <w:rsid w:val="004562E7"/>
    <w:rsid w:val="00500B72"/>
    <w:rsid w:val="006B5877"/>
    <w:rsid w:val="0071215A"/>
    <w:rsid w:val="00801A33"/>
    <w:rsid w:val="0082122A"/>
    <w:rsid w:val="00BC2769"/>
    <w:rsid w:val="00E269A0"/>
    <w:rsid w:val="00E453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BBD2"/>
  <w15:chartTrackingRefBased/>
  <w15:docId w15:val="{F3FAB350-2DC5-49C2-9CA3-D5BD32FD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A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A33"/>
  </w:style>
  <w:style w:type="paragraph" w:styleId="Piedepgina">
    <w:name w:val="footer"/>
    <w:basedOn w:val="Normal"/>
    <w:link w:val="PiedepginaCar"/>
    <w:uiPriority w:val="99"/>
    <w:unhideWhenUsed/>
    <w:rsid w:val="00801A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2020-11-19T20:24:00Z</dcterms:created>
  <dcterms:modified xsi:type="dcterms:W3CDTF">2020-11-19T20:24:00Z</dcterms:modified>
</cp:coreProperties>
</file>