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A0" w:rsidRPr="00F14886" w:rsidRDefault="007B1DA0" w:rsidP="007B1D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1DA0" w:rsidRPr="00F14886" w:rsidRDefault="007B1DA0" w:rsidP="007B1D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1DA0" w:rsidRPr="00F14886" w:rsidRDefault="007B1DA0" w:rsidP="007B1D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1DA0" w:rsidRPr="00F14886" w:rsidRDefault="007B1DA0" w:rsidP="007B1D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1DA0" w:rsidRPr="00F14886" w:rsidRDefault="007B1DA0" w:rsidP="007B1D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1DA0" w:rsidRPr="00F14886" w:rsidRDefault="007B1DA0" w:rsidP="007B1D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7B1DA0" w:rsidRPr="00F14886" w:rsidRDefault="007B1DA0" w:rsidP="007B1D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1DA0" w:rsidRPr="00F14886" w:rsidRDefault="007B1DA0" w:rsidP="007B1DA0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1DA0" w:rsidRPr="00F14886" w:rsidRDefault="007B1DA0" w:rsidP="007B1D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7B1DA0" w:rsidRPr="00F14886" w:rsidRDefault="007B1DA0" w:rsidP="007B1D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1DA0" w:rsidRDefault="007B1DA0" w:rsidP="007B1D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NÚMERO 809</w:t>
      </w:r>
      <w:r w:rsidRPr="00F14886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.-</w:t>
      </w:r>
    </w:p>
    <w:p w:rsidR="007B1DA0" w:rsidRPr="00F14886" w:rsidRDefault="007B1DA0" w:rsidP="007B1D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sz w:val="25"/>
          <w:szCs w:val="25"/>
        </w:rPr>
      </w:pPr>
      <w:r w:rsidRPr="00297117"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 w:rsidRPr="00297117">
        <w:rPr>
          <w:rFonts w:ascii="Arial" w:hAnsi="Arial" w:cs="Arial"/>
          <w:b/>
          <w:sz w:val="25"/>
          <w:szCs w:val="25"/>
        </w:rPr>
        <w:t>ÚNICO.-</w:t>
      </w:r>
      <w:proofErr w:type="gramEnd"/>
      <w:r w:rsidRPr="00297117">
        <w:rPr>
          <w:rFonts w:ascii="Arial" w:hAnsi="Arial" w:cs="Arial"/>
          <w:b/>
          <w:sz w:val="25"/>
          <w:szCs w:val="25"/>
        </w:rPr>
        <w:t xml:space="preserve"> </w:t>
      </w:r>
      <w:r w:rsidRPr="00297117">
        <w:rPr>
          <w:rFonts w:ascii="Arial" w:hAnsi="Arial" w:cs="Arial"/>
          <w:sz w:val="25"/>
          <w:szCs w:val="25"/>
        </w:rPr>
        <w:t xml:space="preserve">Se </w:t>
      </w:r>
      <w:r w:rsidRPr="00297117">
        <w:rPr>
          <w:rFonts w:ascii="Arial" w:hAnsi="Arial" w:cs="Arial"/>
          <w:b/>
          <w:sz w:val="25"/>
          <w:szCs w:val="25"/>
        </w:rPr>
        <w:t xml:space="preserve">reforma </w:t>
      </w:r>
      <w:r w:rsidRPr="00297117">
        <w:rPr>
          <w:rFonts w:ascii="Arial" w:hAnsi="Arial" w:cs="Arial"/>
          <w:bCs/>
          <w:sz w:val="25"/>
          <w:szCs w:val="25"/>
        </w:rPr>
        <w:t xml:space="preserve">el cuarto párrafo del artículo 211 y el segundo párrafo del artículo 212 del </w:t>
      </w:r>
      <w:r w:rsidRPr="00297117">
        <w:rPr>
          <w:rFonts w:ascii="Arial" w:hAnsi="Arial" w:cs="Arial"/>
          <w:b/>
          <w:bCs/>
          <w:sz w:val="25"/>
          <w:szCs w:val="25"/>
        </w:rPr>
        <w:t>Código Penal de Coahuila de Zaragoza</w:t>
      </w:r>
      <w:r w:rsidRPr="00297117">
        <w:rPr>
          <w:rFonts w:ascii="Arial" w:hAnsi="Arial" w:cs="Arial"/>
          <w:sz w:val="25"/>
          <w:szCs w:val="25"/>
        </w:rPr>
        <w:t>, para quedar como sigue:</w:t>
      </w: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bCs/>
          <w:sz w:val="25"/>
          <w:szCs w:val="25"/>
          <w:lang w:eastAsia="es-MX"/>
        </w:rPr>
      </w:pP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bCs/>
          <w:sz w:val="25"/>
          <w:szCs w:val="25"/>
          <w:lang w:eastAsia="es-MX"/>
        </w:rPr>
      </w:pPr>
      <w:proofErr w:type="spellStart"/>
      <w:r w:rsidRPr="00297117">
        <w:rPr>
          <w:rFonts w:ascii="Arial" w:hAnsi="Arial" w:cs="Arial"/>
          <w:b/>
          <w:bCs/>
          <w:sz w:val="25"/>
          <w:szCs w:val="25"/>
          <w:lang w:eastAsia="es-MX"/>
        </w:rPr>
        <w:t>Artículo</w:t>
      </w:r>
      <w:proofErr w:type="spellEnd"/>
      <w:r w:rsidRPr="00297117">
        <w:rPr>
          <w:rFonts w:ascii="Arial" w:hAnsi="Arial" w:cs="Arial"/>
          <w:b/>
          <w:bCs/>
          <w:sz w:val="25"/>
          <w:szCs w:val="25"/>
          <w:lang w:eastAsia="es-MX"/>
        </w:rPr>
        <w:t xml:space="preserve"> 211 </w:t>
      </w:r>
      <w:r w:rsidRPr="00297117">
        <w:rPr>
          <w:rFonts w:ascii="Arial" w:hAnsi="Arial" w:cs="Arial"/>
          <w:bCs/>
          <w:sz w:val="25"/>
          <w:szCs w:val="25"/>
          <w:lang w:eastAsia="es-MX"/>
        </w:rPr>
        <w:t>…</w:t>
      </w: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eastAsia="es-MX"/>
        </w:rPr>
      </w:pP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eastAsia="es-MX"/>
        </w:rPr>
      </w:pPr>
      <w:r w:rsidRPr="00297117">
        <w:rPr>
          <w:rFonts w:ascii="Arial" w:hAnsi="Arial" w:cs="Arial"/>
          <w:b/>
          <w:sz w:val="25"/>
          <w:szCs w:val="25"/>
          <w:lang w:eastAsia="es-MX"/>
        </w:rPr>
        <w:t>…</w:t>
      </w: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eastAsia="es-MX"/>
        </w:rPr>
      </w:pP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eastAsia="es-MX"/>
        </w:rPr>
      </w:pPr>
      <w:r w:rsidRPr="00297117">
        <w:rPr>
          <w:rFonts w:ascii="Arial" w:hAnsi="Arial" w:cs="Arial"/>
          <w:b/>
          <w:sz w:val="25"/>
          <w:szCs w:val="25"/>
          <w:lang w:eastAsia="es-MX"/>
        </w:rPr>
        <w:t>…</w:t>
      </w: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eastAsia="es-MX"/>
        </w:rPr>
      </w:pP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eastAsia="es-MX"/>
        </w:rPr>
      </w:pPr>
      <w:r w:rsidRPr="00297117">
        <w:rPr>
          <w:rFonts w:ascii="Arial" w:hAnsi="Arial" w:cs="Arial"/>
          <w:b/>
          <w:sz w:val="25"/>
          <w:szCs w:val="25"/>
          <w:lang w:eastAsia="es-MX"/>
        </w:rPr>
        <w:t>…</w:t>
      </w: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sz w:val="25"/>
          <w:szCs w:val="25"/>
          <w:lang w:eastAsia="es-MX"/>
        </w:rPr>
      </w:pP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sz w:val="25"/>
          <w:szCs w:val="25"/>
          <w:lang w:eastAsia="es-MX"/>
        </w:rPr>
      </w:pP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Además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, en cualquiera de los supuestos de este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artículo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, si el sujeto activo es ascendiente o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descendiente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consanguíneo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 en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línea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 recta de la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víctima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, </w:t>
      </w:r>
      <w:r w:rsidRPr="00297117">
        <w:rPr>
          <w:rFonts w:ascii="Arial" w:hAnsi="Arial" w:cs="Arial"/>
          <w:bCs/>
          <w:sz w:val="25"/>
          <w:szCs w:val="25"/>
          <w:lang w:eastAsia="es-MX"/>
        </w:rPr>
        <w:t xml:space="preserve">cónyuge o compañero civil, </w:t>
      </w:r>
      <w:r w:rsidRPr="00297117">
        <w:rPr>
          <w:rFonts w:ascii="Arial" w:hAnsi="Arial" w:cs="Arial"/>
          <w:sz w:val="25"/>
          <w:szCs w:val="25"/>
          <w:lang w:eastAsia="es-MX"/>
        </w:rPr>
        <w:t xml:space="preserve">tutor o tutora de la misma, se le privará de la patria potestad o de la tutela, de los derechos de acreedor alimentario </w:t>
      </w:r>
      <w:r w:rsidRPr="00297117">
        <w:rPr>
          <w:rFonts w:ascii="Arial" w:hAnsi="Arial" w:cs="Arial"/>
          <w:bCs/>
          <w:sz w:val="25"/>
          <w:szCs w:val="25"/>
          <w:lang w:eastAsia="es-MX"/>
        </w:rPr>
        <w:t>y de los derechos a adquirir por testamento o intestado que tuviese con relación a la víctima</w:t>
      </w:r>
      <w:r w:rsidRPr="00297117">
        <w:rPr>
          <w:rFonts w:ascii="Arial" w:hAnsi="Arial" w:cs="Arial"/>
          <w:sz w:val="25"/>
          <w:szCs w:val="25"/>
          <w:lang w:eastAsia="es-MX"/>
        </w:rPr>
        <w:t xml:space="preserve">,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según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 sea el caso,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además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, se le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suspendera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́ de los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demás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 derechos de familia de uno a dos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años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según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 se regula la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suspensión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 de derechos en la Parte General de este </w:t>
      </w:r>
      <w:proofErr w:type="spellStart"/>
      <w:r w:rsidR="00C039B6" w:rsidRPr="00297117">
        <w:rPr>
          <w:rFonts w:ascii="Arial" w:hAnsi="Arial" w:cs="Arial"/>
          <w:sz w:val="25"/>
          <w:szCs w:val="25"/>
          <w:lang w:eastAsia="es-MX"/>
        </w:rPr>
        <w:t>C</w:t>
      </w:r>
      <w:r w:rsidRPr="00297117">
        <w:rPr>
          <w:rFonts w:ascii="Arial" w:hAnsi="Arial" w:cs="Arial"/>
          <w:sz w:val="25"/>
          <w:szCs w:val="25"/>
          <w:lang w:eastAsia="es-MX"/>
        </w:rPr>
        <w:t>ódigo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. </w:t>
      </w:r>
    </w:p>
    <w:p w:rsidR="00C039B6" w:rsidRPr="00297117" w:rsidRDefault="00C039B6" w:rsidP="00C039B6">
      <w:pPr>
        <w:spacing w:after="0" w:line="360" w:lineRule="auto"/>
        <w:jc w:val="both"/>
        <w:rPr>
          <w:rFonts w:ascii="Arial" w:hAnsi="Arial" w:cs="Arial"/>
          <w:sz w:val="25"/>
          <w:szCs w:val="25"/>
          <w:lang w:eastAsia="es-MX"/>
        </w:rPr>
      </w:pPr>
    </w:p>
    <w:p w:rsidR="00C039B6" w:rsidRPr="00297117" w:rsidRDefault="00C039B6" w:rsidP="00C039B6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eastAsia="es-MX"/>
        </w:rPr>
      </w:pPr>
      <w:r w:rsidRPr="00297117">
        <w:rPr>
          <w:rFonts w:ascii="Arial" w:hAnsi="Arial" w:cs="Arial"/>
          <w:b/>
          <w:sz w:val="25"/>
          <w:szCs w:val="25"/>
          <w:lang w:eastAsia="es-MX"/>
        </w:rPr>
        <w:t>…</w:t>
      </w:r>
    </w:p>
    <w:p w:rsidR="00C039B6" w:rsidRPr="00297117" w:rsidRDefault="00C039B6" w:rsidP="00C039B6">
      <w:pPr>
        <w:spacing w:after="0" w:line="360" w:lineRule="auto"/>
        <w:jc w:val="both"/>
        <w:rPr>
          <w:rFonts w:ascii="Arial" w:hAnsi="Arial" w:cs="Arial"/>
          <w:sz w:val="25"/>
          <w:szCs w:val="25"/>
          <w:lang w:eastAsia="es-MX"/>
        </w:rPr>
      </w:pPr>
    </w:p>
    <w:p w:rsidR="00C039B6" w:rsidRPr="00297117" w:rsidRDefault="00C039B6" w:rsidP="00C039B6">
      <w:pPr>
        <w:spacing w:after="0" w:line="360" w:lineRule="auto"/>
        <w:jc w:val="both"/>
        <w:rPr>
          <w:rFonts w:ascii="Arial" w:hAnsi="Arial" w:cs="Arial"/>
          <w:sz w:val="25"/>
          <w:szCs w:val="25"/>
          <w:lang w:eastAsia="es-MX"/>
        </w:rPr>
      </w:pPr>
    </w:p>
    <w:p w:rsidR="00C039B6" w:rsidRPr="00297117" w:rsidRDefault="00C039B6" w:rsidP="00C039B6">
      <w:pPr>
        <w:spacing w:after="0" w:line="360" w:lineRule="auto"/>
        <w:jc w:val="both"/>
        <w:rPr>
          <w:rFonts w:ascii="Arial" w:hAnsi="Arial" w:cs="Arial"/>
          <w:sz w:val="25"/>
          <w:szCs w:val="25"/>
          <w:lang w:eastAsia="es-MX"/>
        </w:rPr>
      </w:pP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bCs/>
          <w:sz w:val="25"/>
          <w:szCs w:val="25"/>
          <w:lang w:eastAsia="es-MX"/>
        </w:rPr>
      </w:pPr>
    </w:p>
    <w:p w:rsidR="00C039B6" w:rsidRPr="00297117" w:rsidRDefault="00C039B6" w:rsidP="00C039B6">
      <w:pPr>
        <w:spacing w:after="0" w:line="360" w:lineRule="auto"/>
        <w:jc w:val="both"/>
        <w:rPr>
          <w:rFonts w:ascii="Arial" w:hAnsi="Arial" w:cs="Arial"/>
          <w:b/>
          <w:bCs/>
          <w:sz w:val="25"/>
          <w:szCs w:val="25"/>
          <w:lang w:eastAsia="es-MX"/>
        </w:rPr>
      </w:pPr>
      <w:proofErr w:type="spellStart"/>
      <w:r w:rsidRPr="00297117">
        <w:rPr>
          <w:rFonts w:ascii="Arial" w:hAnsi="Arial" w:cs="Arial"/>
          <w:b/>
          <w:bCs/>
          <w:sz w:val="25"/>
          <w:szCs w:val="25"/>
          <w:lang w:eastAsia="es-MX"/>
        </w:rPr>
        <w:t>Artículo</w:t>
      </w:r>
      <w:proofErr w:type="spellEnd"/>
      <w:r w:rsidRPr="00297117">
        <w:rPr>
          <w:rFonts w:ascii="Arial" w:hAnsi="Arial" w:cs="Arial"/>
          <w:b/>
          <w:bCs/>
          <w:sz w:val="25"/>
          <w:szCs w:val="25"/>
          <w:lang w:eastAsia="es-MX"/>
        </w:rPr>
        <w:t xml:space="preserve"> 212 </w:t>
      </w:r>
      <w:r w:rsidRPr="00297117">
        <w:rPr>
          <w:rFonts w:ascii="Arial" w:hAnsi="Arial" w:cs="Arial"/>
          <w:bCs/>
          <w:sz w:val="25"/>
          <w:szCs w:val="25"/>
          <w:lang w:eastAsia="es-MX"/>
        </w:rPr>
        <w:t>…</w:t>
      </w: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eastAsia="es-MX"/>
        </w:rPr>
      </w:pP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eastAsia="es-MX"/>
        </w:rPr>
      </w:pPr>
      <w:r w:rsidRPr="00297117">
        <w:rPr>
          <w:rFonts w:ascii="Arial" w:hAnsi="Arial" w:cs="Arial"/>
          <w:b/>
          <w:sz w:val="25"/>
          <w:szCs w:val="25"/>
          <w:lang w:eastAsia="es-MX"/>
        </w:rPr>
        <w:t>…</w:t>
      </w: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sz w:val="25"/>
          <w:szCs w:val="25"/>
          <w:lang w:eastAsia="es-MX"/>
        </w:rPr>
      </w:pP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sz w:val="25"/>
          <w:szCs w:val="25"/>
          <w:lang w:eastAsia="es-MX"/>
        </w:rPr>
      </w:pPr>
      <w:r w:rsidRPr="00297117">
        <w:rPr>
          <w:rFonts w:ascii="Arial" w:hAnsi="Arial" w:cs="Arial"/>
          <w:sz w:val="25"/>
          <w:szCs w:val="25"/>
          <w:lang w:eastAsia="es-MX"/>
        </w:rPr>
        <w:t xml:space="preserve">El ascendiente o tutor que entregue en una casa de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expósitos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, de menores o de asilo, a una persona que tenga menos de doce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años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 que esté bajo su potestad o custodia, sin que haya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autorización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 legal o judicial para aquel efecto,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perderán</w:t>
      </w:r>
      <w:proofErr w:type="spellEnd"/>
      <w:r w:rsidRPr="00297117">
        <w:rPr>
          <w:rFonts w:ascii="Arial" w:hAnsi="Arial" w:cs="Arial"/>
          <w:sz w:val="25"/>
          <w:szCs w:val="25"/>
          <w:lang w:eastAsia="es-MX"/>
        </w:rPr>
        <w:t xml:space="preserve"> por ese solo hecho los derechos que tengan sobre la persona y bienes del </w:t>
      </w:r>
      <w:proofErr w:type="spellStart"/>
      <w:r w:rsidRPr="00297117">
        <w:rPr>
          <w:rFonts w:ascii="Arial" w:hAnsi="Arial" w:cs="Arial"/>
          <w:sz w:val="25"/>
          <w:szCs w:val="25"/>
          <w:lang w:eastAsia="es-MX"/>
        </w:rPr>
        <w:t>expósito</w:t>
      </w:r>
      <w:proofErr w:type="spellEnd"/>
      <w:r w:rsidRPr="00297117">
        <w:rPr>
          <w:rFonts w:ascii="Arial" w:hAnsi="Arial" w:cs="Arial"/>
          <w:bCs/>
          <w:sz w:val="25"/>
          <w:szCs w:val="25"/>
          <w:lang w:eastAsia="es-MX"/>
        </w:rPr>
        <w:t>, incluyendo los derechos a adquirir por testamento o intestado que tuviese en relación a la víctima</w:t>
      </w:r>
      <w:r w:rsidRPr="00297117">
        <w:rPr>
          <w:rFonts w:ascii="Arial" w:hAnsi="Arial" w:cs="Arial"/>
          <w:sz w:val="25"/>
          <w:szCs w:val="25"/>
          <w:lang w:eastAsia="es-MX"/>
        </w:rPr>
        <w:t xml:space="preserve">. </w:t>
      </w:r>
      <w:r w:rsidRPr="00297117">
        <w:rPr>
          <w:rFonts w:ascii="Arial" w:hAnsi="Arial" w:cs="Arial"/>
          <w:bCs/>
          <w:sz w:val="25"/>
          <w:szCs w:val="25"/>
          <w:lang w:eastAsia="es-MX"/>
        </w:rPr>
        <w:t>Mismas penas se impondrán cuando el sujeto activo sea descendiente en línea recta sin limitación de grado de la víctima, cónyuge o compañero civil.</w:t>
      </w: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eastAsia="es-MX"/>
        </w:rPr>
      </w:pP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/>
          <w:sz w:val="25"/>
          <w:szCs w:val="25"/>
          <w:lang w:val="en-US" w:eastAsia="es-MX"/>
        </w:rPr>
      </w:pPr>
      <w:r w:rsidRPr="00297117">
        <w:rPr>
          <w:rFonts w:ascii="Arial" w:hAnsi="Arial" w:cs="Arial"/>
          <w:b/>
          <w:sz w:val="25"/>
          <w:szCs w:val="25"/>
          <w:lang w:val="en-US" w:eastAsia="es-MX"/>
        </w:rPr>
        <w:t>…</w:t>
      </w: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sz w:val="25"/>
          <w:szCs w:val="25"/>
          <w:lang w:val="en-US"/>
        </w:rPr>
      </w:pPr>
    </w:p>
    <w:p w:rsidR="007B1DA0" w:rsidRPr="00297117" w:rsidRDefault="007B1DA0" w:rsidP="00C039B6">
      <w:pPr>
        <w:spacing w:after="0" w:line="360" w:lineRule="auto"/>
        <w:jc w:val="center"/>
        <w:rPr>
          <w:rFonts w:ascii="Arial" w:hAnsi="Arial" w:cs="Arial"/>
          <w:b/>
          <w:bCs/>
          <w:sz w:val="25"/>
          <w:szCs w:val="25"/>
          <w:lang w:val="en-US"/>
        </w:rPr>
      </w:pPr>
      <w:r w:rsidRPr="00297117">
        <w:rPr>
          <w:rFonts w:ascii="Arial" w:hAnsi="Arial" w:cs="Arial"/>
          <w:b/>
          <w:bCs/>
          <w:sz w:val="25"/>
          <w:szCs w:val="25"/>
          <w:lang w:val="en-US"/>
        </w:rPr>
        <w:t xml:space="preserve">T R </w:t>
      </w:r>
      <w:proofErr w:type="gramStart"/>
      <w:r w:rsidRPr="00297117">
        <w:rPr>
          <w:rFonts w:ascii="Arial" w:hAnsi="Arial" w:cs="Arial"/>
          <w:b/>
          <w:bCs/>
          <w:sz w:val="25"/>
          <w:szCs w:val="25"/>
          <w:lang w:val="en-US"/>
        </w:rPr>
        <w:t>A</w:t>
      </w:r>
      <w:proofErr w:type="gramEnd"/>
      <w:r w:rsidRPr="00297117">
        <w:rPr>
          <w:rFonts w:ascii="Arial" w:hAnsi="Arial" w:cs="Arial"/>
          <w:b/>
          <w:bCs/>
          <w:sz w:val="25"/>
          <w:szCs w:val="25"/>
          <w:lang w:val="en-US"/>
        </w:rPr>
        <w:t xml:space="preserve"> N S I T O R I O </w:t>
      </w:r>
    </w:p>
    <w:p w:rsidR="00C039B6" w:rsidRPr="00297117" w:rsidRDefault="00C039B6" w:rsidP="00C039B6">
      <w:pPr>
        <w:spacing w:after="0" w:line="360" w:lineRule="auto"/>
        <w:jc w:val="center"/>
        <w:rPr>
          <w:rFonts w:ascii="Arial" w:hAnsi="Arial" w:cs="Arial"/>
          <w:b/>
          <w:bCs/>
          <w:sz w:val="25"/>
          <w:szCs w:val="25"/>
          <w:lang w:val="en-US"/>
        </w:rPr>
      </w:pPr>
    </w:p>
    <w:p w:rsidR="007B1DA0" w:rsidRPr="00297117" w:rsidRDefault="007B1DA0" w:rsidP="00C039B6">
      <w:pPr>
        <w:spacing w:after="0" w:line="360" w:lineRule="auto"/>
        <w:jc w:val="both"/>
        <w:rPr>
          <w:rFonts w:ascii="Arial" w:hAnsi="Arial" w:cs="Arial"/>
          <w:bCs/>
          <w:sz w:val="25"/>
          <w:szCs w:val="25"/>
        </w:rPr>
      </w:pPr>
      <w:proofErr w:type="gramStart"/>
      <w:r w:rsidRPr="00297117">
        <w:rPr>
          <w:rFonts w:ascii="Arial" w:hAnsi="Arial" w:cs="Arial"/>
          <w:b/>
          <w:bCs/>
          <w:sz w:val="25"/>
          <w:szCs w:val="25"/>
        </w:rPr>
        <w:t>ÚNICO.-</w:t>
      </w:r>
      <w:proofErr w:type="gramEnd"/>
      <w:r w:rsidRPr="00297117">
        <w:rPr>
          <w:rFonts w:ascii="Arial" w:hAnsi="Arial" w:cs="Arial"/>
          <w:b/>
          <w:bCs/>
          <w:sz w:val="25"/>
          <w:szCs w:val="25"/>
        </w:rPr>
        <w:t xml:space="preserve"> </w:t>
      </w:r>
      <w:r w:rsidRPr="00297117">
        <w:rPr>
          <w:rFonts w:ascii="Arial" w:hAnsi="Arial" w:cs="Arial"/>
          <w:bCs/>
          <w:sz w:val="25"/>
          <w:szCs w:val="25"/>
        </w:rPr>
        <w:t>El presente Decreto entrará en vigor al día siguiente de su publicación en el Periódico Oficial del Gobierno del Estado.</w:t>
      </w:r>
    </w:p>
    <w:p w:rsidR="007B1DA0" w:rsidRPr="00297117" w:rsidRDefault="007B1DA0" w:rsidP="007B1DA0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7B1DA0" w:rsidRDefault="007B1DA0" w:rsidP="007B1DA0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  <w:lang w:val="es-ES"/>
        </w:rPr>
      </w:pPr>
    </w:p>
    <w:p w:rsidR="00297117" w:rsidRDefault="00297117" w:rsidP="007B1DA0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  <w:lang w:val="es-ES"/>
        </w:rPr>
      </w:pPr>
    </w:p>
    <w:p w:rsidR="00297117" w:rsidRDefault="00297117" w:rsidP="007B1DA0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  <w:lang w:val="es-ES"/>
        </w:rPr>
      </w:pPr>
    </w:p>
    <w:p w:rsidR="00297117" w:rsidRDefault="00297117" w:rsidP="007B1DA0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  <w:lang w:val="es-ES"/>
        </w:rPr>
      </w:pPr>
    </w:p>
    <w:p w:rsidR="00297117" w:rsidRDefault="00297117" w:rsidP="007B1DA0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  <w:lang w:val="es-ES"/>
        </w:rPr>
      </w:pPr>
    </w:p>
    <w:p w:rsidR="00297117" w:rsidRDefault="00297117" w:rsidP="007B1DA0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  <w:lang w:val="es-ES"/>
        </w:rPr>
      </w:pPr>
    </w:p>
    <w:p w:rsidR="00297117" w:rsidRDefault="00297117" w:rsidP="007B1DA0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  <w:lang w:val="es-ES"/>
        </w:rPr>
      </w:pPr>
    </w:p>
    <w:p w:rsidR="00297117" w:rsidRDefault="00297117" w:rsidP="007B1DA0">
      <w:pPr>
        <w:spacing w:after="0" w:line="240" w:lineRule="auto"/>
        <w:ind w:right="-518"/>
        <w:rPr>
          <w:rFonts w:ascii="Calibri" w:eastAsia="Calibri" w:hAnsi="Calibri" w:cs="Times New Roman"/>
          <w:sz w:val="25"/>
          <w:szCs w:val="25"/>
          <w:lang w:val="es-ES"/>
        </w:rPr>
      </w:pPr>
    </w:p>
    <w:p w:rsidR="00297117" w:rsidRPr="00297117" w:rsidRDefault="00297117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117" w:rsidRPr="00297117" w:rsidRDefault="00297117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117" w:rsidRPr="00297117" w:rsidRDefault="00297117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297117" w:rsidRPr="00297117" w:rsidRDefault="00297117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Pr="00747092" w:rsidRDefault="007B1DA0" w:rsidP="007B1DA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ahu</w:t>
      </w:r>
      <w:r w:rsidR="003720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veinticinco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noviembre del año dos mil veinte.</w:t>
      </w:r>
    </w:p>
    <w:p w:rsidR="007B1DA0" w:rsidRPr="00747092" w:rsidRDefault="007B1DA0" w:rsidP="007B1DA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39B6" w:rsidRDefault="00C039B6" w:rsidP="00F00CD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039B6" w:rsidRPr="00747092" w:rsidRDefault="00C039B6" w:rsidP="00F00CD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Pr="00747092" w:rsidRDefault="007B1DA0" w:rsidP="00F00CD6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Pr="00747092" w:rsidRDefault="007B1DA0" w:rsidP="00F00CD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7B1DA0" w:rsidRPr="00747092" w:rsidRDefault="007B1DA0" w:rsidP="00F00CD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Pr="00747092" w:rsidRDefault="007B1DA0" w:rsidP="00F00CD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Default="007B1DA0" w:rsidP="00F00CD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Default="007B1DA0" w:rsidP="00F00CD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Pr="00747092" w:rsidRDefault="007B1DA0" w:rsidP="00F00CD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Pr="00747092" w:rsidRDefault="007B1DA0" w:rsidP="00F00CD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Ñ</w:t>
      </w:r>
      <w:r w:rsidRPr="00747092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O</w:t>
      </w:r>
    </w:p>
    <w:p w:rsidR="007B1DA0" w:rsidRPr="00747092" w:rsidRDefault="007B1DA0" w:rsidP="00F00CD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Default="007B1DA0" w:rsidP="00F00CD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C9692E" w:rsidRDefault="00C9692E" w:rsidP="00F00CD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Pr="00747092" w:rsidRDefault="007B1DA0" w:rsidP="00F00CD6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Pr="00747092" w:rsidRDefault="007B1DA0" w:rsidP="00F00C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7092">
        <w:rPr>
          <w:rFonts w:ascii="Arial" w:hAnsi="Arial" w:cs="Arial"/>
          <w:b/>
          <w:sz w:val="24"/>
          <w:szCs w:val="24"/>
        </w:rPr>
        <w:t xml:space="preserve">       </w:t>
      </w:r>
      <w:r w:rsidR="0037207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47092">
        <w:rPr>
          <w:rFonts w:ascii="Arial" w:hAnsi="Arial" w:cs="Arial"/>
          <w:b/>
          <w:sz w:val="24"/>
          <w:szCs w:val="24"/>
        </w:rPr>
        <w:t xml:space="preserve">DIPUTADA SECRETARIA    </w:t>
      </w:r>
      <w:r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37207E">
        <w:rPr>
          <w:rFonts w:ascii="Arial" w:hAnsi="Arial" w:cs="Arial"/>
          <w:b/>
          <w:sz w:val="24"/>
          <w:szCs w:val="24"/>
        </w:rPr>
        <w:t xml:space="preserve">           </w:t>
      </w:r>
      <w:r w:rsidRPr="00747092">
        <w:rPr>
          <w:rFonts w:ascii="Arial" w:hAnsi="Arial" w:cs="Arial"/>
          <w:b/>
          <w:sz w:val="24"/>
          <w:szCs w:val="24"/>
        </w:rPr>
        <w:t>DIPUTADA SECRETARIA</w:t>
      </w:r>
    </w:p>
    <w:p w:rsidR="007B1DA0" w:rsidRPr="00747092" w:rsidRDefault="007B1DA0" w:rsidP="00F00C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1DA0" w:rsidRDefault="007B1DA0" w:rsidP="00F00C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1DA0" w:rsidRDefault="007B1DA0" w:rsidP="00F00C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B1DA0" w:rsidRPr="00747092" w:rsidRDefault="007B1DA0" w:rsidP="00F00C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1DA0" w:rsidRPr="00747092" w:rsidRDefault="007B1DA0" w:rsidP="00F00C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B1DA0" w:rsidRPr="00747092" w:rsidRDefault="0037207E" w:rsidP="00F00C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BLANCA EPPEN CANALES                                          JOSEFINA GARZA BARRERA</w:t>
      </w:r>
    </w:p>
    <w:p w:rsidR="007B1DA0" w:rsidRPr="00297117" w:rsidRDefault="007B1DA0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Pr="00297117" w:rsidRDefault="007B1DA0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7B1DA0" w:rsidRPr="00297117" w:rsidRDefault="007B1DA0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0CD6" w:rsidRPr="00297117" w:rsidRDefault="00F00CD6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0CD6" w:rsidRPr="00297117" w:rsidRDefault="00F00CD6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0CD6" w:rsidRPr="00297117" w:rsidRDefault="00F00CD6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0CD6" w:rsidRPr="00297117" w:rsidRDefault="00F00CD6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00CD6" w:rsidRPr="00297117" w:rsidRDefault="00F00CD6" w:rsidP="00297117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sectPr w:rsidR="00F00CD6" w:rsidRPr="00297117" w:rsidSect="00251C26">
      <w:headerReference w:type="default" r:id="rId6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D81" w:rsidRDefault="00A93D81">
      <w:pPr>
        <w:spacing w:after="0" w:line="240" w:lineRule="auto"/>
      </w:pPr>
      <w:r>
        <w:separator/>
      </w:r>
    </w:p>
  </w:endnote>
  <w:endnote w:type="continuationSeparator" w:id="0">
    <w:p w:rsidR="00A93D81" w:rsidRDefault="00A9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D81" w:rsidRDefault="00A93D81">
      <w:pPr>
        <w:spacing w:after="0" w:line="240" w:lineRule="auto"/>
      </w:pPr>
      <w:r>
        <w:separator/>
      </w:r>
    </w:p>
  </w:footnote>
  <w:footnote w:type="continuationSeparator" w:id="0">
    <w:p w:rsidR="00A93D81" w:rsidRDefault="00A9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784C42" w:rsidRPr="00C649E0" w:rsidTr="005B2155">
      <w:trPr>
        <w:jc w:val="center"/>
      </w:trPr>
      <w:tc>
        <w:tcPr>
          <w:tcW w:w="1541" w:type="dxa"/>
        </w:tcPr>
        <w:p w:rsidR="00784C42" w:rsidRPr="00C649E0" w:rsidRDefault="0037207E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645FD6B" wp14:editId="3617B888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4C42" w:rsidRPr="00C649E0" w:rsidRDefault="00A93D81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84C42" w:rsidRPr="00C649E0" w:rsidRDefault="00A93D81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784C42" w:rsidRPr="00C649E0" w:rsidRDefault="00A93D81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784C42" w:rsidRPr="00C649E0" w:rsidRDefault="0037207E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784C42" w:rsidRPr="00C649E0" w:rsidRDefault="0037207E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784C42" w:rsidRPr="00C649E0" w:rsidRDefault="00A93D81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784C42" w:rsidRPr="00C649E0" w:rsidRDefault="0037207E" w:rsidP="00784C4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C649E0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784C42" w:rsidRPr="00C649E0" w:rsidRDefault="00A93D81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784C42" w:rsidRPr="00C649E0" w:rsidRDefault="0037207E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C649E0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470EF7E5" wp14:editId="2448F8C4">
                <wp:simplePos x="0" y="0"/>
                <wp:positionH relativeFrom="column">
                  <wp:posOffset>164465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4C42" w:rsidRPr="00C649E0" w:rsidRDefault="00A93D81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784C42" w:rsidRPr="00C649E0" w:rsidRDefault="00A93D81" w:rsidP="00784C4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784C42" w:rsidRPr="00252CC9" w:rsidRDefault="00A93D81" w:rsidP="00744ED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A0"/>
    <w:rsid w:val="000653EC"/>
    <w:rsid w:val="0018321B"/>
    <w:rsid w:val="00251C26"/>
    <w:rsid w:val="00297117"/>
    <w:rsid w:val="00337552"/>
    <w:rsid w:val="0037207E"/>
    <w:rsid w:val="004562E7"/>
    <w:rsid w:val="00611185"/>
    <w:rsid w:val="00664BE6"/>
    <w:rsid w:val="007A473E"/>
    <w:rsid w:val="007B1DA0"/>
    <w:rsid w:val="00A93D81"/>
    <w:rsid w:val="00C039B6"/>
    <w:rsid w:val="00C46A56"/>
    <w:rsid w:val="00C9692E"/>
    <w:rsid w:val="00CB3CFC"/>
    <w:rsid w:val="00E24F20"/>
    <w:rsid w:val="00EB4B5A"/>
    <w:rsid w:val="00ED2816"/>
    <w:rsid w:val="00F0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DA061-C412-40B6-B484-051928C9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D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11</cp:revision>
  <cp:lastPrinted>2020-11-26T16:58:00Z</cp:lastPrinted>
  <dcterms:created xsi:type="dcterms:W3CDTF">2020-11-26T16:35:00Z</dcterms:created>
  <dcterms:modified xsi:type="dcterms:W3CDTF">2020-11-27T19:48:00Z</dcterms:modified>
</cp:coreProperties>
</file>