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E26A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E26A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E26A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837.- </w:t>
      </w: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pStyle w:val="Default"/>
        <w:spacing w:line="276" w:lineRule="auto"/>
        <w:jc w:val="both"/>
        <w:rPr>
          <w:sz w:val="26"/>
          <w:szCs w:val="26"/>
        </w:rPr>
      </w:pPr>
      <w:r w:rsidRPr="004E26A4">
        <w:rPr>
          <w:b/>
          <w:sz w:val="26"/>
          <w:szCs w:val="26"/>
        </w:rPr>
        <w:t xml:space="preserve">ARTÍCULO PRIMERO.- </w:t>
      </w:r>
      <w:r w:rsidRPr="004E26A4">
        <w:rPr>
          <w:sz w:val="26"/>
          <w:szCs w:val="26"/>
        </w:rPr>
        <w:t>Se valida el acuerdo aprobado por el R. Ayuntamiento de Torreón, Coahuila de Zaragoza, para enajenar a título oneroso,</w:t>
      </w:r>
      <w:r w:rsidR="00707EB4">
        <w:rPr>
          <w:sz w:val="26"/>
          <w:szCs w:val="26"/>
        </w:rPr>
        <w:t xml:space="preserve"> </w:t>
      </w:r>
      <w:r w:rsidRPr="004E26A4">
        <w:rPr>
          <w:sz w:val="26"/>
          <w:szCs w:val="26"/>
        </w:rPr>
        <w:t>una fracción de área vial de la Calzada Xochimilco con una superficie de 77.07 M2., ubicado en la colonia “Carolinas” de esa ciudad, a favor del C. Daniel Garza González, el cual se desincorporo con Decreto número 642 publicado en el Periódico Oficial del Gobierno del Estado de fecha 07 de julio de 2020.</w:t>
      </w:r>
    </w:p>
    <w:p w:rsidR="004E26A4" w:rsidRPr="004E26A4" w:rsidRDefault="004E26A4" w:rsidP="004E26A4">
      <w:pPr>
        <w:pStyle w:val="Default"/>
        <w:spacing w:line="276" w:lineRule="auto"/>
        <w:jc w:val="both"/>
        <w:rPr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E26A4">
        <w:rPr>
          <w:color w:val="auto"/>
          <w:sz w:val="26"/>
          <w:szCs w:val="26"/>
        </w:rPr>
        <w:t>El inmueble antes mencionado se identifica como fracción de área vial de la Calzada Xochimilco de la colonia Carolinas, de esa ciudad, con una superficie de 77.07 M2., y cuenta con las siguientes medidas y colindancias:</w:t>
      </w:r>
    </w:p>
    <w:p w:rsidR="004E26A4" w:rsidRDefault="004E26A4" w:rsidP="004E26A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4E26A4">
        <w:rPr>
          <w:sz w:val="26"/>
          <w:szCs w:val="26"/>
        </w:rPr>
        <w:t>Al Noreste:</w:t>
      </w:r>
      <w:r w:rsidRPr="004E26A4">
        <w:rPr>
          <w:sz w:val="26"/>
          <w:szCs w:val="26"/>
        </w:rPr>
        <w:tab/>
        <w:t>mide 13.13 metros y colinda con Lote 92, manzana “N” SMZ. XII.</w:t>
      </w: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4E26A4">
        <w:rPr>
          <w:sz w:val="26"/>
          <w:szCs w:val="26"/>
        </w:rPr>
        <w:t>Al Suroeste:</w:t>
      </w:r>
      <w:r w:rsidRPr="004E26A4">
        <w:rPr>
          <w:sz w:val="26"/>
          <w:szCs w:val="26"/>
        </w:rPr>
        <w:tab/>
        <w:t>mide 13.13 metros y colinda con Calzada Xochimilco.</w:t>
      </w: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4E26A4">
        <w:rPr>
          <w:sz w:val="26"/>
          <w:szCs w:val="26"/>
        </w:rPr>
        <w:t>Al Sureste:</w:t>
      </w:r>
      <w:r w:rsidRPr="004E26A4">
        <w:rPr>
          <w:sz w:val="26"/>
          <w:szCs w:val="26"/>
        </w:rPr>
        <w:tab/>
        <w:t>mide 5.87 metros y colinda con fracción de área vial de la Av. Xochimilco.</w:t>
      </w: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4E26A4">
        <w:rPr>
          <w:sz w:val="26"/>
          <w:szCs w:val="26"/>
        </w:rPr>
        <w:t>Al Noroeste:</w:t>
      </w:r>
      <w:r w:rsidRPr="004E26A4">
        <w:rPr>
          <w:sz w:val="26"/>
          <w:szCs w:val="26"/>
        </w:rPr>
        <w:tab/>
        <w:t>mide 5.87 metros y colinda con calle Pirámides del Sol.</w:t>
      </w:r>
    </w:p>
    <w:p w:rsid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4E26A4" w:rsidRPr="004E26A4" w:rsidRDefault="004E26A4" w:rsidP="004E26A4">
      <w:pPr>
        <w:pStyle w:val="Default"/>
        <w:spacing w:line="276" w:lineRule="auto"/>
        <w:jc w:val="both"/>
        <w:rPr>
          <w:sz w:val="26"/>
          <w:szCs w:val="26"/>
        </w:rPr>
      </w:pPr>
      <w:r w:rsidRPr="004E26A4">
        <w:rPr>
          <w:b/>
          <w:sz w:val="26"/>
          <w:szCs w:val="26"/>
        </w:rPr>
        <w:t xml:space="preserve">ARTÍCULO SEGUNDO.- </w:t>
      </w:r>
      <w:r w:rsidRPr="004E26A4">
        <w:rPr>
          <w:sz w:val="26"/>
          <w:szCs w:val="26"/>
        </w:rPr>
        <w:t>La autorización de esta operación es exclusivamente con objeto de llevar a cabo la regularización de la tenencia de la tierra. En caso de darle un uso distinto a lo estipulado, por eso solo hecho se rescindirá la enajenación y se revertirá el predio junto con sus accesorios al patrimonio municipal, sin ninguna responsabilidad a cargo del R. Ayuntamiento de indemnizar al solicitante.</w:t>
      </w:r>
    </w:p>
    <w:p w:rsidR="004E26A4" w:rsidRPr="004E26A4" w:rsidRDefault="004E26A4" w:rsidP="004E26A4">
      <w:pPr>
        <w:pStyle w:val="Default"/>
        <w:spacing w:line="276" w:lineRule="auto"/>
        <w:jc w:val="both"/>
        <w:rPr>
          <w:sz w:val="32"/>
          <w:szCs w:val="32"/>
        </w:rPr>
      </w:pPr>
    </w:p>
    <w:p w:rsidR="004E26A4" w:rsidRPr="004E26A4" w:rsidRDefault="004E26A4" w:rsidP="004E26A4">
      <w:pPr>
        <w:pStyle w:val="Default"/>
        <w:spacing w:line="276" w:lineRule="auto"/>
        <w:jc w:val="both"/>
        <w:rPr>
          <w:sz w:val="26"/>
          <w:szCs w:val="26"/>
        </w:rPr>
      </w:pPr>
      <w:r w:rsidRPr="004E26A4">
        <w:rPr>
          <w:b/>
          <w:sz w:val="26"/>
          <w:szCs w:val="26"/>
        </w:rPr>
        <w:t xml:space="preserve">ARTÍCULO TERCERO.- </w:t>
      </w:r>
      <w:r w:rsidRPr="004E26A4">
        <w:rPr>
          <w:sz w:val="26"/>
          <w:szCs w:val="26"/>
        </w:rPr>
        <w:t>El Ayuntamiento del Municipio de Torreón, por conducto de su Presidente Municipal o de su Representante legal acreditado, deberá formalizar la operación que se autoriza y proceder a la escrituración correspondiente.</w:t>
      </w:r>
    </w:p>
    <w:p w:rsidR="004E26A4" w:rsidRPr="004E26A4" w:rsidRDefault="004E26A4" w:rsidP="004E26A4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  <w:r w:rsidRPr="004E26A4">
        <w:rPr>
          <w:rFonts w:ascii="Arial" w:hAnsi="Arial" w:cs="Arial"/>
          <w:b/>
          <w:bCs/>
          <w:sz w:val="26"/>
          <w:szCs w:val="26"/>
        </w:rPr>
        <w:t xml:space="preserve">ARTÍCULO CUARTO.-  </w:t>
      </w:r>
      <w:r w:rsidRPr="004E26A4">
        <w:rPr>
          <w:rFonts w:ascii="Arial" w:hAnsi="Arial" w:cs="Arial"/>
          <w:sz w:val="26"/>
          <w:szCs w:val="26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  <w:r w:rsidRPr="004E26A4">
        <w:rPr>
          <w:rFonts w:ascii="Arial" w:hAnsi="Arial" w:cs="Arial"/>
          <w:b/>
          <w:bCs/>
          <w:sz w:val="26"/>
          <w:szCs w:val="26"/>
        </w:rPr>
        <w:t xml:space="preserve">ARTÍCULO QUINTO.- </w:t>
      </w:r>
      <w:r w:rsidRPr="004E26A4">
        <w:rPr>
          <w:rFonts w:ascii="Arial" w:hAnsi="Arial" w:cs="Arial"/>
          <w:sz w:val="26"/>
          <w:szCs w:val="26"/>
        </w:rPr>
        <w:t>Los gastos de escrituración y registro que se originen de la operación que mediante este decreto se valida, serán por cuenta del beneficiario.</w:t>
      </w: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  <w:r w:rsidRPr="004E26A4">
        <w:rPr>
          <w:rFonts w:ascii="Arial" w:hAnsi="Arial" w:cs="Arial"/>
          <w:b/>
          <w:bCs/>
          <w:sz w:val="26"/>
          <w:szCs w:val="26"/>
        </w:rPr>
        <w:t xml:space="preserve">ARTÍCULO SEXTO.- </w:t>
      </w:r>
      <w:r w:rsidRPr="004E26A4">
        <w:rPr>
          <w:rFonts w:ascii="Arial" w:hAnsi="Arial" w:cs="Arial"/>
          <w:sz w:val="26"/>
          <w:szCs w:val="26"/>
        </w:rPr>
        <w:t>El presente decreto deberá insertarse en la escritura correspondiente.</w:t>
      </w: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4E26A4" w:rsidRPr="004E26A4" w:rsidRDefault="004E26A4" w:rsidP="004E26A4">
      <w:pPr>
        <w:pStyle w:val="Ttulo1"/>
        <w:spacing w:before="0"/>
        <w:jc w:val="center"/>
        <w:rPr>
          <w:rFonts w:ascii="Arial" w:hAnsi="Arial" w:cs="Arial"/>
          <w:b w:val="0"/>
          <w:color w:val="auto"/>
          <w:sz w:val="26"/>
          <w:szCs w:val="26"/>
        </w:rPr>
      </w:pPr>
      <w:r w:rsidRPr="004E26A4">
        <w:rPr>
          <w:rFonts w:ascii="Arial" w:hAnsi="Arial" w:cs="Arial"/>
          <w:color w:val="auto"/>
          <w:sz w:val="26"/>
          <w:szCs w:val="26"/>
        </w:rPr>
        <w:t>T R A N S I T O R I O S</w:t>
      </w:r>
    </w:p>
    <w:p w:rsidR="004E26A4" w:rsidRPr="004E26A4" w:rsidRDefault="004E26A4" w:rsidP="004E26A4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  <w:r w:rsidRPr="004E26A4">
        <w:rPr>
          <w:rFonts w:ascii="Arial" w:hAnsi="Arial" w:cs="Arial"/>
          <w:b/>
          <w:bCs/>
          <w:sz w:val="26"/>
          <w:szCs w:val="26"/>
        </w:rPr>
        <w:t xml:space="preserve">ARTÍCULO PRIMERO. </w:t>
      </w:r>
      <w:r w:rsidRPr="004E26A4">
        <w:rPr>
          <w:rFonts w:ascii="Arial" w:hAnsi="Arial" w:cs="Arial"/>
          <w:sz w:val="26"/>
          <w:szCs w:val="26"/>
        </w:rPr>
        <w:t xml:space="preserve">El presente decreto entrará en vigor a partir del día siguiente de su publicación en el Periódico Oficial del Gobierno del Estado. </w:t>
      </w: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</w:p>
    <w:p w:rsidR="004E26A4" w:rsidRPr="004E26A4" w:rsidRDefault="004E26A4" w:rsidP="004E26A4">
      <w:pPr>
        <w:jc w:val="both"/>
        <w:rPr>
          <w:rFonts w:ascii="Arial" w:hAnsi="Arial" w:cs="Arial"/>
          <w:sz w:val="26"/>
          <w:szCs w:val="26"/>
        </w:rPr>
      </w:pPr>
      <w:r w:rsidRPr="004E26A4">
        <w:rPr>
          <w:rFonts w:ascii="Arial" w:hAnsi="Arial" w:cs="Arial"/>
          <w:b/>
          <w:sz w:val="26"/>
          <w:szCs w:val="26"/>
        </w:rPr>
        <w:t xml:space="preserve">ARTÍCULO SEGUNDO. </w:t>
      </w:r>
      <w:r w:rsidRPr="004E26A4">
        <w:rPr>
          <w:rFonts w:ascii="Arial" w:hAnsi="Arial" w:cs="Arial"/>
          <w:sz w:val="26"/>
          <w:szCs w:val="26"/>
        </w:rPr>
        <w:t>Publíquese en el Periódico Oficial del Gobierno del Estado.</w:t>
      </w: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E26A4" w:rsidRPr="004E26A4" w:rsidRDefault="004E26A4" w:rsidP="004E26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B6E93" w:rsidRDefault="004B6E93" w:rsidP="004B6E9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4B6E93" w:rsidRPr="003303C7" w:rsidRDefault="004B6E93" w:rsidP="004B6E9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4B6E93" w:rsidRPr="003303C7" w:rsidRDefault="004B6E93" w:rsidP="004B6E9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4B6E93" w:rsidRPr="003303C7" w:rsidRDefault="004B6E93" w:rsidP="004B6E93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6E93" w:rsidRPr="003303C7" w:rsidRDefault="004B6E93" w:rsidP="004B6E93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4B6E93" w:rsidRPr="003303C7" w:rsidRDefault="004B6E93" w:rsidP="004B6E93">
      <w:pPr>
        <w:rPr>
          <w:sz w:val="25"/>
          <w:szCs w:val="25"/>
        </w:rPr>
      </w:pPr>
    </w:p>
    <w:p w:rsidR="00245157" w:rsidRPr="004E26A4" w:rsidRDefault="006428CD" w:rsidP="004B6E93">
      <w:pPr>
        <w:widowControl w:val="0"/>
        <w:tabs>
          <w:tab w:val="left" w:pos="8749"/>
        </w:tabs>
        <w:spacing w:after="0" w:line="240" w:lineRule="auto"/>
        <w:jc w:val="both"/>
        <w:rPr>
          <w:sz w:val="26"/>
          <w:szCs w:val="26"/>
        </w:rPr>
      </w:pPr>
    </w:p>
    <w:sectPr w:rsidR="00245157" w:rsidRPr="004E26A4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CD" w:rsidRDefault="006428CD">
      <w:pPr>
        <w:spacing w:after="0" w:line="240" w:lineRule="auto"/>
      </w:pPr>
      <w:r>
        <w:separator/>
      </w:r>
    </w:p>
  </w:endnote>
  <w:endnote w:type="continuationSeparator" w:id="0">
    <w:p w:rsidR="006428CD" w:rsidRDefault="006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6428CD">
        <w:pPr>
          <w:pStyle w:val="Piedepgina"/>
          <w:jc w:val="right"/>
        </w:pPr>
      </w:p>
      <w:p w:rsidR="00F23A85" w:rsidRDefault="006428CD">
        <w:pPr>
          <w:pStyle w:val="Piedepgina"/>
          <w:jc w:val="right"/>
        </w:pPr>
      </w:p>
    </w:sdtContent>
  </w:sdt>
  <w:p w:rsidR="00F23A85" w:rsidRDefault="006428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CD" w:rsidRDefault="006428CD">
      <w:pPr>
        <w:spacing w:after="0" w:line="240" w:lineRule="auto"/>
      </w:pPr>
      <w:r>
        <w:separator/>
      </w:r>
    </w:p>
  </w:footnote>
  <w:footnote w:type="continuationSeparator" w:id="0">
    <w:p w:rsidR="006428CD" w:rsidRDefault="006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4E26A4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94B43E7" wp14:editId="6778C90F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FC643FB" wp14:editId="142AAD82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6428CD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4E26A4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4E26A4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6428CD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4E26A4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6428CD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4"/>
    <w:rsid w:val="000653EC"/>
    <w:rsid w:val="00110A51"/>
    <w:rsid w:val="00236FBE"/>
    <w:rsid w:val="00251C26"/>
    <w:rsid w:val="004562E7"/>
    <w:rsid w:val="004B6E93"/>
    <w:rsid w:val="004C04F1"/>
    <w:rsid w:val="004E26A4"/>
    <w:rsid w:val="006428CD"/>
    <w:rsid w:val="00707EB4"/>
    <w:rsid w:val="00AE1E4A"/>
    <w:rsid w:val="00B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F8B8F-8553-4DC5-A72C-9093BD2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A4"/>
  </w:style>
  <w:style w:type="paragraph" w:styleId="Ttulo1">
    <w:name w:val="heading 1"/>
    <w:basedOn w:val="Normal"/>
    <w:next w:val="Normal"/>
    <w:link w:val="Ttulo1Car"/>
    <w:uiPriority w:val="9"/>
    <w:qFormat/>
    <w:rsid w:val="004E26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2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26A4"/>
  </w:style>
  <w:style w:type="paragraph" w:styleId="Piedepgina">
    <w:name w:val="footer"/>
    <w:basedOn w:val="Normal"/>
    <w:link w:val="PiedepginaCar"/>
    <w:uiPriority w:val="99"/>
    <w:semiHidden/>
    <w:unhideWhenUsed/>
    <w:rsid w:val="004E2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26A4"/>
  </w:style>
  <w:style w:type="character" w:customStyle="1" w:styleId="Ttulo1Car">
    <w:name w:val="Título 1 Car"/>
    <w:basedOn w:val="Fuentedeprrafopredeter"/>
    <w:link w:val="Ttulo1"/>
    <w:uiPriority w:val="9"/>
    <w:rsid w:val="004E26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4E2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2020-12-14T06:18:00Z</dcterms:created>
  <dcterms:modified xsi:type="dcterms:W3CDTF">2020-12-18T05:24:00Z</dcterms:modified>
</cp:coreProperties>
</file>