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9B" w:rsidRPr="00A25DFB" w:rsidRDefault="00B13B9B" w:rsidP="00B13B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3B9B" w:rsidRPr="00A25DFB" w:rsidRDefault="00B13B9B" w:rsidP="00B13B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3B9B" w:rsidRPr="00A25DFB" w:rsidRDefault="00B13B9B" w:rsidP="00B13B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3B9B" w:rsidRPr="00A25DFB" w:rsidRDefault="00B13B9B" w:rsidP="00B13B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3B9B" w:rsidRPr="00A25DFB" w:rsidRDefault="00B13B9B" w:rsidP="00B13B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3B9B" w:rsidRPr="00A25DFB" w:rsidRDefault="00B13B9B" w:rsidP="00B13B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B13B9B" w:rsidRPr="00A25DFB" w:rsidRDefault="00B13B9B" w:rsidP="00B13B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3B9B" w:rsidRPr="00B13B9B" w:rsidRDefault="00B13B9B" w:rsidP="00B13B9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3B9B" w:rsidRPr="00A25DFB" w:rsidRDefault="00B13B9B" w:rsidP="00B13B9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B13B9B" w:rsidRPr="00A25DFB" w:rsidRDefault="00B13B9B" w:rsidP="00B13B9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3B9B" w:rsidRPr="00B13B9B" w:rsidRDefault="00B13B9B" w:rsidP="00B13B9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13B9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919</w:t>
      </w: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B13B9B" w:rsidRPr="00B13B9B" w:rsidRDefault="00B13B9B" w:rsidP="00B13B9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3B9B" w:rsidRPr="00B13B9B" w:rsidRDefault="00B13B9B" w:rsidP="00B13B9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1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ARTÍCULO </w:t>
      </w:r>
      <w:proofErr w:type="gramStart"/>
      <w:r w:rsidRPr="00B1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ÚNICO.</w:t>
      </w:r>
      <w:r w:rsidRPr="00B13B9B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proofErr w:type="gramEnd"/>
      <w:r w:rsidRPr="00B13B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B13B9B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Pr="0000484E">
        <w:rPr>
          <w:rFonts w:ascii="Arial" w:eastAsia="Times New Roman" w:hAnsi="Arial" w:cs="Arial"/>
          <w:b/>
          <w:sz w:val="24"/>
          <w:szCs w:val="24"/>
          <w:lang w:eastAsia="es-ES"/>
        </w:rPr>
        <w:t>deroga</w:t>
      </w:r>
      <w:r w:rsidRPr="00B13B9B">
        <w:rPr>
          <w:rFonts w:ascii="Arial" w:eastAsia="Times New Roman" w:hAnsi="Arial" w:cs="Arial"/>
          <w:sz w:val="24"/>
          <w:szCs w:val="24"/>
          <w:lang w:eastAsia="es-ES"/>
        </w:rPr>
        <w:t xml:space="preserve"> la fracción VII del artículo 25 y se </w:t>
      </w:r>
      <w:r w:rsidRPr="0000484E">
        <w:rPr>
          <w:rFonts w:ascii="Arial" w:eastAsia="Times New Roman" w:hAnsi="Arial" w:cs="Arial"/>
          <w:b/>
          <w:sz w:val="24"/>
          <w:szCs w:val="24"/>
          <w:lang w:eastAsia="es-ES"/>
        </w:rPr>
        <w:t>adiciona</w:t>
      </w:r>
      <w:r w:rsidRPr="00B13B9B">
        <w:rPr>
          <w:rFonts w:ascii="Arial" w:eastAsia="Times New Roman" w:hAnsi="Arial" w:cs="Arial"/>
          <w:sz w:val="24"/>
          <w:szCs w:val="24"/>
          <w:lang w:eastAsia="es-ES"/>
        </w:rPr>
        <w:t xml:space="preserve"> el artículo 30 Bis de la </w:t>
      </w:r>
      <w:r w:rsidRPr="0000484E">
        <w:rPr>
          <w:rFonts w:ascii="Arial" w:eastAsia="Times New Roman" w:hAnsi="Arial" w:cs="Arial"/>
          <w:b/>
          <w:sz w:val="24"/>
          <w:szCs w:val="24"/>
          <w:lang w:eastAsia="es-ES"/>
        </w:rPr>
        <w:t>Ley de Acceso a la Información Pública para el Estado de Coahuila de Zaragoza</w:t>
      </w:r>
      <w:r w:rsidRPr="00B13B9B">
        <w:rPr>
          <w:rFonts w:ascii="Arial" w:eastAsia="Times New Roman" w:hAnsi="Arial" w:cs="Arial"/>
          <w:sz w:val="24"/>
          <w:szCs w:val="24"/>
          <w:lang w:eastAsia="es-ES"/>
        </w:rPr>
        <w:t>, para quedar como sigue:</w:t>
      </w:r>
    </w:p>
    <w:p w:rsidR="00B13B9B" w:rsidRPr="00B13B9B" w:rsidRDefault="00B13B9B" w:rsidP="00B13B9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3B9B" w:rsidRPr="00B13B9B" w:rsidRDefault="00B13B9B" w:rsidP="00B13B9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13B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25. </w:t>
      </w:r>
      <w:r w:rsidRPr="00B13B9B">
        <w:rPr>
          <w:rFonts w:ascii="Arial" w:eastAsia="Times New Roman" w:hAnsi="Arial" w:cs="Arial"/>
          <w:sz w:val="24"/>
          <w:szCs w:val="24"/>
          <w:lang w:eastAsia="es-ES"/>
        </w:rPr>
        <w:t>…</w:t>
      </w:r>
    </w:p>
    <w:p w:rsidR="00B13B9B" w:rsidRPr="00B13B9B" w:rsidRDefault="00B13B9B" w:rsidP="00B13B9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3B9B" w:rsidRPr="00B13B9B" w:rsidRDefault="00B13B9B" w:rsidP="00B13B9B">
      <w:pPr>
        <w:spacing w:after="0" w:line="276" w:lineRule="auto"/>
        <w:ind w:left="454" w:hanging="45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13B9B">
        <w:rPr>
          <w:rFonts w:ascii="Arial" w:eastAsia="Times New Roman" w:hAnsi="Arial" w:cs="Arial"/>
          <w:b/>
          <w:sz w:val="24"/>
          <w:szCs w:val="24"/>
          <w:lang w:eastAsia="es-ES"/>
        </w:rPr>
        <w:t>I.</w:t>
      </w:r>
      <w:r w:rsidRPr="00B13B9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13B9B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a la </w:t>
      </w:r>
      <w:r w:rsidRPr="0000484E">
        <w:rPr>
          <w:rFonts w:ascii="Arial" w:eastAsia="Times New Roman" w:hAnsi="Arial" w:cs="Arial"/>
          <w:b/>
          <w:sz w:val="24"/>
          <w:szCs w:val="24"/>
          <w:lang w:eastAsia="es-ES"/>
        </w:rPr>
        <w:t>VI. …</w:t>
      </w:r>
      <w:r w:rsidRPr="00B13B9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B13B9B" w:rsidRPr="00B13B9B" w:rsidRDefault="00B13B9B" w:rsidP="00B13B9B">
      <w:pPr>
        <w:spacing w:after="0" w:line="276" w:lineRule="auto"/>
        <w:ind w:left="454" w:hanging="45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3B9B" w:rsidRPr="00B13B9B" w:rsidRDefault="00B13B9B" w:rsidP="00B13B9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13B9B">
        <w:rPr>
          <w:rFonts w:ascii="Arial" w:eastAsia="Times New Roman" w:hAnsi="Arial" w:cs="Arial"/>
          <w:b/>
          <w:sz w:val="24"/>
          <w:szCs w:val="24"/>
          <w:lang w:eastAsia="es-ES"/>
        </w:rPr>
        <w:t>VII. Se deroga</w:t>
      </w:r>
      <w:r w:rsidRPr="00B13B9B">
        <w:rPr>
          <w:rFonts w:ascii="Arial" w:eastAsia="Times New Roman" w:hAnsi="Arial" w:cs="Arial"/>
          <w:b/>
          <w:i/>
          <w:sz w:val="24"/>
          <w:szCs w:val="24"/>
          <w:lang w:eastAsia="es-ES"/>
        </w:rPr>
        <w:t>.</w:t>
      </w:r>
      <w:r w:rsidRPr="00B13B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B13B9B" w:rsidRPr="00B13B9B" w:rsidRDefault="00B13B9B" w:rsidP="00B13B9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13B9B" w:rsidRPr="00B13B9B" w:rsidRDefault="00B13B9B" w:rsidP="00B13B9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13B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VIII </w:t>
      </w:r>
      <w:r w:rsidRPr="00B13B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 </w:t>
      </w:r>
      <w:r w:rsidRPr="00B13B9B">
        <w:rPr>
          <w:rFonts w:ascii="Arial" w:eastAsia="Times New Roman" w:hAnsi="Arial" w:cs="Arial"/>
          <w:b/>
          <w:sz w:val="24"/>
          <w:szCs w:val="24"/>
          <w:lang w:eastAsia="es-ES"/>
        </w:rPr>
        <w:t>XV. …</w:t>
      </w:r>
    </w:p>
    <w:p w:rsidR="00B13B9B" w:rsidRPr="00B13B9B" w:rsidRDefault="00B13B9B" w:rsidP="00B13B9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3B9B" w:rsidRPr="00B13B9B" w:rsidRDefault="00B13B9B" w:rsidP="00B13B9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49417328"/>
      <w:r w:rsidRPr="00B1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Artículo 30 bis.</w:t>
      </w:r>
      <w:r w:rsidRPr="00B13B9B">
        <w:rPr>
          <w:rFonts w:ascii="Arial" w:eastAsia="Times New Roman" w:hAnsi="Arial" w:cs="Arial"/>
          <w:sz w:val="24"/>
          <w:szCs w:val="24"/>
          <w:lang w:eastAsia="es-ES"/>
        </w:rPr>
        <w:t xml:space="preserve"> Además de lo señalado en el artículo 21 del presente ordenamiento, la Fiscalía General del Estado, deberá publicar la siguiente información:  </w:t>
      </w:r>
    </w:p>
    <w:p w:rsidR="00B13B9B" w:rsidRPr="00B13B9B" w:rsidRDefault="00B13B9B" w:rsidP="00B13B9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3B9B" w:rsidRPr="00B13B9B" w:rsidRDefault="00B13B9B" w:rsidP="00B13B9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Arial" w:eastAsia="Calibri" w:hAnsi="Arial" w:cs="Arial"/>
          <w:b/>
          <w:sz w:val="24"/>
          <w:szCs w:val="24"/>
          <w:lang w:val="es-ES" w:eastAsia="es-ES"/>
        </w:rPr>
      </w:pPr>
      <w:r w:rsidRPr="00B13B9B">
        <w:rPr>
          <w:rFonts w:ascii="Arial" w:eastAsia="Calibri" w:hAnsi="Arial" w:cs="Arial"/>
          <w:sz w:val="24"/>
          <w:szCs w:val="24"/>
          <w:lang w:val="es-ES" w:eastAsia="es-ES"/>
        </w:rPr>
        <w:t>Los indicadores en materia de procuración de justicia.</w:t>
      </w:r>
    </w:p>
    <w:p w:rsidR="00B13B9B" w:rsidRPr="00B13B9B" w:rsidRDefault="00B13B9B" w:rsidP="00B13B9B">
      <w:pPr>
        <w:autoSpaceDE w:val="0"/>
        <w:autoSpaceDN w:val="0"/>
        <w:adjustRightInd w:val="0"/>
        <w:spacing w:after="0" w:line="276" w:lineRule="auto"/>
        <w:ind w:left="851"/>
        <w:rPr>
          <w:rFonts w:ascii="Arial" w:eastAsia="Calibri" w:hAnsi="Arial" w:cs="Arial"/>
          <w:b/>
          <w:sz w:val="24"/>
          <w:szCs w:val="24"/>
          <w:lang w:val="es-ES" w:eastAsia="es-ES"/>
        </w:rPr>
      </w:pPr>
    </w:p>
    <w:p w:rsidR="00B13B9B" w:rsidRPr="00B13B9B" w:rsidRDefault="00B13B9B" w:rsidP="00B13B9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Arial" w:eastAsia="Calibri" w:hAnsi="Arial" w:cs="Arial"/>
          <w:b/>
          <w:sz w:val="24"/>
          <w:szCs w:val="24"/>
          <w:lang w:val="es-ES" w:eastAsia="es-ES"/>
        </w:rPr>
      </w:pPr>
      <w:r w:rsidRPr="00B13B9B">
        <w:rPr>
          <w:rFonts w:ascii="Arial" w:eastAsia="Calibri" w:hAnsi="Arial" w:cs="Arial"/>
          <w:bCs/>
          <w:sz w:val="24"/>
          <w:szCs w:val="24"/>
          <w:lang w:val="es-ES" w:eastAsia="es-ES"/>
        </w:rPr>
        <w:t xml:space="preserve">Con relación al Sistema Penal Acusatorio </w:t>
      </w:r>
      <w:proofErr w:type="spellStart"/>
      <w:r w:rsidRPr="00B13B9B">
        <w:rPr>
          <w:rFonts w:ascii="Arial" w:eastAsia="Calibri" w:hAnsi="Arial" w:cs="Arial"/>
          <w:bCs/>
          <w:sz w:val="24"/>
          <w:szCs w:val="24"/>
          <w:lang w:val="es-ES" w:eastAsia="es-ES"/>
        </w:rPr>
        <w:t>Adversarial</w:t>
      </w:r>
      <w:proofErr w:type="spellEnd"/>
      <w:r w:rsidRPr="00B13B9B">
        <w:rPr>
          <w:rFonts w:ascii="Arial" w:eastAsia="Calibri" w:hAnsi="Arial" w:cs="Arial"/>
          <w:bCs/>
          <w:sz w:val="24"/>
          <w:szCs w:val="24"/>
          <w:lang w:val="es-ES" w:eastAsia="es-ES"/>
        </w:rPr>
        <w:t xml:space="preserve"> la estadística sobre carpetas de investigación iniciadas, en archivo temporal, judicializadas y concluidas, en las que se precisen las siguientes formas de conclusión:</w:t>
      </w:r>
    </w:p>
    <w:p w:rsidR="00B13B9B" w:rsidRPr="00B13B9B" w:rsidRDefault="00B13B9B" w:rsidP="00B13B9B">
      <w:pPr>
        <w:spacing w:after="0" w:line="240" w:lineRule="auto"/>
        <w:ind w:left="708"/>
        <w:rPr>
          <w:rFonts w:ascii="Arial" w:eastAsia="Calibri" w:hAnsi="Arial" w:cs="Arial"/>
          <w:b/>
          <w:sz w:val="24"/>
          <w:szCs w:val="24"/>
          <w:lang w:val="es-ES" w:eastAsia="es-ES"/>
        </w:rPr>
      </w:pPr>
    </w:p>
    <w:p w:rsidR="00B13B9B" w:rsidRPr="00B13B9B" w:rsidRDefault="00B13B9B" w:rsidP="00B13B9B">
      <w:pPr>
        <w:numPr>
          <w:ilvl w:val="0"/>
          <w:numId w:val="2"/>
        </w:numPr>
        <w:spacing w:after="0" w:line="276" w:lineRule="auto"/>
        <w:ind w:left="127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/>
        </w:rPr>
      </w:pPr>
      <w:r w:rsidRPr="00B13B9B">
        <w:rPr>
          <w:rFonts w:ascii="Arial" w:eastAsia="Calibri" w:hAnsi="Arial" w:cs="Arial"/>
          <w:bCs/>
          <w:sz w:val="24"/>
          <w:szCs w:val="24"/>
          <w:lang w:val="es-ES" w:eastAsia="es-ES"/>
        </w:rPr>
        <w:t>Abstención de investigación.</w:t>
      </w:r>
    </w:p>
    <w:p w:rsidR="00B13B9B" w:rsidRPr="00B13B9B" w:rsidRDefault="00B13B9B" w:rsidP="00B13B9B">
      <w:pPr>
        <w:numPr>
          <w:ilvl w:val="0"/>
          <w:numId w:val="2"/>
        </w:numPr>
        <w:spacing w:after="0" w:line="276" w:lineRule="auto"/>
        <w:ind w:left="127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/>
        </w:rPr>
      </w:pPr>
      <w:r w:rsidRPr="00B13B9B">
        <w:rPr>
          <w:rFonts w:ascii="Arial" w:eastAsia="Calibri" w:hAnsi="Arial" w:cs="Arial"/>
          <w:bCs/>
          <w:sz w:val="24"/>
          <w:szCs w:val="24"/>
          <w:lang w:val="es-ES" w:eastAsia="es-ES"/>
        </w:rPr>
        <w:t>Aplicación de criterio de oportunidad.</w:t>
      </w:r>
    </w:p>
    <w:p w:rsidR="00B13B9B" w:rsidRPr="00B13B9B" w:rsidRDefault="00B13B9B" w:rsidP="00B13B9B">
      <w:pPr>
        <w:numPr>
          <w:ilvl w:val="0"/>
          <w:numId w:val="2"/>
        </w:numPr>
        <w:spacing w:after="0" w:line="276" w:lineRule="auto"/>
        <w:ind w:left="127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/>
        </w:rPr>
      </w:pPr>
      <w:r w:rsidRPr="00B13B9B">
        <w:rPr>
          <w:rFonts w:ascii="Arial" w:eastAsia="Calibri" w:hAnsi="Arial" w:cs="Arial"/>
          <w:bCs/>
          <w:sz w:val="24"/>
          <w:szCs w:val="24"/>
          <w:lang w:val="es-ES" w:eastAsia="es-ES"/>
        </w:rPr>
        <w:t>No ejercicio de la acción penal.</w:t>
      </w:r>
    </w:p>
    <w:p w:rsidR="00B13B9B" w:rsidRPr="00B13B9B" w:rsidRDefault="00B13B9B" w:rsidP="00B13B9B">
      <w:pPr>
        <w:numPr>
          <w:ilvl w:val="0"/>
          <w:numId w:val="2"/>
        </w:numPr>
        <w:spacing w:after="0" w:line="276" w:lineRule="auto"/>
        <w:ind w:left="127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/>
        </w:rPr>
      </w:pPr>
      <w:r w:rsidRPr="00B13B9B">
        <w:rPr>
          <w:rFonts w:ascii="Arial" w:eastAsia="Calibri" w:hAnsi="Arial" w:cs="Arial"/>
          <w:bCs/>
          <w:sz w:val="24"/>
          <w:szCs w:val="24"/>
          <w:lang w:val="es-ES" w:eastAsia="es-ES"/>
        </w:rPr>
        <w:t>Mecanismos alternativos de solución de controversias.</w:t>
      </w:r>
    </w:p>
    <w:p w:rsidR="00B13B9B" w:rsidRPr="00B13B9B" w:rsidRDefault="00B13B9B" w:rsidP="00B13B9B">
      <w:pPr>
        <w:numPr>
          <w:ilvl w:val="0"/>
          <w:numId w:val="2"/>
        </w:numPr>
        <w:spacing w:after="0" w:line="276" w:lineRule="auto"/>
        <w:ind w:left="127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/>
        </w:rPr>
      </w:pPr>
      <w:r w:rsidRPr="00B13B9B">
        <w:rPr>
          <w:rFonts w:ascii="Arial" w:eastAsia="Calibri" w:hAnsi="Arial" w:cs="Arial"/>
          <w:bCs/>
          <w:sz w:val="24"/>
          <w:szCs w:val="24"/>
          <w:lang w:val="es-ES" w:eastAsia="es-ES"/>
        </w:rPr>
        <w:t>Desistimiento de la acción penal.</w:t>
      </w:r>
    </w:p>
    <w:p w:rsidR="00B13B9B" w:rsidRPr="00B13B9B" w:rsidRDefault="00B13B9B" w:rsidP="00B13B9B">
      <w:pPr>
        <w:numPr>
          <w:ilvl w:val="0"/>
          <w:numId w:val="2"/>
        </w:numPr>
        <w:spacing w:after="0" w:line="276" w:lineRule="auto"/>
        <w:ind w:left="127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/>
        </w:rPr>
      </w:pPr>
      <w:r w:rsidRPr="00B13B9B">
        <w:rPr>
          <w:rFonts w:ascii="Arial" w:eastAsia="Calibri" w:hAnsi="Arial" w:cs="Arial"/>
          <w:bCs/>
          <w:sz w:val="24"/>
          <w:szCs w:val="24"/>
          <w:lang w:val="es-ES" w:eastAsia="es-ES"/>
        </w:rPr>
        <w:lastRenderedPageBreak/>
        <w:t>En juicio oral por sentencia ejecutoriada.</w:t>
      </w:r>
    </w:p>
    <w:p w:rsidR="00B13B9B" w:rsidRPr="00B13B9B" w:rsidRDefault="00B13B9B" w:rsidP="00B13B9B">
      <w:pPr>
        <w:numPr>
          <w:ilvl w:val="0"/>
          <w:numId w:val="2"/>
        </w:numPr>
        <w:spacing w:after="0" w:line="276" w:lineRule="auto"/>
        <w:ind w:left="127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/>
        </w:rPr>
      </w:pPr>
      <w:r w:rsidRPr="00B13B9B">
        <w:rPr>
          <w:rFonts w:ascii="Arial" w:eastAsia="Calibri" w:hAnsi="Arial" w:cs="Arial"/>
          <w:bCs/>
          <w:sz w:val="24"/>
          <w:szCs w:val="24"/>
          <w:lang w:val="es-ES" w:eastAsia="es-ES"/>
        </w:rPr>
        <w:t>Sobreseimiento del proceso penal.</w:t>
      </w:r>
    </w:p>
    <w:p w:rsidR="00B13B9B" w:rsidRPr="00B13B9B" w:rsidRDefault="00B13B9B" w:rsidP="00B13B9B">
      <w:pPr>
        <w:numPr>
          <w:ilvl w:val="0"/>
          <w:numId w:val="2"/>
        </w:numPr>
        <w:spacing w:after="0" w:line="276" w:lineRule="auto"/>
        <w:ind w:left="127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/>
        </w:rPr>
      </w:pPr>
      <w:r w:rsidRPr="00B13B9B">
        <w:rPr>
          <w:rFonts w:ascii="Arial" w:eastAsia="Calibri" w:hAnsi="Arial" w:cs="Arial"/>
          <w:bCs/>
          <w:sz w:val="24"/>
          <w:szCs w:val="24"/>
          <w:lang w:val="es-ES" w:eastAsia="es-ES"/>
        </w:rPr>
        <w:t>Incompetencia.</w:t>
      </w:r>
    </w:p>
    <w:p w:rsidR="00B13B9B" w:rsidRPr="00B13B9B" w:rsidRDefault="00B13B9B" w:rsidP="00B13B9B">
      <w:pPr>
        <w:spacing w:after="0" w:line="276" w:lineRule="auto"/>
        <w:ind w:left="1276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13B9B" w:rsidRPr="00B13B9B" w:rsidRDefault="00B13B9B" w:rsidP="00B13B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/>
        </w:rPr>
      </w:pPr>
      <w:r w:rsidRPr="00B13B9B">
        <w:rPr>
          <w:rFonts w:ascii="Arial" w:eastAsia="Calibri" w:hAnsi="Arial" w:cs="Arial"/>
          <w:bCs/>
          <w:sz w:val="24"/>
          <w:szCs w:val="24"/>
          <w:lang w:val="es-ES" w:eastAsia="es-ES"/>
        </w:rPr>
        <w:t>Con relación al Sistema Penal Tradicional la estadística sobre averiguaciones previas iniciadas, en archivo provisional por reserva y concluidas, en las que se precisen las siguientes formas de conclusión:</w:t>
      </w:r>
    </w:p>
    <w:p w:rsidR="00B13B9B" w:rsidRPr="00B13B9B" w:rsidRDefault="00B13B9B" w:rsidP="00B13B9B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/>
        </w:rPr>
      </w:pPr>
    </w:p>
    <w:p w:rsidR="00B13B9B" w:rsidRPr="00B13B9B" w:rsidRDefault="00B13B9B" w:rsidP="00B13B9B">
      <w:pPr>
        <w:numPr>
          <w:ilvl w:val="0"/>
          <w:numId w:val="3"/>
        </w:numPr>
        <w:spacing w:after="0" w:line="276" w:lineRule="auto"/>
        <w:ind w:left="127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/>
        </w:rPr>
      </w:pPr>
      <w:r w:rsidRPr="00B13B9B">
        <w:rPr>
          <w:rFonts w:ascii="Arial" w:eastAsia="Calibri" w:hAnsi="Arial" w:cs="Arial"/>
          <w:bCs/>
          <w:sz w:val="24"/>
          <w:szCs w:val="24"/>
          <w:lang w:val="es-ES" w:eastAsia="es-ES"/>
        </w:rPr>
        <w:t>Consignación a la autoridad jurisdiccional con sentencia ejecutoriada.</w:t>
      </w:r>
    </w:p>
    <w:p w:rsidR="00B13B9B" w:rsidRPr="00B13B9B" w:rsidRDefault="00B13B9B" w:rsidP="00B13B9B">
      <w:pPr>
        <w:numPr>
          <w:ilvl w:val="0"/>
          <w:numId w:val="3"/>
        </w:numPr>
        <w:spacing w:after="0" w:line="276" w:lineRule="auto"/>
        <w:ind w:left="127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/>
        </w:rPr>
      </w:pPr>
      <w:r w:rsidRPr="00B13B9B">
        <w:rPr>
          <w:rFonts w:ascii="Arial" w:eastAsia="Calibri" w:hAnsi="Arial" w:cs="Arial"/>
          <w:bCs/>
          <w:sz w:val="24"/>
          <w:szCs w:val="24"/>
          <w:lang w:val="es-ES" w:eastAsia="es-ES"/>
        </w:rPr>
        <w:t xml:space="preserve">Sobreseimiento del proceso penal.  </w:t>
      </w:r>
    </w:p>
    <w:p w:rsidR="00B13B9B" w:rsidRPr="00B13B9B" w:rsidRDefault="00B13B9B" w:rsidP="00B13B9B">
      <w:pPr>
        <w:numPr>
          <w:ilvl w:val="0"/>
          <w:numId w:val="3"/>
        </w:numPr>
        <w:spacing w:after="0" w:line="276" w:lineRule="auto"/>
        <w:ind w:left="127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/>
        </w:rPr>
      </w:pPr>
      <w:r w:rsidRPr="00B13B9B">
        <w:rPr>
          <w:rFonts w:ascii="Arial" w:eastAsia="Calibri" w:hAnsi="Arial" w:cs="Arial"/>
          <w:bCs/>
          <w:sz w:val="24"/>
          <w:szCs w:val="24"/>
          <w:lang w:val="es-ES" w:eastAsia="es-ES"/>
        </w:rPr>
        <w:t>Justicia Restaurativa.</w:t>
      </w:r>
    </w:p>
    <w:p w:rsidR="00B13B9B" w:rsidRPr="00B13B9B" w:rsidRDefault="00B13B9B" w:rsidP="00B13B9B">
      <w:pPr>
        <w:numPr>
          <w:ilvl w:val="0"/>
          <w:numId w:val="3"/>
        </w:numPr>
        <w:spacing w:after="0" w:line="276" w:lineRule="auto"/>
        <w:ind w:left="127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/>
        </w:rPr>
      </w:pPr>
      <w:r w:rsidRPr="00B13B9B">
        <w:rPr>
          <w:rFonts w:ascii="Arial" w:eastAsia="Calibri" w:hAnsi="Arial" w:cs="Arial"/>
          <w:bCs/>
          <w:sz w:val="24"/>
          <w:szCs w:val="24"/>
          <w:lang w:val="es-ES" w:eastAsia="es-ES"/>
        </w:rPr>
        <w:t>No ejercicio de la acción penal.</w:t>
      </w:r>
    </w:p>
    <w:p w:rsidR="00B13B9B" w:rsidRPr="00B13B9B" w:rsidRDefault="00B13B9B" w:rsidP="00B13B9B">
      <w:pPr>
        <w:numPr>
          <w:ilvl w:val="0"/>
          <w:numId w:val="3"/>
        </w:numPr>
        <w:spacing w:after="0" w:line="276" w:lineRule="auto"/>
        <w:ind w:left="127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/>
        </w:rPr>
      </w:pPr>
      <w:r w:rsidRPr="00B13B9B">
        <w:rPr>
          <w:rFonts w:ascii="Arial" w:eastAsia="Calibri" w:hAnsi="Arial" w:cs="Arial"/>
          <w:bCs/>
          <w:sz w:val="24"/>
          <w:szCs w:val="24"/>
          <w:lang w:val="es-ES" w:eastAsia="es-ES"/>
        </w:rPr>
        <w:t>Incompetencia.</w:t>
      </w:r>
    </w:p>
    <w:p w:rsidR="00B13B9B" w:rsidRPr="00B13B9B" w:rsidRDefault="00B13B9B" w:rsidP="00B13B9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3B9B" w:rsidRPr="00B13B9B" w:rsidRDefault="00B13B9B" w:rsidP="00B13B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ES" w:eastAsia="es-ES"/>
        </w:rPr>
      </w:pPr>
      <w:r w:rsidRPr="00B13B9B">
        <w:rPr>
          <w:rFonts w:ascii="Arial" w:eastAsia="Calibri" w:hAnsi="Arial" w:cs="Arial"/>
          <w:sz w:val="24"/>
          <w:szCs w:val="24"/>
          <w:lang w:val="es-ES" w:eastAsia="es-ES"/>
        </w:rPr>
        <w:t xml:space="preserve">Los distintos índices delictivos divididos por Municipio y de acuerdo a las delegaciones regionales en las que desconcentre sus funciones la Fiscalía General del Estado. </w:t>
      </w:r>
    </w:p>
    <w:p w:rsidR="00B13B9B" w:rsidRPr="00B13B9B" w:rsidRDefault="00B13B9B" w:rsidP="00B13B9B">
      <w:pPr>
        <w:spacing w:after="0" w:line="276" w:lineRule="auto"/>
        <w:ind w:left="1080"/>
        <w:rPr>
          <w:rFonts w:ascii="Arial" w:eastAsia="Calibri" w:hAnsi="Arial" w:cs="Arial"/>
          <w:b/>
          <w:sz w:val="16"/>
          <w:szCs w:val="16"/>
          <w:lang w:val="es-ES" w:eastAsia="es-ES"/>
        </w:rPr>
      </w:pPr>
    </w:p>
    <w:p w:rsidR="00B13B9B" w:rsidRPr="00B13B9B" w:rsidRDefault="00B13B9B" w:rsidP="00B13B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ES" w:eastAsia="es-ES"/>
        </w:rPr>
      </w:pPr>
      <w:r w:rsidRPr="00B13B9B">
        <w:rPr>
          <w:rFonts w:ascii="Arial" w:eastAsia="Calibri" w:hAnsi="Arial" w:cs="Arial"/>
          <w:sz w:val="24"/>
          <w:szCs w:val="24"/>
          <w:lang w:val="es-ES" w:eastAsia="es-ES"/>
        </w:rPr>
        <w:t>La estadística de personas desaparecidas o no localizadas, en la que se desagregue información por año, municipio y delegación regional en el que ocurrieron los hechos, así como aquella información que comunique a la sociedad los resultados de las acciones de búsqueda y de las investigaciones realizadas por la Fiscalía General del Estado. La información que se publique en cumplimiento de esta fracción deberá atender a la normatividad en materia de datos personales.</w:t>
      </w:r>
    </w:p>
    <w:p w:rsidR="00B13B9B" w:rsidRPr="00B13B9B" w:rsidRDefault="00B13B9B" w:rsidP="00B13B9B">
      <w:pPr>
        <w:spacing w:after="0" w:line="276" w:lineRule="auto"/>
        <w:ind w:left="1080"/>
        <w:rPr>
          <w:rFonts w:ascii="Arial" w:eastAsia="Calibri" w:hAnsi="Arial" w:cs="Arial"/>
          <w:b/>
          <w:sz w:val="16"/>
          <w:szCs w:val="16"/>
          <w:lang w:val="es-ES" w:eastAsia="es-ES"/>
        </w:rPr>
      </w:pPr>
    </w:p>
    <w:p w:rsidR="00B13B9B" w:rsidRPr="00B13B9B" w:rsidRDefault="00B13B9B" w:rsidP="00B13B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ES" w:eastAsia="es-ES"/>
        </w:rPr>
      </w:pPr>
      <w:r w:rsidRPr="00B13B9B">
        <w:rPr>
          <w:rFonts w:ascii="Arial" w:eastAsia="Calibri" w:hAnsi="Arial" w:cs="Arial"/>
          <w:sz w:val="24"/>
          <w:szCs w:val="24"/>
          <w:lang w:val="es-ES" w:eastAsia="es-ES"/>
        </w:rPr>
        <w:t>Las estadísticas de delitos cometidos por razones de género y aquella información tendiente a la prevención de este tipo de conductas, promuevan la cultura de la denuncia y el conocimiento de los derechos que asisten a las víctimas de los mismos.</w:t>
      </w:r>
    </w:p>
    <w:p w:rsidR="00B13B9B" w:rsidRPr="00B13B9B" w:rsidRDefault="00B13B9B" w:rsidP="00B13B9B">
      <w:pPr>
        <w:spacing w:after="0" w:line="276" w:lineRule="auto"/>
        <w:ind w:left="708"/>
        <w:rPr>
          <w:rFonts w:ascii="Arial" w:eastAsia="Calibri" w:hAnsi="Arial" w:cs="Arial"/>
          <w:b/>
          <w:sz w:val="16"/>
          <w:szCs w:val="16"/>
          <w:lang w:val="es-ES" w:eastAsia="es-ES"/>
        </w:rPr>
      </w:pPr>
    </w:p>
    <w:p w:rsidR="00B13B9B" w:rsidRPr="00B13B9B" w:rsidRDefault="00B13B9B" w:rsidP="00B13B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ES" w:eastAsia="es-ES"/>
        </w:rPr>
      </w:pPr>
      <w:r w:rsidRPr="00B13B9B">
        <w:rPr>
          <w:rFonts w:ascii="Arial" w:eastAsia="Calibri" w:hAnsi="Arial" w:cs="Arial"/>
          <w:sz w:val="24"/>
          <w:szCs w:val="24"/>
          <w:lang w:val="es-ES" w:eastAsia="es-ES"/>
        </w:rPr>
        <w:t>Los programas de atención y protección a víctimas, testigos y demás involucrados en el proceso penal implementados por la Fiscalía General del Estado, detallando los requisitos para el acceso a los mismos.</w:t>
      </w:r>
    </w:p>
    <w:p w:rsidR="00B13B9B" w:rsidRPr="00B13B9B" w:rsidRDefault="00B13B9B" w:rsidP="00B13B9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bookmarkEnd w:id="0"/>
    <w:p w:rsidR="00B13B9B" w:rsidRDefault="00B13B9B" w:rsidP="00B13B9B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 R A N S I T O R I O </w:t>
      </w:r>
    </w:p>
    <w:p w:rsidR="00B13B9B" w:rsidRPr="00B13B9B" w:rsidRDefault="00B13B9B" w:rsidP="00B13B9B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13B9B" w:rsidRPr="00B13B9B" w:rsidRDefault="00B13B9B" w:rsidP="00B13B9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13B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ÚNICO.- </w:t>
      </w:r>
      <w:r w:rsidRPr="00B13B9B">
        <w:rPr>
          <w:rFonts w:ascii="Arial" w:eastAsia="Times New Roman" w:hAnsi="Arial" w:cs="Arial"/>
          <w:sz w:val="24"/>
          <w:szCs w:val="24"/>
          <w:lang w:eastAsia="es-ES"/>
        </w:rPr>
        <w:t>El presente Decreto entrará en vigor al día siguiente de su publicación en el Periódico Oficial del Gobierno del Estado.</w:t>
      </w:r>
    </w:p>
    <w:p w:rsidR="0000484E" w:rsidRDefault="0000484E" w:rsidP="0000484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484E" w:rsidRDefault="0000484E" w:rsidP="0000484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484E" w:rsidRPr="00C91B7E" w:rsidRDefault="0000484E" w:rsidP="0000484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ila de Zaragoza, a los veintitrés</w:t>
      </w: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diciembre del año dos mil veinte.</w:t>
      </w:r>
    </w:p>
    <w:p w:rsidR="0000484E" w:rsidRPr="00C91B7E" w:rsidRDefault="0000484E" w:rsidP="0000484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484E" w:rsidRPr="00C91B7E" w:rsidRDefault="0000484E" w:rsidP="0000484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484E" w:rsidRPr="00C91B7E" w:rsidRDefault="0000484E" w:rsidP="0000484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484E" w:rsidRPr="00C91B7E" w:rsidRDefault="0000484E" w:rsidP="0000484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00484E" w:rsidRPr="00C91B7E" w:rsidRDefault="0000484E" w:rsidP="0000484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484E" w:rsidRPr="00C91B7E" w:rsidRDefault="0000484E" w:rsidP="0000484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484E" w:rsidRPr="00C91B7E" w:rsidRDefault="0000484E" w:rsidP="0000484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484E" w:rsidRPr="00C91B7E" w:rsidRDefault="0000484E" w:rsidP="0000484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484E" w:rsidRPr="00C91B7E" w:rsidRDefault="0000484E" w:rsidP="0000484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484E" w:rsidRPr="00C91B7E" w:rsidRDefault="0000484E" w:rsidP="0000484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00484E" w:rsidRPr="00C91B7E" w:rsidRDefault="0000484E" w:rsidP="0000484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484E" w:rsidRPr="00C91B7E" w:rsidRDefault="0000484E" w:rsidP="0000484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484E" w:rsidRPr="00C91B7E" w:rsidRDefault="0000484E" w:rsidP="0000484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484E" w:rsidRPr="00C91B7E" w:rsidRDefault="0000484E" w:rsidP="0000484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484E" w:rsidRPr="00C91B7E" w:rsidRDefault="0000484E" w:rsidP="0000484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484E" w:rsidRPr="00C91B7E" w:rsidRDefault="0000484E" w:rsidP="000048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C91B7E">
        <w:rPr>
          <w:rFonts w:ascii="Arial" w:hAnsi="Arial" w:cs="Arial"/>
          <w:b/>
          <w:sz w:val="24"/>
          <w:szCs w:val="24"/>
        </w:rPr>
        <w:t xml:space="preserve">DIPUTADA SECRETARIA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1B7E">
        <w:rPr>
          <w:rFonts w:ascii="Arial" w:hAnsi="Arial" w:cs="Arial"/>
          <w:b/>
          <w:sz w:val="24"/>
          <w:szCs w:val="24"/>
        </w:rPr>
        <w:t>DIPUTADA SECRETARIA</w:t>
      </w:r>
    </w:p>
    <w:p w:rsidR="0000484E" w:rsidRPr="00C91B7E" w:rsidRDefault="0000484E" w:rsidP="000048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84E" w:rsidRPr="00C91B7E" w:rsidRDefault="0000484E" w:rsidP="000048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00484E" w:rsidRPr="00C91B7E" w:rsidRDefault="0000484E" w:rsidP="000048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84E" w:rsidRPr="00C91B7E" w:rsidRDefault="0000484E" w:rsidP="000048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84E" w:rsidRPr="00C91B7E" w:rsidRDefault="0000484E" w:rsidP="000048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84E" w:rsidRPr="00C91B7E" w:rsidRDefault="0000484E" w:rsidP="000048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VERÓNICA BOREQUE MARTÍNEZ GONZÁLEZ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C91B7E">
        <w:rPr>
          <w:rFonts w:ascii="Arial" w:hAnsi="Arial" w:cs="Arial"/>
          <w:b/>
          <w:sz w:val="24"/>
          <w:szCs w:val="24"/>
        </w:rPr>
        <w:t>DIANA PATRICIA GONZÁLEZ SOTO</w:t>
      </w:r>
    </w:p>
    <w:p w:rsidR="0000484E" w:rsidRPr="00C91B7E" w:rsidRDefault="0000484E" w:rsidP="0000484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484E" w:rsidRPr="00B028AB" w:rsidRDefault="0000484E" w:rsidP="0000484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484E" w:rsidRPr="00B028AB" w:rsidRDefault="0000484E" w:rsidP="0000484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484E" w:rsidRPr="00B028AB" w:rsidRDefault="0000484E" w:rsidP="0000484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484E" w:rsidRDefault="0000484E" w:rsidP="0000484E">
      <w:pPr>
        <w:widowControl w:val="0"/>
        <w:tabs>
          <w:tab w:val="left" w:pos="8749"/>
        </w:tabs>
        <w:spacing w:after="0" w:line="240" w:lineRule="auto"/>
        <w:jc w:val="both"/>
      </w:pPr>
    </w:p>
    <w:p w:rsidR="00245157" w:rsidRPr="00B13B9B" w:rsidRDefault="0014281C" w:rsidP="0000484E">
      <w:pPr>
        <w:widowControl w:val="0"/>
        <w:tabs>
          <w:tab w:val="left" w:pos="8749"/>
        </w:tabs>
        <w:spacing w:after="0" w:line="240" w:lineRule="auto"/>
        <w:jc w:val="both"/>
        <w:rPr>
          <w:sz w:val="24"/>
          <w:szCs w:val="24"/>
        </w:rPr>
      </w:pPr>
    </w:p>
    <w:sectPr w:rsidR="00245157" w:rsidRPr="00B13B9B" w:rsidSect="00B40EAC">
      <w:headerReference w:type="default" r:id="rId7"/>
      <w:footerReference w:type="even" r:id="rId8"/>
      <w:footerReference w:type="default" r:id="rId9"/>
      <w:pgSz w:w="12240" w:h="15840" w:code="1"/>
      <w:pgMar w:top="2268" w:right="1134" w:bottom="1134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1C" w:rsidRDefault="0014281C">
      <w:pPr>
        <w:spacing w:after="0" w:line="240" w:lineRule="auto"/>
      </w:pPr>
      <w:r>
        <w:separator/>
      </w:r>
    </w:p>
  </w:endnote>
  <w:endnote w:type="continuationSeparator" w:id="0">
    <w:p w:rsidR="0014281C" w:rsidRDefault="0014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A1" w:rsidRDefault="00B13B9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AA1" w:rsidRDefault="001428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A1" w:rsidRDefault="0014281C">
    <w:pPr>
      <w:ind w:right="49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1C" w:rsidRDefault="0014281C">
      <w:pPr>
        <w:spacing w:after="0" w:line="240" w:lineRule="auto"/>
      </w:pPr>
      <w:r>
        <w:separator/>
      </w:r>
    </w:p>
  </w:footnote>
  <w:footnote w:type="continuationSeparator" w:id="0">
    <w:p w:rsidR="0014281C" w:rsidRDefault="0014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00484E" w:rsidRPr="00705B62" w:rsidTr="00D8391C">
      <w:trPr>
        <w:jc w:val="center"/>
      </w:trPr>
      <w:tc>
        <w:tcPr>
          <w:tcW w:w="1541" w:type="dxa"/>
        </w:tcPr>
        <w:p w:rsidR="0000484E" w:rsidRPr="00705B62" w:rsidRDefault="0000484E" w:rsidP="0000484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C4FA322" wp14:editId="06321DE1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484E" w:rsidRPr="00705B62" w:rsidRDefault="0000484E" w:rsidP="0000484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0484E" w:rsidRPr="00705B62" w:rsidRDefault="0000484E" w:rsidP="0000484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00484E" w:rsidRPr="00705B62" w:rsidRDefault="0000484E" w:rsidP="0000484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00484E" w:rsidRPr="00705B62" w:rsidRDefault="0000484E" w:rsidP="0000484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00484E" w:rsidRPr="00705B62" w:rsidRDefault="0000484E" w:rsidP="0000484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00484E" w:rsidRPr="00705B62" w:rsidRDefault="0000484E" w:rsidP="0000484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00484E" w:rsidRPr="00705B62" w:rsidRDefault="0000484E" w:rsidP="0000484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00484E" w:rsidRPr="00705B62" w:rsidRDefault="0000484E" w:rsidP="0000484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00484E" w:rsidRPr="00705B62" w:rsidRDefault="0000484E" w:rsidP="0000484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BB10200" wp14:editId="60A69BDB">
                <wp:simplePos x="0" y="0"/>
                <wp:positionH relativeFrom="column">
                  <wp:posOffset>165100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484E" w:rsidRPr="00705B62" w:rsidRDefault="0000484E" w:rsidP="0000484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0484E" w:rsidRPr="00705B62" w:rsidRDefault="0000484E" w:rsidP="0000484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00484E" w:rsidRPr="00705B62" w:rsidRDefault="0000484E" w:rsidP="000048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37516"/>
    <w:multiLevelType w:val="hybridMultilevel"/>
    <w:tmpl w:val="1AAA6C48"/>
    <w:lvl w:ilvl="0" w:tplc="A0ECE51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67368"/>
    <w:multiLevelType w:val="hybridMultilevel"/>
    <w:tmpl w:val="5568F5D2"/>
    <w:lvl w:ilvl="0" w:tplc="44DE471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02AD7"/>
    <w:multiLevelType w:val="hybridMultilevel"/>
    <w:tmpl w:val="5F6E71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9B"/>
    <w:rsid w:val="0000484E"/>
    <w:rsid w:val="000653EC"/>
    <w:rsid w:val="0014281C"/>
    <w:rsid w:val="00173349"/>
    <w:rsid w:val="00251C26"/>
    <w:rsid w:val="004562E7"/>
    <w:rsid w:val="00934DE9"/>
    <w:rsid w:val="00B13B9B"/>
    <w:rsid w:val="00CC7F8F"/>
    <w:rsid w:val="00E6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7DF5B-9141-42BC-A4E6-4CB524CE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B9B"/>
  </w:style>
  <w:style w:type="paragraph" w:styleId="Piedepgina">
    <w:name w:val="footer"/>
    <w:basedOn w:val="Normal"/>
    <w:link w:val="PiedepginaCar"/>
    <w:uiPriority w:val="99"/>
    <w:unhideWhenUsed/>
    <w:rsid w:val="00B13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B9B"/>
  </w:style>
  <w:style w:type="character" w:styleId="Nmerodepgina">
    <w:name w:val="page number"/>
    <w:basedOn w:val="Fuentedeprrafopredeter"/>
    <w:rsid w:val="00B1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2020-12-28T05:27:00Z</dcterms:created>
  <dcterms:modified xsi:type="dcterms:W3CDTF">2021-01-02T05:41:00Z</dcterms:modified>
</cp:coreProperties>
</file>