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EA" w:rsidRPr="00A536D1" w:rsidRDefault="00DC61EA" w:rsidP="00DC61EA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</w:p>
    <w:p w:rsidR="00DC61EA" w:rsidRPr="00A536D1" w:rsidRDefault="00DC61EA" w:rsidP="00DC61EA">
      <w:pPr>
        <w:spacing w:after="200" w:line="276" w:lineRule="auto"/>
        <w:jc w:val="both"/>
        <w:rPr>
          <w:rFonts w:ascii="Arial" w:eastAsia="Arial Unicode MS" w:hAnsi="Arial" w:cs="Arial"/>
          <w:b/>
          <w:bCs/>
          <w:color w:val="000000"/>
          <w:sz w:val="26"/>
          <w:szCs w:val="26"/>
          <w:bdr w:val="none" w:sz="0" w:space="0" w:color="auto" w:frame="1"/>
          <w:lang w:val="es-ES" w:eastAsia="es-MX"/>
        </w:rPr>
      </w:pPr>
      <w:bookmarkStart w:id="0" w:name="_GoBack"/>
      <w:bookmarkEnd w:id="0"/>
    </w:p>
    <w:p w:rsidR="00DC61EA" w:rsidRPr="00A536D1" w:rsidRDefault="00DC61EA" w:rsidP="00DC61EA">
      <w:pPr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DC61EA" w:rsidRPr="00DC61EA" w:rsidRDefault="00DC61EA" w:rsidP="00DC61E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C61EA" w:rsidRPr="00A536D1" w:rsidRDefault="00DC61EA" w:rsidP="00DC61E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DC61EA" w:rsidRPr="00DC61EA" w:rsidRDefault="00DC61EA" w:rsidP="00DC61E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DC61EA" w:rsidRDefault="00DC61EA" w:rsidP="00DC61E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 xml:space="preserve">NÚMERO </w:t>
      </w:r>
      <w:r w:rsidRPr="00DC61EA">
        <w:rPr>
          <w:rFonts w:ascii="Arial" w:hAnsi="Arial" w:cs="Arial"/>
          <w:b/>
          <w:snapToGrid w:val="0"/>
          <w:sz w:val="26"/>
          <w:szCs w:val="26"/>
          <w:lang w:val="es-ES_tradnl"/>
        </w:rPr>
        <w:t>970</w:t>
      </w:r>
      <w:r w:rsidRPr="00A536D1">
        <w:rPr>
          <w:rFonts w:ascii="Arial" w:hAnsi="Arial" w:cs="Arial"/>
          <w:b/>
          <w:snapToGrid w:val="0"/>
          <w:sz w:val="26"/>
          <w:szCs w:val="26"/>
          <w:lang w:val="es-ES_tradnl"/>
        </w:rPr>
        <w:t>.-</w:t>
      </w:r>
    </w:p>
    <w:p w:rsidR="00DC61EA" w:rsidRPr="00DC61EA" w:rsidRDefault="00DC61EA" w:rsidP="00DC61EA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hAnsi="Arial" w:cs="Arial"/>
          <w:sz w:val="26"/>
          <w:szCs w:val="26"/>
        </w:rPr>
      </w:pPr>
      <w:r w:rsidRPr="00A9523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ARTICULO </w:t>
      </w:r>
      <w:proofErr w:type="gramStart"/>
      <w:r w:rsidRPr="00A95232">
        <w:rPr>
          <w:rFonts w:ascii="Arial" w:eastAsia="Times New Roman" w:hAnsi="Arial" w:cs="Arial"/>
          <w:b/>
          <w:sz w:val="26"/>
          <w:szCs w:val="26"/>
          <w:lang w:eastAsia="es-ES"/>
        </w:rPr>
        <w:t>ÚNICO.-</w:t>
      </w:r>
      <w:proofErr w:type="gramEnd"/>
      <w:r w:rsidRPr="00A95232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A95232">
        <w:rPr>
          <w:rFonts w:ascii="Arial" w:hAnsi="Arial" w:cs="Arial"/>
          <w:sz w:val="26"/>
          <w:szCs w:val="26"/>
        </w:rPr>
        <w:t xml:space="preserve">Se </w:t>
      </w:r>
      <w:r w:rsidRPr="00A95232">
        <w:rPr>
          <w:rFonts w:ascii="Arial" w:hAnsi="Arial" w:cs="Arial"/>
          <w:b/>
          <w:sz w:val="26"/>
          <w:szCs w:val="26"/>
        </w:rPr>
        <w:t>reforma</w:t>
      </w:r>
      <w:r w:rsidRPr="00A95232">
        <w:rPr>
          <w:rFonts w:ascii="Arial" w:hAnsi="Arial" w:cs="Arial"/>
          <w:sz w:val="26"/>
          <w:szCs w:val="26"/>
        </w:rPr>
        <w:t xml:space="preserve"> el segundo párrafo del artículo 9, se </w:t>
      </w:r>
      <w:r w:rsidRPr="00A95232">
        <w:rPr>
          <w:rFonts w:ascii="Arial" w:hAnsi="Arial" w:cs="Arial"/>
          <w:b/>
          <w:sz w:val="26"/>
          <w:szCs w:val="26"/>
        </w:rPr>
        <w:t>reforman</w:t>
      </w:r>
      <w:r w:rsidRPr="00A95232">
        <w:rPr>
          <w:rFonts w:ascii="Arial" w:hAnsi="Arial" w:cs="Arial"/>
          <w:sz w:val="26"/>
          <w:szCs w:val="26"/>
        </w:rPr>
        <w:t xml:space="preserve"> los numerales 6 y 7 y se </w:t>
      </w:r>
      <w:r w:rsidRPr="00A95232">
        <w:rPr>
          <w:rFonts w:ascii="Arial" w:hAnsi="Arial" w:cs="Arial"/>
          <w:b/>
          <w:sz w:val="26"/>
          <w:szCs w:val="26"/>
        </w:rPr>
        <w:t>adiciona</w:t>
      </w:r>
      <w:r w:rsidRPr="00A95232">
        <w:rPr>
          <w:rFonts w:ascii="Arial" w:hAnsi="Arial" w:cs="Arial"/>
          <w:sz w:val="26"/>
          <w:szCs w:val="26"/>
        </w:rPr>
        <w:t xml:space="preserve"> el numeral 8 del inciso a) de la fracción I del artículo 76 de la </w:t>
      </w:r>
      <w:r w:rsidRPr="00A95232">
        <w:rPr>
          <w:rFonts w:ascii="Arial" w:hAnsi="Arial" w:cs="Arial"/>
          <w:b/>
          <w:sz w:val="26"/>
          <w:szCs w:val="26"/>
        </w:rPr>
        <w:t>Ley del Sistema de Seguridad Pública del Estado de Coahuila de Zaragoza</w:t>
      </w:r>
      <w:r w:rsidRPr="00A95232">
        <w:rPr>
          <w:rFonts w:ascii="Arial" w:hAnsi="Arial" w:cs="Arial"/>
          <w:sz w:val="26"/>
          <w:szCs w:val="26"/>
        </w:rPr>
        <w:t>, para quedar como sigue:</w:t>
      </w:r>
    </w:p>
    <w:p w:rsidR="00A95232" w:rsidRDefault="00A95232" w:rsidP="00A95232">
      <w:pPr>
        <w:spacing w:after="0" w:line="360" w:lineRule="exact"/>
        <w:jc w:val="both"/>
        <w:rPr>
          <w:rFonts w:ascii="Arial" w:hAnsi="Arial" w:cs="Arial"/>
          <w:sz w:val="26"/>
          <w:szCs w:val="26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hAnsi="Arial" w:cs="Arial"/>
          <w:sz w:val="26"/>
          <w:szCs w:val="26"/>
        </w:rPr>
      </w:pPr>
    </w:p>
    <w:p w:rsid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>Artículo 9.</w:t>
      </w:r>
      <w:r w:rsidRPr="00A95232">
        <w:rPr>
          <w:rFonts w:ascii="Arial" w:eastAsiaTheme="minorEastAsia" w:hAnsi="Arial" w:cs="Arial"/>
          <w:sz w:val="26"/>
          <w:szCs w:val="26"/>
          <w:lang w:eastAsia="es-MX"/>
        </w:rPr>
        <w:t xml:space="preserve"> …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sz w:val="26"/>
          <w:szCs w:val="26"/>
          <w:lang w:eastAsia="es-MX"/>
        </w:rPr>
        <w:t>…</w:t>
      </w:r>
      <w:r w:rsidRPr="00A95232">
        <w:rPr>
          <w:rFonts w:ascii="Arial" w:eastAsia="Times New Roman" w:hAnsi="Arial" w:cs="Arial"/>
          <w:sz w:val="26"/>
          <w:szCs w:val="26"/>
          <w:lang w:eastAsia="es-ES"/>
        </w:rPr>
        <w:t xml:space="preserve"> </w:t>
      </w:r>
    </w:p>
    <w:p w:rsid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sz w:val="26"/>
          <w:szCs w:val="26"/>
          <w:lang w:eastAsia="es-MX"/>
        </w:rPr>
        <w:t xml:space="preserve">Los ayuntamientos, podrán celebrar convenios con el Estado para que presten coordinadamente los servicios de seguridad pública, estableciendo la autoridad que asumirá el mando, o bien, convenir que el Estado los asuma totalmente, bajo el esquema operativo de mando único en forma temporal cuando a juicio de los ayuntamientos sea necesario, fijando los mecanismos, medios, recursos y atribuciones, homologando logísticamente sus cuerpos de seguridad a los de la Policía del Estado, así como los demás elementos y condiciones que se requieran de conformidad con la legislación aplicable. </w:t>
      </w:r>
    </w:p>
    <w:p w:rsid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sz w:val="26"/>
          <w:szCs w:val="26"/>
          <w:lang w:eastAsia="es-MX"/>
        </w:rPr>
        <w:t>…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sz w:val="26"/>
          <w:szCs w:val="26"/>
          <w:lang w:eastAsia="es-MX"/>
        </w:rPr>
        <w:t>…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lastRenderedPageBreak/>
        <w:t>Artículo 76.</w:t>
      </w:r>
      <w:r w:rsidRPr="00A95232">
        <w:rPr>
          <w:rFonts w:ascii="Arial" w:eastAsiaTheme="minorEastAsia" w:hAnsi="Arial" w:cs="Arial"/>
          <w:sz w:val="26"/>
          <w:szCs w:val="26"/>
          <w:lang w:eastAsia="es-MX"/>
        </w:rPr>
        <w:t xml:space="preserve"> …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sz w:val="26"/>
          <w:szCs w:val="26"/>
          <w:lang w:eastAsia="es-MX"/>
        </w:rPr>
        <w:t>…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>I. …</w:t>
      </w:r>
    </w:p>
    <w:p w:rsid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>a. …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>1. a la 5….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 xml:space="preserve">6. </w:t>
      </w: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ab/>
        <w:t>Cibernética;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 xml:space="preserve">7. </w:t>
      </w: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ab/>
        <w:t>Seguridad Complementaria; y</w:t>
      </w: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</w:p>
    <w:p w:rsidR="00A95232" w:rsidRPr="00A95232" w:rsidRDefault="00A95232" w:rsidP="00A95232">
      <w:pPr>
        <w:spacing w:line="360" w:lineRule="exact"/>
        <w:jc w:val="both"/>
        <w:rPr>
          <w:rFonts w:ascii="Arial" w:eastAsiaTheme="minorEastAsia" w:hAnsi="Arial" w:cs="Arial"/>
          <w:b/>
          <w:bCs/>
          <w:sz w:val="26"/>
          <w:szCs w:val="26"/>
          <w:lang w:eastAsia="es-MX"/>
        </w:rPr>
      </w:pP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 xml:space="preserve">8. </w:t>
      </w:r>
      <w:r w:rsidRPr="00A95232">
        <w:rPr>
          <w:rFonts w:ascii="Arial" w:eastAsiaTheme="minorEastAsia" w:hAnsi="Arial" w:cs="Arial"/>
          <w:b/>
          <w:bCs/>
          <w:sz w:val="26"/>
          <w:szCs w:val="26"/>
          <w:lang w:eastAsia="es-MX"/>
        </w:rPr>
        <w:tab/>
        <w:t xml:space="preserve">Acciones con perspectiva de Derechos Humanos. </w:t>
      </w: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A9523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Del b. al d. …</w:t>
      </w: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A9523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II. …</w:t>
      </w: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A9523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….</w:t>
      </w: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A9523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….</w:t>
      </w:r>
    </w:p>
    <w:p w:rsid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Pr="00A95232" w:rsidRDefault="00A95232" w:rsidP="00A95232">
      <w:pPr>
        <w:spacing w:after="0" w:line="360" w:lineRule="exact"/>
        <w:jc w:val="both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Pr="00A95232" w:rsidRDefault="00A95232" w:rsidP="00A95232">
      <w:pPr>
        <w:spacing w:after="0" w:line="360" w:lineRule="exact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  <w:r w:rsidRPr="00A9523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TRANSITORIO</w:t>
      </w:r>
    </w:p>
    <w:p w:rsidR="00A95232" w:rsidRPr="00A95232" w:rsidRDefault="00A95232" w:rsidP="00A95232">
      <w:pPr>
        <w:spacing w:before="120" w:after="120" w:line="360" w:lineRule="exact"/>
        <w:jc w:val="center"/>
        <w:rPr>
          <w:rFonts w:ascii="Arial" w:eastAsia="Times New Roman" w:hAnsi="Arial" w:cs="Arial"/>
          <w:b/>
          <w:bCs/>
          <w:sz w:val="26"/>
          <w:szCs w:val="26"/>
          <w:lang w:eastAsia="es-ES"/>
        </w:rPr>
      </w:pPr>
    </w:p>
    <w:p w:rsidR="00A95232" w:rsidRDefault="00A95232" w:rsidP="00A95232">
      <w:pPr>
        <w:spacing w:before="120" w:after="120" w:line="36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proofErr w:type="gramStart"/>
      <w:r w:rsidRPr="00A95232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ÚNICO.-</w:t>
      </w:r>
      <w:proofErr w:type="gramEnd"/>
      <w:r w:rsidRPr="00A95232">
        <w:rPr>
          <w:rFonts w:ascii="Arial" w:eastAsia="Times New Roman" w:hAnsi="Arial" w:cs="Arial"/>
          <w:sz w:val="26"/>
          <w:szCs w:val="26"/>
          <w:lang w:eastAsia="es-ES"/>
        </w:rPr>
        <w:t xml:space="preserve">  El presente Decreto entrará en vigor al día siguiente de su publicación en el Periódico Oficial del Estado.</w:t>
      </w:r>
    </w:p>
    <w:p w:rsidR="00A95232" w:rsidRDefault="00A95232" w:rsidP="00A95232">
      <w:pPr>
        <w:spacing w:before="120" w:after="120" w:line="36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95232" w:rsidRPr="00A95232" w:rsidRDefault="00A95232" w:rsidP="00A95232">
      <w:pPr>
        <w:spacing w:before="120" w:after="120" w:line="360" w:lineRule="exact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A95232" w:rsidRPr="00A95232" w:rsidRDefault="00A95232" w:rsidP="00A95232">
      <w:pPr>
        <w:spacing w:before="120" w:after="12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DC61EA" w:rsidRPr="00A536D1" w:rsidRDefault="00DC61EA" w:rsidP="00DC61E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treinta días del mes de diciembre del año dos mil veinte.</w:t>
      </w:r>
    </w:p>
    <w:p w:rsidR="00DC61EA" w:rsidRPr="00A536D1" w:rsidRDefault="00DC61EA" w:rsidP="00DC61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6"/>
          <w:szCs w:val="26"/>
          <w:lang w:val="es-ES" w:eastAsia="es-MX"/>
        </w:rPr>
      </w:pPr>
    </w:p>
    <w:p w:rsidR="00DC61EA" w:rsidRPr="00A536D1" w:rsidRDefault="00DC61EA" w:rsidP="00DC61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DC61EA">
        <w:rPr>
          <w:rFonts w:ascii="Arial" w:hAnsi="Arial" w:cs="Arial"/>
          <w:b/>
          <w:sz w:val="26"/>
          <w:szCs w:val="26"/>
          <w:lang w:val="es-ES"/>
        </w:rPr>
        <w:t xml:space="preserve">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DIPUTADA SECRETARIA               </w:t>
      </w:r>
      <w:r w:rsidRPr="00DC61EA">
        <w:rPr>
          <w:rFonts w:ascii="Arial" w:hAnsi="Arial" w:cs="Arial"/>
          <w:b/>
          <w:sz w:val="26"/>
          <w:szCs w:val="26"/>
          <w:lang w:val="es-ES"/>
        </w:rPr>
        <w:t xml:space="preserve">                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DIPUTADA SECRETARIA</w:t>
      </w: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</w:p>
    <w:p w:rsidR="00DC61EA" w:rsidRPr="00A536D1" w:rsidRDefault="00DC61EA" w:rsidP="00DC61EA">
      <w:pPr>
        <w:spacing w:after="0" w:line="240" w:lineRule="auto"/>
        <w:rPr>
          <w:rFonts w:ascii="Arial" w:hAnsi="Arial" w:cs="Arial"/>
          <w:b/>
          <w:sz w:val="26"/>
          <w:szCs w:val="26"/>
          <w:lang w:val="es-ES"/>
        </w:rPr>
      </w:pPr>
      <w:r w:rsidRPr="00DC61EA">
        <w:rPr>
          <w:rFonts w:ascii="Arial" w:hAnsi="Arial" w:cs="Arial"/>
          <w:b/>
          <w:sz w:val="26"/>
          <w:szCs w:val="26"/>
          <w:lang w:val="es-ES"/>
        </w:rPr>
        <w:t xml:space="preserve">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BLANCA EPPEN CANA</w:t>
      </w:r>
      <w:r w:rsidRPr="00DC61EA">
        <w:rPr>
          <w:rFonts w:ascii="Arial" w:hAnsi="Arial" w:cs="Arial"/>
          <w:b/>
          <w:sz w:val="26"/>
          <w:szCs w:val="26"/>
          <w:lang w:val="es-ES"/>
        </w:rPr>
        <w:t>L</w:t>
      </w:r>
      <w:r w:rsidRPr="00A536D1">
        <w:rPr>
          <w:rFonts w:ascii="Arial" w:hAnsi="Arial" w:cs="Arial"/>
          <w:b/>
          <w:sz w:val="26"/>
          <w:szCs w:val="26"/>
          <w:lang w:val="es-ES"/>
        </w:rPr>
        <w:t xml:space="preserve">ES           </w:t>
      </w:r>
      <w:r w:rsidRPr="00DC61EA">
        <w:rPr>
          <w:rFonts w:ascii="Arial" w:hAnsi="Arial" w:cs="Arial"/>
          <w:b/>
          <w:sz w:val="26"/>
          <w:szCs w:val="26"/>
          <w:lang w:val="es-ES"/>
        </w:rPr>
        <w:t xml:space="preserve">                        </w:t>
      </w:r>
      <w:r w:rsidRPr="00A536D1">
        <w:rPr>
          <w:rFonts w:ascii="Arial" w:hAnsi="Arial" w:cs="Arial"/>
          <w:b/>
          <w:sz w:val="26"/>
          <w:szCs w:val="26"/>
          <w:lang w:val="es-ES"/>
        </w:rPr>
        <w:t>JOSEFINA GARZA BARRERA</w:t>
      </w:r>
    </w:p>
    <w:p w:rsidR="00DC61EA" w:rsidRPr="00A536D1" w:rsidRDefault="00DC61EA" w:rsidP="00DC61E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C61EA" w:rsidRPr="00A536D1" w:rsidRDefault="00DC61EA" w:rsidP="00DC61EA">
      <w:pPr>
        <w:spacing w:after="200" w:line="276" w:lineRule="auto"/>
        <w:rPr>
          <w:rFonts w:ascii="Arial" w:hAnsi="Arial" w:cs="Arial"/>
          <w:sz w:val="26"/>
          <w:szCs w:val="26"/>
          <w:lang w:val="es-ES"/>
        </w:rPr>
      </w:pPr>
    </w:p>
    <w:p w:rsidR="00DC61EA" w:rsidRPr="00DC61EA" w:rsidRDefault="00DC61EA" w:rsidP="00DC61EA">
      <w:pPr>
        <w:rPr>
          <w:rFonts w:ascii="Arial" w:hAnsi="Arial" w:cs="Arial"/>
          <w:sz w:val="26"/>
          <w:szCs w:val="26"/>
        </w:rPr>
      </w:pPr>
    </w:p>
    <w:p w:rsidR="00245157" w:rsidRPr="00DC61EA" w:rsidRDefault="00E81E48">
      <w:pPr>
        <w:rPr>
          <w:rFonts w:ascii="Arial" w:hAnsi="Arial" w:cs="Arial"/>
          <w:sz w:val="26"/>
          <w:szCs w:val="26"/>
        </w:rPr>
      </w:pPr>
    </w:p>
    <w:sectPr w:rsidR="00245157" w:rsidRPr="00DC61EA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48" w:rsidRDefault="00E81E48">
      <w:pPr>
        <w:spacing w:after="0" w:line="240" w:lineRule="auto"/>
      </w:pPr>
      <w:r>
        <w:separator/>
      </w:r>
    </w:p>
  </w:endnote>
  <w:endnote w:type="continuationSeparator" w:id="0">
    <w:p w:rsidR="00E81E48" w:rsidRDefault="00E8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48" w:rsidRDefault="00E81E48">
      <w:pPr>
        <w:spacing w:after="0" w:line="240" w:lineRule="auto"/>
      </w:pPr>
      <w:r>
        <w:separator/>
      </w:r>
    </w:p>
  </w:footnote>
  <w:footnote w:type="continuationSeparator" w:id="0">
    <w:p w:rsidR="00E81E48" w:rsidRDefault="00E8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DC61EA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639B1632" wp14:editId="4FAF5B53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154F5852" wp14:editId="1FFBFB1D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DC61EA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E81E48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DC61EA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E81E48" w:rsidP="006F52A5">
    <w:pPr>
      <w:pStyle w:val="Encabezado"/>
    </w:pPr>
  </w:p>
  <w:p w:rsidR="001C5391" w:rsidRDefault="00E81E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EA"/>
    <w:rsid w:val="000653EC"/>
    <w:rsid w:val="00251C26"/>
    <w:rsid w:val="003553E8"/>
    <w:rsid w:val="004562E7"/>
    <w:rsid w:val="008E3A77"/>
    <w:rsid w:val="00A95232"/>
    <w:rsid w:val="00C9775C"/>
    <w:rsid w:val="00DC61EA"/>
    <w:rsid w:val="00E8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CB0F"/>
  <w15:chartTrackingRefBased/>
  <w15:docId w15:val="{C888B313-CD92-4C75-B1DA-E95178CE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6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1EA"/>
  </w:style>
  <w:style w:type="paragraph" w:styleId="Textodeglobo">
    <w:name w:val="Balloon Text"/>
    <w:basedOn w:val="Normal"/>
    <w:link w:val="TextodegloboCar"/>
    <w:uiPriority w:val="99"/>
    <w:semiHidden/>
    <w:unhideWhenUsed/>
    <w:rsid w:val="00DC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2020-12-30T18:32:00Z</cp:lastPrinted>
  <dcterms:created xsi:type="dcterms:W3CDTF">2021-01-04T19:40:00Z</dcterms:created>
  <dcterms:modified xsi:type="dcterms:W3CDTF">2021-01-04T19:40:00Z</dcterms:modified>
</cp:coreProperties>
</file>