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65" w:rsidRPr="00D80CC0" w:rsidRDefault="00D43265" w:rsidP="00D43265">
      <w:pPr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D43265" w:rsidRPr="00D80CC0" w:rsidRDefault="00D43265" w:rsidP="00D43265">
      <w:pPr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D43265" w:rsidRPr="00D80CC0" w:rsidRDefault="00D43265" w:rsidP="00D43265">
      <w:pPr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D43265" w:rsidRPr="00D80CC0" w:rsidRDefault="00D43265" w:rsidP="00D43265">
      <w:pPr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D43265" w:rsidRPr="00D80CC0" w:rsidRDefault="00D43265" w:rsidP="00D43265">
      <w:pPr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D43265" w:rsidRPr="00D80CC0" w:rsidRDefault="00D43265" w:rsidP="00D43265">
      <w:pPr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 w:rsidRPr="00D80CC0">
        <w:rPr>
          <w:rFonts w:ascii="Arial" w:hAnsi="Arial"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D43265" w:rsidRPr="00D80CC0" w:rsidRDefault="00D43265" w:rsidP="00D4326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D43265" w:rsidRPr="00D80CC0" w:rsidRDefault="00D43265" w:rsidP="00D4326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D43265" w:rsidRPr="00D80CC0" w:rsidRDefault="00D43265" w:rsidP="00D4326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 w:rsidRPr="00D80CC0">
        <w:rPr>
          <w:rFonts w:ascii="Arial" w:hAnsi="Arial" w:cs="Arial"/>
          <w:b/>
          <w:snapToGrid w:val="0"/>
          <w:sz w:val="25"/>
          <w:szCs w:val="25"/>
          <w:lang w:val="es-ES_tradnl"/>
        </w:rPr>
        <w:t xml:space="preserve">DECRETA: </w:t>
      </w:r>
    </w:p>
    <w:p w:rsidR="00D43265" w:rsidRPr="00D80CC0" w:rsidRDefault="00D43265" w:rsidP="00D4326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D43265" w:rsidRPr="00D80CC0" w:rsidRDefault="00D43265" w:rsidP="00D4326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 w:rsidRPr="00D80CC0">
        <w:rPr>
          <w:rFonts w:ascii="Arial" w:hAnsi="Arial" w:cs="Arial"/>
          <w:b/>
          <w:snapToGrid w:val="0"/>
          <w:sz w:val="25"/>
          <w:szCs w:val="25"/>
          <w:lang w:val="es-ES_tradnl"/>
        </w:rPr>
        <w:t>NÚMERO 48.-</w:t>
      </w:r>
    </w:p>
    <w:p w:rsidR="00D43265" w:rsidRPr="00D80CC0" w:rsidRDefault="00D43265" w:rsidP="00D4326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D80CC0" w:rsidRPr="00D80CC0" w:rsidRDefault="00D80CC0" w:rsidP="00D4326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D80CC0" w:rsidRPr="00D80CC0" w:rsidRDefault="00D80CC0" w:rsidP="00D80CC0">
      <w:pPr>
        <w:spacing w:after="0" w:line="276" w:lineRule="auto"/>
        <w:jc w:val="both"/>
        <w:rPr>
          <w:rFonts w:ascii="Arial" w:eastAsia="Calibri" w:hAnsi="Arial" w:cs="Times New Roman"/>
          <w:snapToGrid w:val="0"/>
          <w:sz w:val="25"/>
          <w:szCs w:val="25"/>
          <w:lang w:eastAsia="es-ES"/>
        </w:rPr>
      </w:pPr>
      <w:r w:rsidRPr="00D80CC0">
        <w:rPr>
          <w:rFonts w:ascii="Arial" w:eastAsia="Times New Roman" w:hAnsi="Arial" w:cs="Times New Roman"/>
          <w:b/>
          <w:sz w:val="25"/>
          <w:szCs w:val="25"/>
          <w:lang w:eastAsia="es-ES"/>
        </w:rPr>
        <w:t xml:space="preserve">ARTÍCULO PRIMERO.- </w:t>
      </w:r>
      <w:r w:rsidRPr="00D80CC0">
        <w:rPr>
          <w:rFonts w:ascii="Arial" w:eastAsia="Times New Roman" w:hAnsi="Arial" w:cs="Times New Roman"/>
          <w:sz w:val="25"/>
          <w:szCs w:val="25"/>
          <w:lang w:eastAsia="es-ES"/>
        </w:rPr>
        <w:t>Se valida el acuerdo aprobado por el R. Ayuntamiento de Torreón, Coahuila de Zaragoza</w:t>
      </w:r>
      <w:bookmarkStart w:id="0" w:name="_GoBack"/>
      <w:bookmarkEnd w:id="0"/>
      <w:r w:rsidRPr="00D80CC0">
        <w:rPr>
          <w:rFonts w:ascii="Arial" w:eastAsia="Times New Roman" w:hAnsi="Arial" w:cs="Times New Roman"/>
          <w:sz w:val="25"/>
          <w:szCs w:val="25"/>
          <w:lang w:eastAsia="es-ES"/>
        </w:rPr>
        <w:t xml:space="preserve">, </w:t>
      </w:r>
      <w:r w:rsidRPr="00D80CC0">
        <w:rPr>
          <w:rFonts w:ascii="Arial" w:eastAsia="Calibri" w:hAnsi="Arial" w:cs="Times New Roman"/>
          <w:snapToGrid w:val="0"/>
          <w:sz w:val="25"/>
          <w:szCs w:val="25"/>
          <w:lang w:eastAsia="es-ES"/>
        </w:rPr>
        <w:t xml:space="preserve">para enajenar a título gratuito, </w:t>
      </w:r>
      <w:r w:rsidRPr="00D80CC0">
        <w:rPr>
          <w:rFonts w:ascii="Arial" w:eastAsia="Times New Roman" w:hAnsi="Arial" w:cs="Arial"/>
          <w:sz w:val="25"/>
          <w:szCs w:val="25"/>
          <w:lang w:eastAsia="es-ES"/>
        </w:rPr>
        <w:t xml:space="preserve">un bien inmueble con una superficie de 2,381.00 m2., ubicado en el Fraccionamiento Villas de la Huerta en esa ciudad, a favor del Gobierno del Estado de Coahuila, </w:t>
      </w:r>
      <w:r w:rsidRPr="00D80CC0">
        <w:rPr>
          <w:rFonts w:ascii="Arial" w:eastAsia="Calibri" w:hAnsi="Arial" w:cs="Times New Roman"/>
          <w:snapToGrid w:val="0"/>
          <w:sz w:val="25"/>
          <w:szCs w:val="25"/>
          <w:lang w:eastAsia="es-ES"/>
        </w:rPr>
        <w:t>el cual fue desincorporado con Decreto número 342 publicado en el Periódico Oficial del Gobierno del Estado de fecha 24 de septiembre de 2019.</w:t>
      </w:r>
    </w:p>
    <w:p w:rsidR="00D80CC0" w:rsidRPr="00D80CC0" w:rsidRDefault="00D80CC0" w:rsidP="00D80CC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</w:p>
    <w:p w:rsidR="00D80CC0" w:rsidRPr="00D80CC0" w:rsidRDefault="00D80CC0" w:rsidP="00D80CC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  <w:r w:rsidRPr="00D80CC0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El inmueble antes mencionado se identifica como lote 14 de la manzana 3 del área de cesión, cuenta con una superficie de 2,381.00 m2., la cual cuenta con las siguientes medidas y colindancias:</w:t>
      </w:r>
    </w:p>
    <w:p w:rsidR="00D80CC0" w:rsidRPr="00D80CC0" w:rsidRDefault="00D80CC0" w:rsidP="00D80CC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</w:p>
    <w:p w:rsidR="00D80CC0" w:rsidRPr="00D80CC0" w:rsidRDefault="00D80CC0" w:rsidP="00D80CC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  <w:r w:rsidRPr="00D80CC0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Al Norte:</w:t>
      </w:r>
      <w:r w:rsidRPr="00D80CC0">
        <w:rPr>
          <w:rFonts w:ascii="Arial" w:eastAsia="Times New Roman" w:hAnsi="Arial" w:cs="Arial"/>
          <w:color w:val="000000"/>
          <w:sz w:val="25"/>
          <w:szCs w:val="25"/>
          <w:lang w:eastAsia="es-MX"/>
        </w:rPr>
        <w:tab/>
      </w:r>
      <w:r w:rsidRPr="00D80CC0">
        <w:rPr>
          <w:rFonts w:ascii="Arial" w:eastAsia="Times New Roman" w:hAnsi="Arial" w:cs="Arial"/>
          <w:color w:val="000000"/>
          <w:sz w:val="25"/>
          <w:szCs w:val="25"/>
          <w:lang w:eastAsia="es-MX"/>
        </w:rPr>
        <w:tab/>
        <w:t>mide 60.19 metros y colinda con Lote 1 al 9 de la misma manzana.</w:t>
      </w:r>
    </w:p>
    <w:p w:rsidR="00D80CC0" w:rsidRPr="00D80CC0" w:rsidRDefault="00D80CC0" w:rsidP="00D80CC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</w:p>
    <w:p w:rsidR="00D80CC0" w:rsidRPr="00D80CC0" w:rsidRDefault="00D80CC0" w:rsidP="00D80CC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  <w:r w:rsidRPr="00D80CC0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Al Sureste:</w:t>
      </w:r>
      <w:r w:rsidRPr="00D80CC0">
        <w:rPr>
          <w:rFonts w:ascii="Arial" w:eastAsia="Times New Roman" w:hAnsi="Arial" w:cs="Arial"/>
          <w:color w:val="000000"/>
          <w:sz w:val="25"/>
          <w:szCs w:val="25"/>
          <w:lang w:eastAsia="es-MX"/>
        </w:rPr>
        <w:tab/>
      </w:r>
      <w:r w:rsidRPr="00D80CC0">
        <w:rPr>
          <w:rFonts w:ascii="Arial" w:eastAsia="Times New Roman" w:hAnsi="Arial" w:cs="Arial"/>
          <w:color w:val="000000"/>
          <w:sz w:val="25"/>
          <w:szCs w:val="25"/>
          <w:lang w:eastAsia="es-MX"/>
        </w:rPr>
        <w:tab/>
        <w:t>mide 58.00 metros y colinda con Lote 19 al 26 de la misma manzana.</w:t>
      </w:r>
    </w:p>
    <w:p w:rsidR="00D80CC0" w:rsidRPr="00D80CC0" w:rsidRDefault="00D80CC0" w:rsidP="00D80CC0">
      <w:pPr>
        <w:autoSpaceDE w:val="0"/>
        <w:autoSpaceDN w:val="0"/>
        <w:adjustRightInd w:val="0"/>
        <w:spacing w:after="0" w:line="276" w:lineRule="auto"/>
        <w:ind w:left="2124" w:hanging="2124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</w:p>
    <w:p w:rsidR="00D80CC0" w:rsidRPr="00D80CC0" w:rsidRDefault="00D80CC0" w:rsidP="00D80CC0">
      <w:pPr>
        <w:autoSpaceDE w:val="0"/>
        <w:autoSpaceDN w:val="0"/>
        <w:adjustRightInd w:val="0"/>
        <w:spacing w:after="0" w:line="276" w:lineRule="auto"/>
        <w:ind w:left="2124" w:hanging="2124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  <w:r w:rsidRPr="00D80CC0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Al Este:</w:t>
      </w:r>
      <w:r w:rsidRPr="00D80CC0">
        <w:rPr>
          <w:rFonts w:ascii="Arial" w:eastAsia="Times New Roman" w:hAnsi="Arial" w:cs="Arial"/>
          <w:color w:val="000000"/>
          <w:sz w:val="25"/>
          <w:szCs w:val="25"/>
          <w:lang w:eastAsia="es-MX"/>
        </w:rPr>
        <w:tab/>
        <w:t>mide 38.84 metros y colinda con fracción del mismo lote 14, destinado a la plaza pública.</w:t>
      </w:r>
    </w:p>
    <w:p w:rsidR="00D80CC0" w:rsidRPr="00D80CC0" w:rsidRDefault="00D80CC0" w:rsidP="00D80CC0">
      <w:pPr>
        <w:autoSpaceDE w:val="0"/>
        <w:autoSpaceDN w:val="0"/>
        <w:adjustRightInd w:val="0"/>
        <w:spacing w:after="0" w:line="276" w:lineRule="auto"/>
        <w:ind w:left="2124" w:hanging="2124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</w:p>
    <w:p w:rsidR="00D80CC0" w:rsidRPr="00D80CC0" w:rsidRDefault="00D80CC0" w:rsidP="00D80CC0">
      <w:pPr>
        <w:autoSpaceDE w:val="0"/>
        <w:autoSpaceDN w:val="0"/>
        <w:adjustRightInd w:val="0"/>
        <w:spacing w:after="0" w:line="276" w:lineRule="auto"/>
        <w:ind w:left="2124" w:hanging="2124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  <w:r w:rsidRPr="00D80CC0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Al Oeste:</w:t>
      </w:r>
      <w:r w:rsidRPr="00D80CC0">
        <w:rPr>
          <w:rFonts w:ascii="Arial" w:eastAsia="Times New Roman" w:hAnsi="Arial" w:cs="Arial"/>
          <w:color w:val="000000"/>
          <w:sz w:val="25"/>
          <w:szCs w:val="25"/>
          <w:lang w:eastAsia="es-MX"/>
        </w:rPr>
        <w:tab/>
        <w:t>mide 35.07 metros y colinda con calle Huerta Don Carlos.</w:t>
      </w:r>
    </w:p>
    <w:p w:rsidR="00D80CC0" w:rsidRPr="00D80CC0" w:rsidRDefault="00D80CC0" w:rsidP="00D80CC0">
      <w:pPr>
        <w:autoSpaceDE w:val="0"/>
        <w:autoSpaceDN w:val="0"/>
        <w:adjustRightInd w:val="0"/>
        <w:spacing w:after="0" w:line="276" w:lineRule="auto"/>
        <w:ind w:left="2124" w:hanging="2124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</w:p>
    <w:p w:rsidR="00D80CC0" w:rsidRPr="00D80CC0" w:rsidRDefault="00D80CC0" w:rsidP="00D80CC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5"/>
          <w:szCs w:val="25"/>
          <w:lang w:val="es-419" w:eastAsia="es-MX"/>
        </w:rPr>
      </w:pPr>
      <w:r w:rsidRPr="00D80CC0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Dicho inmueble se encuentra inscrito con una mayor extensión a favor del R. Ayuntamiento de Torreón, en las oficinas del Registro Público de la ciudad de </w:t>
      </w:r>
      <w:r w:rsidRPr="00D80CC0">
        <w:rPr>
          <w:rFonts w:ascii="Arial" w:eastAsia="Times New Roman" w:hAnsi="Arial" w:cs="Arial"/>
          <w:color w:val="000000"/>
          <w:sz w:val="25"/>
          <w:szCs w:val="25"/>
          <w:lang w:val="es-419" w:eastAsia="es-MX"/>
        </w:rPr>
        <w:t>Torreón</w:t>
      </w:r>
      <w:r w:rsidRPr="00D80CC0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del Estado de Coahuila de Zaragoza, bajo la Partida </w:t>
      </w:r>
      <w:r w:rsidRPr="00D80CC0">
        <w:rPr>
          <w:rFonts w:ascii="Arial" w:eastAsia="Times New Roman" w:hAnsi="Arial" w:cs="Arial"/>
          <w:color w:val="000000"/>
          <w:sz w:val="25"/>
          <w:szCs w:val="25"/>
          <w:lang w:val="es-419" w:eastAsia="es-MX"/>
        </w:rPr>
        <w:t>80175, Libro 802, Sección I.S.C., de fecha 28 de agosto de 2007 por adquisición.</w:t>
      </w:r>
    </w:p>
    <w:p w:rsidR="00D80CC0" w:rsidRPr="00D80CC0" w:rsidRDefault="00D80CC0" w:rsidP="00D80CC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</w:p>
    <w:p w:rsidR="00D80CC0" w:rsidRPr="00D80CC0" w:rsidRDefault="00D80CC0" w:rsidP="00D80CC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FF0000"/>
          <w:sz w:val="25"/>
          <w:szCs w:val="25"/>
          <w:lang w:val="es-419" w:eastAsia="es-MX"/>
        </w:rPr>
      </w:pPr>
      <w:r w:rsidRPr="00D80CC0">
        <w:rPr>
          <w:rFonts w:ascii="Arial" w:eastAsia="Times New Roman" w:hAnsi="Arial" w:cs="Arial"/>
          <w:b/>
          <w:color w:val="000000"/>
          <w:sz w:val="25"/>
          <w:szCs w:val="25"/>
          <w:lang w:eastAsia="es-MX"/>
        </w:rPr>
        <w:t xml:space="preserve">ARTÍCULO SEGUNDO.- </w:t>
      </w:r>
      <w:r w:rsidRPr="00D80CC0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La autorización de esta operación es con objeto </w:t>
      </w:r>
      <w:r w:rsidRPr="00D80CC0">
        <w:rPr>
          <w:rFonts w:ascii="Arial" w:eastAsia="Times New Roman" w:hAnsi="Arial" w:cs="Arial"/>
          <w:color w:val="000000"/>
          <w:sz w:val="25"/>
          <w:szCs w:val="25"/>
          <w:lang w:val="es-419" w:eastAsia="es-MX"/>
        </w:rPr>
        <w:t xml:space="preserve">única y exclusivamente </w:t>
      </w:r>
      <w:r w:rsidRPr="00D80CC0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para ser destinado a la Secretaría de Educación, con objeto de llevar a cabo la construcción de un centro educativo de nivel preescolar. En caso de que a dicho inmueble se le dé un uso distinto a lo estipulado, por ese solo hecho automáticamente se dará por rescindida la enajenación y el predio será reintegrado al Municipio.</w:t>
      </w:r>
    </w:p>
    <w:p w:rsidR="00D80CC0" w:rsidRPr="00D80CC0" w:rsidRDefault="00D80CC0" w:rsidP="00D80CC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  <w:r w:rsidRPr="00D80CC0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</w:t>
      </w:r>
    </w:p>
    <w:p w:rsidR="00D80CC0" w:rsidRPr="00D80CC0" w:rsidRDefault="00D80CC0" w:rsidP="00D80CC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  <w:r w:rsidRPr="00D80CC0">
        <w:rPr>
          <w:rFonts w:ascii="Arial" w:eastAsia="Times New Roman" w:hAnsi="Arial" w:cs="Arial"/>
          <w:b/>
          <w:color w:val="000000"/>
          <w:sz w:val="25"/>
          <w:szCs w:val="25"/>
          <w:lang w:eastAsia="es-MX"/>
        </w:rPr>
        <w:t xml:space="preserve">ARTÍCULO TERCERO.- </w:t>
      </w:r>
      <w:r w:rsidRPr="00D80CC0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El Ayuntamiento de Torreón, por conducto de su Presidente Municipal o de su Representante legal acreditado, deberá formalizar la operación que se autoriza y proceder a la escrituración correspondiente.</w:t>
      </w:r>
    </w:p>
    <w:p w:rsidR="00D80CC0" w:rsidRPr="00D80CC0" w:rsidRDefault="00D80CC0" w:rsidP="00D80CC0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D80CC0" w:rsidRPr="00D80CC0" w:rsidRDefault="00D80CC0" w:rsidP="00D80CC0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D80CC0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ARTÍCULO CUARTO.-  </w:t>
      </w:r>
      <w:r w:rsidRPr="00D80CC0">
        <w:rPr>
          <w:rFonts w:ascii="Arial" w:eastAsia="Times New Roman" w:hAnsi="Arial" w:cs="Arial"/>
          <w:sz w:val="25"/>
          <w:szCs w:val="25"/>
          <w:lang w:eastAsia="es-ES"/>
        </w:rPr>
        <w:t>En el supuesto de que no se formalice la enajenación que se autoriza, al término de la LXII Legislatura del Congreso del Estado Independiente, Libre y Soberano de Coahuila de Zaragoza (2021-2023), se requerirá de una nueva autorización legislativa para ampliar el plazo, a fin de que se pueda continuar o concluir la formalización de las operaciones realizadas con la enajenación del inmueble a que se refiere el artículo primero de este Decreto.</w:t>
      </w:r>
    </w:p>
    <w:p w:rsidR="00D80CC0" w:rsidRPr="00D80CC0" w:rsidRDefault="00D80CC0" w:rsidP="00D80CC0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80CC0" w:rsidRPr="00D80CC0" w:rsidRDefault="00D80CC0" w:rsidP="00D80CC0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D80CC0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ARTÍCULO QUINTO.- </w:t>
      </w:r>
      <w:r w:rsidRPr="00D80CC0">
        <w:rPr>
          <w:rFonts w:ascii="Arial" w:eastAsia="Times New Roman" w:hAnsi="Arial" w:cs="Arial"/>
          <w:sz w:val="25"/>
          <w:szCs w:val="25"/>
          <w:lang w:eastAsia="es-ES"/>
        </w:rPr>
        <w:t>Los gastos de escrituración y registro que se originen de la operación que mediante este decreto se valida, serán por cuenta del beneficiario.</w:t>
      </w:r>
    </w:p>
    <w:p w:rsidR="00D80CC0" w:rsidRPr="00D80CC0" w:rsidRDefault="00D80CC0" w:rsidP="00D80CC0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80CC0" w:rsidRPr="00D80CC0" w:rsidRDefault="00D80CC0" w:rsidP="00D80CC0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D80CC0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ARTÍCULO SEXTO.- </w:t>
      </w:r>
      <w:r w:rsidRPr="00D80CC0">
        <w:rPr>
          <w:rFonts w:ascii="Arial" w:eastAsia="Times New Roman" w:hAnsi="Arial" w:cs="Arial"/>
          <w:sz w:val="25"/>
          <w:szCs w:val="25"/>
          <w:lang w:eastAsia="es-ES"/>
        </w:rPr>
        <w:t>El presente decreto deberá insertarse en la escritura correspondiente.</w:t>
      </w:r>
    </w:p>
    <w:p w:rsidR="00D80CC0" w:rsidRPr="00D80CC0" w:rsidRDefault="00D80CC0" w:rsidP="00D80CC0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80CC0" w:rsidRPr="00D80CC0" w:rsidRDefault="00D80CC0" w:rsidP="00D80CC0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80CC0" w:rsidRPr="006C1859" w:rsidRDefault="00D80CC0" w:rsidP="00D80CC0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5"/>
          <w:szCs w:val="25"/>
          <w:lang w:val="en-US" w:eastAsia="es-ES"/>
        </w:rPr>
      </w:pPr>
      <w:r w:rsidRPr="006C1859">
        <w:rPr>
          <w:rFonts w:ascii="Arial" w:eastAsia="Times New Roman" w:hAnsi="Arial" w:cs="Arial"/>
          <w:b/>
          <w:sz w:val="25"/>
          <w:szCs w:val="25"/>
          <w:lang w:val="en-US" w:eastAsia="es-ES"/>
        </w:rPr>
        <w:t xml:space="preserve">T R </w:t>
      </w:r>
      <w:proofErr w:type="gramStart"/>
      <w:r w:rsidRPr="006C1859">
        <w:rPr>
          <w:rFonts w:ascii="Arial" w:eastAsia="Times New Roman" w:hAnsi="Arial" w:cs="Arial"/>
          <w:b/>
          <w:sz w:val="25"/>
          <w:szCs w:val="25"/>
          <w:lang w:val="en-US" w:eastAsia="es-ES"/>
        </w:rPr>
        <w:t>A</w:t>
      </w:r>
      <w:proofErr w:type="gramEnd"/>
      <w:r w:rsidRPr="006C1859">
        <w:rPr>
          <w:rFonts w:ascii="Arial" w:eastAsia="Times New Roman" w:hAnsi="Arial" w:cs="Arial"/>
          <w:b/>
          <w:sz w:val="25"/>
          <w:szCs w:val="25"/>
          <w:lang w:val="en-US" w:eastAsia="es-ES"/>
        </w:rPr>
        <w:t xml:space="preserve"> N S I T O R I O S</w:t>
      </w:r>
    </w:p>
    <w:p w:rsidR="00D80CC0" w:rsidRPr="006C1859" w:rsidRDefault="00D80CC0" w:rsidP="00D80CC0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5"/>
          <w:szCs w:val="25"/>
          <w:lang w:val="en-US" w:eastAsia="es-ES"/>
        </w:rPr>
      </w:pPr>
    </w:p>
    <w:p w:rsidR="00D80CC0" w:rsidRPr="006C1859" w:rsidRDefault="00D80CC0" w:rsidP="00D80CC0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en-US" w:eastAsia="es-ES"/>
        </w:rPr>
      </w:pPr>
    </w:p>
    <w:p w:rsidR="00D80CC0" w:rsidRPr="00D80CC0" w:rsidRDefault="00D80CC0" w:rsidP="00D80CC0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D80CC0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ARTÍCULO </w:t>
      </w:r>
      <w:proofErr w:type="gramStart"/>
      <w:r w:rsidRPr="00D80CC0">
        <w:rPr>
          <w:rFonts w:ascii="Arial" w:eastAsia="Times New Roman" w:hAnsi="Arial" w:cs="Arial"/>
          <w:b/>
          <w:bCs/>
          <w:sz w:val="25"/>
          <w:szCs w:val="25"/>
          <w:lang w:eastAsia="es-ES"/>
        </w:rPr>
        <w:t>PRIMERO.-</w:t>
      </w:r>
      <w:proofErr w:type="gramEnd"/>
      <w:r w:rsidRPr="00D80CC0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 </w:t>
      </w:r>
      <w:r w:rsidRPr="00D80CC0">
        <w:rPr>
          <w:rFonts w:ascii="Arial" w:eastAsia="Times New Roman" w:hAnsi="Arial" w:cs="Arial"/>
          <w:sz w:val="25"/>
          <w:szCs w:val="25"/>
          <w:lang w:eastAsia="es-ES"/>
        </w:rPr>
        <w:t xml:space="preserve">El presente decreto entrará en vigor a partir del día siguiente de su publicación en el Periódico Oficial del Gobierno del Estado. </w:t>
      </w:r>
    </w:p>
    <w:p w:rsidR="00D80CC0" w:rsidRPr="00D80CC0" w:rsidRDefault="00D80CC0" w:rsidP="00D80CC0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80CC0" w:rsidRPr="00D80CC0" w:rsidRDefault="00D80CC0" w:rsidP="00D80CC0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D80CC0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ARTÍCULO SEGUNDO.- </w:t>
      </w:r>
      <w:r w:rsidRPr="00D80CC0">
        <w:rPr>
          <w:rFonts w:ascii="Arial" w:eastAsia="Times New Roman" w:hAnsi="Arial" w:cs="Arial"/>
          <w:sz w:val="25"/>
          <w:szCs w:val="25"/>
          <w:lang w:eastAsia="es-ES"/>
        </w:rPr>
        <w:t>Publíquese en el Periódico Oficial del Gobierno del Estado.</w:t>
      </w:r>
    </w:p>
    <w:p w:rsidR="00D80CC0" w:rsidRPr="00D80CC0" w:rsidRDefault="00D80CC0" w:rsidP="00D80CC0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43265" w:rsidRPr="00D80CC0" w:rsidRDefault="00D43265" w:rsidP="00D4326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D43265" w:rsidRPr="00D80CC0" w:rsidRDefault="00D43265" w:rsidP="00D4326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D43265" w:rsidRPr="00D80CC0" w:rsidRDefault="00D43265" w:rsidP="00D4326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D43265" w:rsidRPr="00D80CC0" w:rsidRDefault="00D43265" w:rsidP="00D4326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D43265" w:rsidRPr="00D80CC0" w:rsidRDefault="00D43265" w:rsidP="00D43265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D80CC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DADO en la Ciudad de Saltillo, Coahuila de Zaragoza, </w:t>
      </w:r>
      <w:r w:rsidRPr="00D80CC0"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  <w:t xml:space="preserve">a los veintinueve días del mes de marzo </w:t>
      </w:r>
      <w:r w:rsidRPr="00D80CC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del año dos mil veintiuno.</w:t>
      </w:r>
    </w:p>
    <w:p w:rsidR="00D43265" w:rsidRPr="00D80CC0" w:rsidRDefault="00D43265" w:rsidP="00D4326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5"/>
          <w:szCs w:val="25"/>
          <w:lang w:val="es-ES" w:eastAsia="es-ES"/>
        </w:rPr>
      </w:pPr>
    </w:p>
    <w:p w:rsidR="00D43265" w:rsidRPr="00D80CC0" w:rsidRDefault="00D43265" w:rsidP="00D43265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D43265" w:rsidRPr="00D80CC0" w:rsidRDefault="00D43265" w:rsidP="00D4326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  <w:r w:rsidRPr="00D80CC0"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  <w:t>DIPUTADA PRESIDENTA</w:t>
      </w:r>
    </w:p>
    <w:p w:rsidR="00D43265" w:rsidRPr="00D80CC0" w:rsidRDefault="00D43265" w:rsidP="00D4326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D43265" w:rsidRPr="00D80CC0" w:rsidRDefault="00D43265" w:rsidP="00D4326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D43265" w:rsidRPr="00D80CC0" w:rsidRDefault="00D43265" w:rsidP="00D4326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D43265" w:rsidRPr="00D80CC0" w:rsidRDefault="00D43265" w:rsidP="00D4326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  <w:r w:rsidRPr="00D80CC0"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  <w:t xml:space="preserve"> </w:t>
      </w:r>
    </w:p>
    <w:p w:rsidR="00D43265" w:rsidRPr="00D80CC0" w:rsidRDefault="00D43265" w:rsidP="00D43265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D43265" w:rsidRPr="00D80CC0" w:rsidRDefault="00D43265" w:rsidP="00D43265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val="es-ES" w:eastAsia="es-ES"/>
        </w:rPr>
      </w:pPr>
      <w:r w:rsidRPr="00D80CC0">
        <w:rPr>
          <w:rFonts w:ascii="Arial" w:eastAsia="Times New Roman" w:hAnsi="Arial" w:cs="Arial"/>
          <w:b/>
          <w:sz w:val="25"/>
          <w:szCs w:val="25"/>
          <w:lang w:val="es-ES" w:eastAsia="es-ES"/>
        </w:rPr>
        <w:t>MARÍA GUADALUPE OYERVIDES VALDEZ</w:t>
      </w:r>
    </w:p>
    <w:p w:rsidR="00D43265" w:rsidRPr="00D80CC0" w:rsidRDefault="00D43265" w:rsidP="00D4326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D43265" w:rsidRPr="00D80CC0" w:rsidRDefault="00D43265" w:rsidP="00D43265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D43265" w:rsidRPr="00D80CC0" w:rsidRDefault="00D43265" w:rsidP="00D43265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D43265" w:rsidRPr="00D80CC0" w:rsidRDefault="00D43265" w:rsidP="00D43265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D43265" w:rsidRPr="00D80CC0" w:rsidRDefault="00D43265" w:rsidP="00D4326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s-ES" w:eastAsia="es-ES"/>
        </w:rPr>
      </w:pPr>
    </w:p>
    <w:p w:rsidR="00D43265" w:rsidRPr="00D80CC0" w:rsidRDefault="00D43265" w:rsidP="00D43265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D80CC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DIPUTADA SECRETARIA            </w:t>
      </w:r>
      <w:r w:rsidR="00D80CC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   </w:t>
      </w:r>
      <w:r w:rsidRPr="00D80CC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DIPUTADA SECRETARIA</w:t>
      </w:r>
    </w:p>
    <w:p w:rsidR="00D43265" w:rsidRPr="00D80CC0" w:rsidRDefault="00D43265" w:rsidP="00D43265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43265" w:rsidRPr="00D80CC0" w:rsidRDefault="00D43265" w:rsidP="00D43265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43265" w:rsidRPr="00D80CC0" w:rsidRDefault="00D43265" w:rsidP="00D43265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43265" w:rsidRPr="00D80CC0" w:rsidRDefault="00D43265" w:rsidP="00D43265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43265" w:rsidRPr="00D80CC0" w:rsidRDefault="00D43265" w:rsidP="00D43265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43265" w:rsidRPr="00D80CC0" w:rsidRDefault="00D43265" w:rsidP="00D43265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D80CC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CLAUDIA ELV</w:t>
      </w:r>
      <w:r w:rsidR="00D80CC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IRA RODRÍGUEZ MÁRQUEZ       </w:t>
      </w:r>
      <w:r w:rsidRPr="00D80CC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MAYRA LUCILA VALDÉS GONZÁLEZ</w:t>
      </w:r>
    </w:p>
    <w:p w:rsidR="00D43265" w:rsidRPr="00D80CC0" w:rsidRDefault="00D43265" w:rsidP="00D43265">
      <w:pPr>
        <w:spacing w:after="0" w:line="240" w:lineRule="auto"/>
        <w:rPr>
          <w:sz w:val="25"/>
          <w:szCs w:val="25"/>
        </w:rPr>
      </w:pPr>
    </w:p>
    <w:p w:rsidR="00D43265" w:rsidRPr="00D80CC0" w:rsidRDefault="00D43265" w:rsidP="00D43265">
      <w:pPr>
        <w:spacing w:after="0" w:line="240" w:lineRule="auto"/>
        <w:rPr>
          <w:sz w:val="25"/>
          <w:szCs w:val="25"/>
        </w:rPr>
      </w:pPr>
    </w:p>
    <w:p w:rsidR="00D43265" w:rsidRPr="00D80CC0" w:rsidRDefault="00D43265" w:rsidP="00D43265">
      <w:pPr>
        <w:rPr>
          <w:sz w:val="25"/>
          <w:szCs w:val="25"/>
        </w:rPr>
      </w:pPr>
    </w:p>
    <w:p w:rsidR="00D43265" w:rsidRPr="00D80CC0" w:rsidRDefault="00D43265" w:rsidP="00D43265">
      <w:pPr>
        <w:rPr>
          <w:sz w:val="25"/>
          <w:szCs w:val="25"/>
        </w:rPr>
      </w:pPr>
    </w:p>
    <w:p w:rsidR="00D43265" w:rsidRPr="00D80CC0" w:rsidRDefault="00D43265" w:rsidP="00D43265">
      <w:pPr>
        <w:rPr>
          <w:sz w:val="25"/>
          <w:szCs w:val="25"/>
        </w:rPr>
      </w:pPr>
    </w:p>
    <w:p w:rsidR="00245157" w:rsidRPr="00D80CC0" w:rsidRDefault="00DD3D47">
      <w:pPr>
        <w:rPr>
          <w:sz w:val="25"/>
          <w:szCs w:val="25"/>
        </w:rPr>
      </w:pPr>
    </w:p>
    <w:sectPr w:rsidR="00245157" w:rsidRPr="00D80CC0" w:rsidSect="0003195D">
      <w:headerReference w:type="default" r:id="rId6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47" w:rsidRDefault="00DD3D47" w:rsidP="006C1859">
      <w:pPr>
        <w:spacing w:after="0" w:line="240" w:lineRule="auto"/>
      </w:pPr>
      <w:r>
        <w:separator/>
      </w:r>
    </w:p>
  </w:endnote>
  <w:endnote w:type="continuationSeparator" w:id="0">
    <w:p w:rsidR="00DD3D47" w:rsidRDefault="00DD3D47" w:rsidP="006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47" w:rsidRDefault="00DD3D47" w:rsidP="006C1859">
      <w:pPr>
        <w:spacing w:after="0" w:line="240" w:lineRule="auto"/>
      </w:pPr>
      <w:r>
        <w:separator/>
      </w:r>
    </w:p>
  </w:footnote>
  <w:footnote w:type="continuationSeparator" w:id="0">
    <w:p w:rsidR="00DD3D47" w:rsidRDefault="00DD3D47" w:rsidP="006C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6C1859" w:rsidRPr="006C1859" w:rsidTr="00007D4F">
      <w:trPr>
        <w:jc w:val="center"/>
      </w:trPr>
      <w:tc>
        <w:tcPr>
          <w:tcW w:w="1541" w:type="dxa"/>
        </w:tcPr>
        <w:p w:rsidR="006C1859" w:rsidRPr="006C1859" w:rsidRDefault="006C1859" w:rsidP="006C18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6C1859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21794BB" wp14:editId="5DB1752A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C1859" w:rsidRPr="006C1859" w:rsidRDefault="006C1859" w:rsidP="006C18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C1859" w:rsidRPr="006C1859" w:rsidRDefault="006C1859" w:rsidP="006C18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6C1859" w:rsidRPr="006C1859" w:rsidRDefault="006C1859" w:rsidP="006C18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6C1859" w:rsidRPr="006C1859" w:rsidRDefault="006C1859" w:rsidP="006C185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6C1859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6C1859" w:rsidRPr="006C1859" w:rsidRDefault="006C1859" w:rsidP="006C185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6C1859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6C1859" w:rsidRPr="006C1859" w:rsidRDefault="006C1859" w:rsidP="006C185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6C1859" w:rsidRPr="006C1859" w:rsidRDefault="006C1859" w:rsidP="006C185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6C1859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6C1859" w:rsidRPr="006C1859" w:rsidRDefault="006C1859" w:rsidP="006C185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6C1859" w:rsidRPr="006C1859" w:rsidRDefault="006C1859" w:rsidP="006C185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6C1859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6C1859" w:rsidRPr="006C1859" w:rsidRDefault="006C1859" w:rsidP="006C18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6C1859" w:rsidRDefault="006C18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65"/>
    <w:rsid w:val="000653EC"/>
    <w:rsid w:val="00251C26"/>
    <w:rsid w:val="004562E7"/>
    <w:rsid w:val="00493B1A"/>
    <w:rsid w:val="006C1859"/>
    <w:rsid w:val="00D43265"/>
    <w:rsid w:val="00D80CC0"/>
    <w:rsid w:val="00DD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EF5A6-1E9B-474F-960F-AE6705C3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1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859"/>
  </w:style>
  <w:style w:type="paragraph" w:styleId="Piedepgina">
    <w:name w:val="footer"/>
    <w:basedOn w:val="Normal"/>
    <w:link w:val="PiedepginaCar"/>
    <w:uiPriority w:val="99"/>
    <w:unhideWhenUsed/>
    <w:rsid w:val="006C1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2021-03-29T19:12:00Z</dcterms:created>
  <dcterms:modified xsi:type="dcterms:W3CDTF">2021-03-29T19:12:00Z</dcterms:modified>
</cp:coreProperties>
</file>