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2706" w:rsidRPr="008C4EFF" w:rsidRDefault="00622706" w:rsidP="00622706">
      <w:pPr>
        <w:spacing w:after="0" w:line="240" w:lineRule="auto"/>
        <w:jc w:val="both"/>
        <w:rPr>
          <w:rFonts w:ascii="Arial" w:hAnsi="Arial" w:cs="Arial"/>
          <w:b/>
          <w:snapToGrid w:val="0"/>
          <w:sz w:val="25"/>
          <w:szCs w:val="25"/>
          <w:lang w:val="es-ES_tradnl"/>
        </w:rPr>
      </w:pPr>
    </w:p>
    <w:p w:rsidR="00622706" w:rsidRPr="008C4EFF" w:rsidRDefault="00622706" w:rsidP="00622706">
      <w:pPr>
        <w:spacing w:after="0" w:line="240" w:lineRule="auto"/>
        <w:jc w:val="both"/>
        <w:rPr>
          <w:rFonts w:ascii="Arial" w:hAnsi="Arial" w:cs="Arial"/>
          <w:b/>
          <w:snapToGrid w:val="0"/>
          <w:sz w:val="25"/>
          <w:szCs w:val="25"/>
          <w:lang w:val="es-ES_tradnl"/>
        </w:rPr>
      </w:pPr>
    </w:p>
    <w:p w:rsidR="00622706" w:rsidRPr="008C4EFF" w:rsidRDefault="00622706" w:rsidP="00622706">
      <w:pPr>
        <w:spacing w:after="0" w:line="240" w:lineRule="auto"/>
        <w:jc w:val="both"/>
        <w:rPr>
          <w:rFonts w:ascii="Arial" w:hAnsi="Arial" w:cs="Arial"/>
          <w:b/>
          <w:snapToGrid w:val="0"/>
          <w:sz w:val="25"/>
          <w:szCs w:val="25"/>
          <w:lang w:val="es-ES_tradnl"/>
        </w:rPr>
      </w:pPr>
    </w:p>
    <w:p w:rsidR="00622706" w:rsidRPr="008C4EFF" w:rsidRDefault="00622706" w:rsidP="00622706">
      <w:pPr>
        <w:spacing w:after="0" w:line="240" w:lineRule="auto"/>
        <w:jc w:val="both"/>
        <w:rPr>
          <w:rFonts w:ascii="Arial" w:hAnsi="Arial" w:cs="Arial"/>
          <w:b/>
          <w:snapToGrid w:val="0"/>
          <w:sz w:val="25"/>
          <w:szCs w:val="25"/>
          <w:lang w:val="es-ES_tradnl"/>
        </w:rPr>
      </w:pPr>
    </w:p>
    <w:p w:rsidR="00622706" w:rsidRPr="008C4EFF" w:rsidRDefault="00622706" w:rsidP="00622706">
      <w:pPr>
        <w:spacing w:after="0" w:line="240" w:lineRule="auto"/>
        <w:jc w:val="both"/>
        <w:rPr>
          <w:rFonts w:ascii="Arial" w:hAnsi="Arial" w:cs="Arial"/>
          <w:b/>
          <w:snapToGrid w:val="0"/>
          <w:sz w:val="25"/>
          <w:szCs w:val="25"/>
          <w:lang w:val="es-ES_tradnl"/>
        </w:rPr>
      </w:pPr>
    </w:p>
    <w:p w:rsidR="00622706" w:rsidRPr="008C4EFF" w:rsidRDefault="00622706" w:rsidP="00622706">
      <w:pPr>
        <w:spacing w:after="0" w:line="240" w:lineRule="auto"/>
        <w:jc w:val="both"/>
        <w:rPr>
          <w:rFonts w:ascii="Arial" w:hAnsi="Arial" w:cs="Arial"/>
          <w:b/>
          <w:snapToGrid w:val="0"/>
          <w:sz w:val="25"/>
          <w:szCs w:val="25"/>
          <w:lang w:val="es-ES_tradnl"/>
        </w:rPr>
      </w:pPr>
      <w:r w:rsidRPr="008C4EFF">
        <w:rPr>
          <w:rFonts w:ascii="Arial" w:hAnsi="Arial" w:cs="Arial"/>
          <w:b/>
          <w:snapToGrid w:val="0"/>
          <w:sz w:val="25"/>
          <w:szCs w:val="25"/>
          <w:lang w:val="es-ES_tradnl"/>
        </w:rPr>
        <w:t>QUE EL CONGRESO DEL ESTADO INDEPENDIENTE, LIBRE Y SOBERANO DE COAHUILA DE ZARAGOZA;</w:t>
      </w:r>
    </w:p>
    <w:p w:rsidR="00622706" w:rsidRPr="008C4EFF" w:rsidRDefault="00622706" w:rsidP="00622706">
      <w:pPr>
        <w:widowControl w:val="0"/>
        <w:spacing w:after="0" w:line="240" w:lineRule="auto"/>
        <w:jc w:val="both"/>
        <w:rPr>
          <w:rFonts w:ascii="Arial" w:hAnsi="Arial" w:cs="Arial"/>
          <w:b/>
          <w:snapToGrid w:val="0"/>
          <w:sz w:val="25"/>
          <w:szCs w:val="25"/>
          <w:lang w:val="es-ES_tradnl"/>
        </w:rPr>
      </w:pPr>
    </w:p>
    <w:p w:rsidR="00622706" w:rsidRPr="008C4EFF" w:rsidRDefault="00622706" w:rsidP="00622706">
      <w:pPr>
        <w:widowControl w:val="0"/>
        <w:spacing w:after="0" w:line="240" w:lineRule="auto"/>
        <w:jc w:val="both"/>
        <w:rPr>
          <w:rFonts w:ascii="Arial" w:hAnsi="Arial" w:cs="Arial"/>
          <w:b/>
          <w:snapToGrid w:val="0"/>
          <w:sz w:val="25"/>
          <w:szCs w:val="25"/>
          <w:lang w:val="es-ES_tradnl"/>
        </w:rPr>
      </w:pPr>
    </w:p>
    <w:p w:rsidR="00622706" w:rsidRPr="008C4EFF" w:rsidRDefault="00622706" w:rsidP="00622706">
      <w:pPr>
        <w:widowControl w:val="0"/>
        <w:spacing w:after="0" w:line="240" w:lineRule="auto"/>
        <w:jc w:val="both"/>
        <w:rPr>
          <w:rFonts w:ascii="Arial" w:hAnsi="Arial" w:cs="Arial"/>
          <w:b/>
          <w:snapToGrid w:val="0"/>
          <w:sz w:val="25"/>
          <w:szCs w:val="25"/>
          <w:lang w:val="es-ES_tradnl"/>
        </w:rPr>
      </w:pPr>
      <w:r w:rsidRPr="008C4EFF">
        <w:rPr>
          <w:rFonts w:ascii="Arial" w:hAnsi="Arial" w:cs="Arial"/>
          <w:b/>
          <w:snapToGrid w:val="0"/>
          <w:sz w:val="25"/>
          <w:szCs w:val="25"/>
          <w:lang w:val="es-ES_tradnl"/>
        </w:rPr>
        <w:t xml:space="preserve">DECRETA: </w:t>
      </w:r>
    </w:p>
    <w:p w:rsidR="00622706" w:rsidRPr="008C4EFF" w:rsidRDefault="00622706" w:rsidP="00622706">
      <w:pPr>
        <w:widowControl w:val="0"/>
        <w:spacing w:after="0" w:line="240" w:lineRule="auto"/>
        <w:jc w:val="both"/>
        <w:rPr>
          <w:rFonts w:ascii="Arial" w:hAnsi="Arial" w:cs="Arial"/>
          <w:b/>
          <w:snapToGrid w:val="0"/>
          <w:sz w:val="25"/>
          <w:szCs w:val="25"/>
          <w:lang w:val="es-ES_tradnl"/>
        </w:rPr>
      </w:pPr>
    </w:p>
    <w:p w:rsidR="00622706" w:rsidRPr="008C4EFF" w:rsidRDefault="00622706" w:rsidP="00622706">
      <w:pPr>
        <w:widowControl w:val="0"/>
        <w:spacing w:after="0" w:line="240" w:lineRule="auto"/>
        <w:jc w:val="both"/>
        <w:rPr>
          <w:rFonts w:ascii="Arial" w:hAnsi="Arial" w:cs="Arial"/>
          <w:b/>
          <w:snapToGrid w:val="0"/>
          <w:sz w:val="25"/>
          <w:szCs w:val="25"/>
          <w:lang w:val="es-ES_tradnl"/>
        </w:rPr>
      </w:pPr>
      <w:r w:rsidRPr="008C4EFF">
        <w:rPr>
          <w:rFonts w:ascii="Arial" w:hAnsi="Arial" w:cs="Arial"/>
          <w:b/>
          <w:snapToGrid w:val="0"/>
          <w:sz w:val="25"/>
          <w:szCs w:val="25"/>
          <w:lang w:val="es-ES_tradnl"/>
        </w:rPr>
        <w:t>NÚMERO 53.-</w:t>
      </w:r>
    </w:p>
    <w:p w:rsidR="008C4EFF" w:rsidRPr="008C4EFF" w:rsidRDefault="008C4EFF" w:rsidP="00622706">
      <w:pPr>
        <w:widowControl w:val="0"/>
        <w:spacing w:after="0" w:line="240" w:lineRule="auto"/>
        <w:jc w:val="both"/>
        <w:rPr>
          <w:rFonts w:ascii="Arial" w:hAnsi="Arial" w:cs="Arial"/>
          <w:b/>
          <w:snapToGrid w:val="0"/>
          <w:sz w:val="25"/>
          <w:szCs w:val="25"/>
          <w:lang w:val="es-ES_tradnl"/>
        </w:rPr>
      </w:pPr>
    </w:p>
    <w:p w:rsidR="00622706" w:rsidRPr="008C4EFF" w:rsidRDefault="00622706" w:rsidP="00622706">
      <w:pPr>
        <w:widowControl w:val="0"/>
        <w:spacing w:after="0" w:line="240" w:lineRule="auto"/>
        <w:jc w:val="both"/>
        <w:rPr>
          <w:rFonts w:ascii="Arial" w:hAnsi="Arial" w:cs="Arial"/>
          <w:b/>
          <w:snapToGrid w:val="0"/>
          <w:sz w:val="25"/>
          <w:szCs w:val="25"/>
          <w:lang w:val="es-ES_tradnl"/>
        </w:rPr>
      </w:pPr>
    </w:p>
    <w:p w:rsidR="008C4EFF" w:rsidRPr="008C4EFF" w:rsidRDefault="008C4EFF" w:rsidP="008C4EFF">
      <w:pPr>
        <w:spacing w:after="0" w:line="240" w:lineRule="auto"/>
        <w:jc w:val="both"/>
        <w:rPr>
          <w:rFonts w:ascii="Arial" w:eastAsia="Calibri" w:hAnsi="Arial" w:cs="Arial"/>
          <w:sz w:val="25"/>
          <w:szCs w:val="25"/>
        </w:rPr>
      </w:pPr>
      <w:r w:rsidRPr="008C4EFF">
        <w:rPr>
          <w:rFonts w:ascii="Arial" w:eastAsia="Calibri" w:hAnsi="Arial" w:cs="Arial"/>
          <w:b/>
          <w:bCs/>
          <w:sz w:val="25"/>
          <w:szCs w:val="25"/>
        </w:rPr>
        <w:t>Artículo Único.</w:t>
      </w:r>
      <w:r w:rsidRPr="008C4EFF">
        <w:rPr>
          <w:rFonts w:ascii="Arial" w:eastAsia="Calibri" w:hAnsi="Arial" w:cs="Arial"/>
          <w:sz w:val="25"/>
          <w:szCs w:val="25"/>
        </w:rPr>
        <w:t xml:space="preserve"> Se adiciona una fracción XXIII Bis al artículo 73 de la Constitución Política de los Estados Unidos Mexicanos, para quedar como sigue:</w:t>
      </w:r>
    </w:p>
    <w:p w:rsidR="008C4EFF" w:rsidRDefault="008C4EFF" w:rsidP="008C4EFF">
      <w:pPr>
        <w:spacing w:after="0" w:line="240" w:lineRule="auto"/>
        <w:jc w:val="both"/>
        <w:rPr>
          <w:rFonts w:ascii="Arial" w:eastAsia="Calibri" w:hAnsi="Arial" w:cs="Arial"/>
          <w:sz w:val="25"/>
          <w:szCs w:val="25"/>
        </w:rPr>
      </w:pPr>
    </w:p>
    <w:p w:rsidR="008C4EFF" w:rsidRPr="008C4EFF" w:rsidRDefault="008C4EFF" w:rsidP="008C4EFF">
      <w:pPr>
        <w:spacing w:after="0" w:line="240" w:lineRule="auto"/>
        <w:jc w:val="both"/>
        <w:rPr>
          <w:rFonts w:ascii="Arial" w:eastAsia="Calibri" w:hAnsi="Arial" w:cs="Arial"/>
          <w:sz w:val="25"/>
          <w:szCs w:val="25"/>
        </w:rPr>
      </w:pPr>
    </w:p>
    <w:p w:rsidR="008C4EFF" w:rsidRPr="008C4EFF" w:rsidRDefault="008C4EFF" w:rsidP="008C4EFF">
      <w:pPr>
        <w:spacing w:after="0" w:line="240" w:lineRule="auto"/>
        <w:jc w:val="both"/>
        <w:rPr>
          <w:rFonts w:ascii="Arial" w:eastAsia="Calibri" w:hAnsi="Arial" w:cs="Arial"/>
          <w:sz w:val="25"/>
          <w:szCs w:val="25"/>
        </w:rPr>
      </w:pPr>
      <w:r w:rsidRPr="008C4EFF">
        <w:rPr>
          <w:rFonts w:ascii="Arial" w:eastAsia="Calibri" w:hAnsi="Arial" w:cs="Arial"/>
          <w:b/>
          <w:bCs/>
          <w:sz w:val="25"/>
          <w:szCs w:val="25"/>
        </w:rPr>
        <w:t>Artículo 73.</w:t>
      </w:r>
      <w:r w:rsidRPr="008C4EFF">
        <w:rPr>
          <w:rFonts w:ascii="Arial" w:eastAsia="Calibri" w:hAnsi="Arial" w:cs="Arial"/>
          <w:sz w:val="25"/>
          <w:szCs w:val="25"/>
        </w:rPr>
        <w:t xml:space="preserve"> El Congreso tiene facultad:</w:t>
      </w:r>
    </w:p>
    <w:p w:rsidR="008C4EFF" w:rsidRPr="008C4EFF" w:rsidRDefault="008C4EFF" w:rsidP="008C4EFF">
      <w:pPr>
        <w:spacing w:after="0" w:line="240" w:lineRule="auto"/>
        <w:jc w:val="both"/>
        <w:rPr>
          <w:rFonts w:ascii="Arial" w:eastAsia="Calibri" w:hAnsi="Arial" w:cs="Arial"/>
          <w:sz w:val="25"/>
          <w:szCs w:val="25"/>
        </w:rPr>
      </w:pPr>
    </w:p>
    <w:p w:rsidR="008C4EFF" w:rsidRPr="008C4EFF" w:rsidRDefault="008C4EFF" w:rsidP="008C4EFF">
      <w:pPr>
        <w:spacing w:after="0" w:line="240" w:lineRule="auto"/>
        <w:jc w:val="both"/>
        <w:rPr>
          <w:rFonts w:ascii="Arial" w:eastAsia="Calibri" w:hAnsi="Arial" w:cs="Arial"/>
          <w:b/>
          <w:bCs/>
          <w:sz w:val="25"/>
          <w:szCs w:val="25"/>
        </w:rPr>
      </w:pPr>
      <w:r w:rsidRPr="008C4EFF">
        <w:rPr>
          <w:rFonts w:ascii="Arial" w:eastAsia="Calibri" w:hAnsi="Arial" w:cs="Arial"/>
          <w:b/>
          <w:bCs/>
          <w:sz w:val="25"/>
          <w:szCs w:val="25"/>
        </w:rPr>
        <w:t xml:space="preserve">I. </w:t>
      </w:r>
      <w:r w:rsidRPr="008C4EFF">
        <w:rPr>
          <w:rFonts w:ascii="Arial" w:eastAsia="Calibri" w:hAnsi="Arial" w:cs="Arial"/>
          <w:sz w:val="25"/>
          <w:szCs w:val="25"/>
        </w:rPr>
        <w:t>a</w:t>
      </w:r>
      <w:r w:rsidRPr="008C4EFF">
        <w:rPr>
          <w:rFonts w:ascii="Arial" w:eastAsia="Calibri" w:hAnsi="Arial" w:cs="Arial"/>
          <w:b/>
          <w:bCs/>
          <w:sz w:val="25"/>
          <w:szCs w:val="25"/>
        </w:rPr>
        <w:t xml:space="preserve"> XXIII. ...</w:t>
      </w:r>
    </w:p>
    <w:p w:rsidR="008C4EFF" w:rsidRPr="008C4EFF" w:rsidRDefault="008C4EFF" w:rsidP="008C4EFF">
      <w:pPr>
        <w:spacing w:after="0" w:line="240" w:lineRule="auto"/>
        <w:jc w:val="both"/>
        <w:rPr>
          <w:rFonts w:ascii="Arial" w:eastAsia="Calibri" w:hAnsi="Arial" w:cs="Arial"/>
          <w:sz w:val="25"/>
          <w:szCs w:val="25"/>
        </w:rPr>
      </w:pPr>
    </w:p>
    <w:p w:rsidR="008C4EFF" w:rsidRPr="008C4EFF" w:rsidRDefault="008C4EFF" w:rsidP="008C4EFF">
      <w:pPr>
        <w:spacing w:after="0" w:line="240" w:lineRule="auto"/>
        <w:jc w:val="both"/>
        <w:rPr>
          <w:rFonts w:ascii="Arial" w:eastAsia="Calibri" w:hAnsi="Arial" w:cs="Arial"/>
          <w:sz w:val="25"/>
          <w:szCs w:val="25"/>
        </w:rPr>
      </w:pPr>
      <w:r w:rsidRPr="008C4EFF">
        <w:rPr>
          <w:rFonts w:ascii="Arial" w:eastAsia="Calibri" w:hAnsi="Arial" w:cs="Arial"/>
          <w:b/>
          <w:bCs/>
          <w:sz w:val="25"/>
          <w:szCs w:val="25"/>
        </w:rPr>
        <w:t>XXIII Bis.</w:t>
      </w:r>
      <w:r w:rsidRPr="008C4EFF">
        <w:rPr>
          <w:rFonts w:ascii="Arial" w:eastAsia="Calibri" w:hAnsi="Arial" w:cs="Arial"/>
          <w:sz w:val="25"/>
          <w:szCs w:val="25"/>
        </w:rPr>
        <w:t xml:space="preserve"> Para expedir la ley general en materia de seguridad privada, que establezca:</w:t>
      </w:r>
    </w:p>
    <w:p w:rsidR="008C4EFF" w:rsidRPr="008C4EFF" w:rsidRDefault="008C4EFF" w:rsidP="008C4EFF">
      <w:pPr>
        <w:spacing w:after="0" w:line="240" w:lineRule="auto"/>
        <w:jc w:val="both"/>
        <w:rPr>
          <w:rFonts w:ascii="Arial" w:eastAsia="Calibri" w:hAnsi="Arial" w:cs="Arial"/>
          <w:sz w:val="25"/>
          <w:szCs w:val="25"/>
        </w:rPr>
      </w:pPr>
    </w:p>
    <w:p w:rsidR="008C4EFF" w:rsidRPr="008C4EFF" w:rsidRDefault="008C4EFF" w:rsidP="008C4EFF">
      <w:pPr>
        <w:numPr>
          <w:ilvl w:val="0"/>
          <w:numId w:val="1"/>
        </w:numPr>
        <w:spacing w:after="0" w:line="240" w:lineRule="auto"/>
        <w:ind w:left="1560"/>
        <w:contextualSpacing/>
        <w:jc w:val="both"/>
        <w:rPr>
          <w:rFonts w:ascii="Arial" w:eastAsia="Calibri" w:hAnsi="Arial" w:cs="Arial"/>
          <w:sz w:val="25"/>
          <w:szCs w:val="25"/>
        </w:rPr>
      </w:pPr>
      <w:r w:rsidRPr="008C4EFF">
        <w:rPr>
          <w:rFonts w:ascii="Arial" w:eastAsia="Calibri" w:hAnsi="Arial" w:cs="Arial"/>
          <w:sz w:val="25"/>
          <w:szCs w:val="25"/>
        </w:rPr>
        <w:t>Las reglas y la autoridad facultada para autorizar y regular a los prestadores de servicios de seguridad privada en todo el territorio nacional;</w:t>
      </w:r>
    </w:p>
    <w:p w:rsidR="008C4EFF" w:rsidRPr="008C4EFF" w:rsidRDefault="008C4EFF" w:rsidP="008C4EFF">
      <w:pPr>
        <w:spacing w:after="0" w:line="240" w:lineRule="auto"/>
        <w:ind w:left="720"/>
        <w:contextualSpacing/>
        <w:jc w:val="both"/>
        <w:rPr>
          <w:rFonts w:ascii="Arial" w:eastAsia="Calibri" w:hAnsi="Arial" w:cs="Arial"/>
          <w:sz w:val="25"/>
          <w:szCs w:val="25"/>
        </w:rPr>
      </w:pPr>
    </w:p>
    <w:p w:rsidR="008C4EFF" w:rsidRPr="008C4EFF" w:rsidRDefault="008C4EFF" w:rsidP="008C4EFF">
      <w:pPr>
        <w:numPr>
          <w:ilvl w:val="0"/>
          <w:numId w:val="1"/>
        </w:numPr>
        <w:spacing w:after="0" w:line="240" w:lineRule="auto"/>
        <w:ind w:left="1560"/>
        <w:contextualSpacing/>
        <w:jc w:val="both"/>
        <w:rPr>
          <w:rFonts w:ascii="Arial" w:eastAsia="Calibri" w:hAnsi="Arial" w:cs="Arial"/>
          <w:sz w:val="25"/>
          <w:szCs w:val="25"/>
        </w:rPr>
      </w:pPr>
      <w:r w:rsidRPr="008C4EFF">
        <w:rPr>
          <w:rFonts w:ascii="Arial" w:eastAsia="Calibri" w:hAnsi="Arial" w:cs="Arial"/>
          <w:sz w:val="25"/>
          <w:szCs w:val="25"/>
        </w:rPr>
        <w:t>Las reglas de coordinación entre las personas autorizadas a prestar los servicios de seguridad privada y las autoridades correspondientes de la Federación, las entidades federativas y los municipios, para la adecuada organización y funcionamiento como auxiliares de la seguridad pública;</w:t>
      </w:r>
    </w:p>
    <w:p w:rsidR="008C4EFF" w:rsidRPr="008C4EFF" w:rsidRDefault="008C4EFF" w:rsidP="008C4EFF">
      <w:pPr>
        <w:spacing w:after="0" w:line="240" w:lineRule="auto"/>
        <w:ind w:left="720"/>
        <w:contextualSpacing/>
        <w:rPr>
          <w:rFonts w:ascii="Arial" w:eastAsia="Calibri" w:hAnsi="Arial" w:cs="Arial"/>
          <w:sz w:val="25"/>
          <w:szCs w:val="25"/>
        </w:rPr>
      </w:pPr>
    </w:p>
    <w:p w:rsidR="008C4EFF" w:rsidRPr="008C4EFF" w:rsidRDefault="008C4EFF" w:rsidP="008C4EFF">
      <w:pPr>
        <w:numPr>
          <w:ilvl w:val="0"/>
          <w:numId w:val="1"/>
        </w:numPr>
        <w:spacing w:after="0" w:line="240" w:lineRule="auto"/>
        <w:ind w:left="1560"/>
        <w:contextualSpacing/>
        <w:jc w:val="both"/>
        <w:rPr>
          <w:rFonts w:ascii="Arial" w:eastAsia="Calibri" w:hAnsi="Arial" w:cs="Arial"/>
          <w:sz w:val="25"/>
          <w:szCs w:val="25"/>
        </w:rPr>
      </w:pPr>
      <w:r w:rsidRPr="008C4EFF">
        <w:rPr>
          <w:rFonts w:ascii="Arial" w:eastAsia="Calibri" w:hAnsi="Arial" w:cs="Arial"/>
          <w:sz w:val="25"/>
          <w:szCs w:val="25"/>
        </w:rPr>
        <w:t>La coordinación de esos prestadores con las instituciones de seguridad pública en situaciones de emergencia y desastre, y</w:t>
      </w:r>
    </w:p>
    <w:p w:rsidR="008C4EFF" w:rsidRPr="008C4EFF" w:rsidRDefault="008C4EFF" w:rsidP="008C4EFF">
      <w:pPr>
        <w:spacing w:after="0" w:line="240" w:lineRule="auto"/>
        <w:ind w:left="1560"/>
        <w:contextualSpacing/>
        <w:rPr>
          <w:rFonts w:ascii="Arial" w:eastAsia="Calibri" w:hAnsi="Arial" w:cs="Arial"/>
          <w:sz w:val="25"/>
          <w:szCs w:val="25"/>
        </w:rPr>
      </w:pPr>
    </w:p>
    <w:p w:rsidR="008C4EFF" w:rsidRPr="008C4EFF" w:rsidRDefault="008C4EFF" w:rsidP="008C4EFF">
      <w:pPr>
        <w:numPr>
          <w:ilvl w:val="0"/>
          <w:numId w:val="1"/>
        </w:numPr>
        <w:spacing w:after="0" w:line="360" w:lineRule="auto"/>
        <w:ind w:left="1560"/>
        <w:contextualSpacing/>
        <w:jc w:val="both"/>
        <w:rPr>
          <w:rFonts w:ascii="Arial" w:eastAsia="Calibri" w:hAnsi="Arial" w:cs="Arial"/>
          <w:sz w:val="25"/>
          <w:szCs w:val="25"/>
        </w:rPr>
      </w:pPr>
      <w:r w:rsidRPr="008C4EFF">
        <w:rPr>
          <w:rFonts w:ascii="Arial" w:eastAsia="Calibri" w:hAnsi="Arial" w:cs="Arial"/>
          <w:sz w:val="25"/>
          <w:szCs w:val="25"/>
        </w:rPr>
        <w:t>Los aspectos vinculados a la coordinación y supervisión de las policías complementarias en el país;</w:t>
      </w:r>
    </w:p>
    <w:p w:rsidR="008C4EFF" w:rsidRDefault="008C4EFF" w:rsidP="008C4EFF">
      <w:pPr>
        <w:spacing w:after="0" w:line="360" w:lineRule="auto"/>
        <w:jc w:val="both"/>
        <w:rPr>
          <w:rFonts w:ascii="Arial" w:eastAsia="Calibri" w:hAnsi="Arial" w:cs="Arial"/>
          <w:sz w:val="25"/>
          <w:szCs w:val="25"/>
        </w:rPr>
      </w:pPr>
    </w:p>
    <w:p w:rsidR="008C4EFF" w:rsidRDefault="008C4EFF" w:rsidP="008C4EFF">
      <w:pPr>
        <w:spacing w:after="0" w:line="360" w:lineRule="auto"/>
        <w:jc w:val="both"/>
        <w:rPr>
          <w:rFonts w:ascii="Arial" w:eastAsia="Calibri" w:hAnsi="Arial" w:cs="Arial"/>
          <w:sz w:val="25"/>
          <w:szCs w:val="25"/>
        </w:rPr>
      </w:pPr>
    </w:p>
    <w:p w:rsidR="008C4EFF" w:rsidRPr="008C4EFF" w:rsidRDefault="008C4EFF" w:rsidP="008C4EFF">
      <w:pPr>
        <w:spacing w:after="0" w:line="360" w:lineRule="auto"/>
        <w:jc w:val="both"/>
        <w:rPr>
          <w:rFonts w:ascii="Arial" w:eastAsia="Calibri" w:hAnsi="Arial" w:cs="Arial"/>
          <w:sz w:val="25"/>
          <w:szCs w:val="25"/>
        </w:rPr>
      </w:pPr>
    </w:p>
    <w:p w:rsidR="008C4EFF" w:rsidRPr="008C4EFF" w:rsidRDefault="008C4EFF" w:rsidP="008C4EFF">
      <w:pPr>
        <w:spacing w:after="0" w:line="360" w:lineRule="auto"/>
        <w:jc w:val="both"/>
        <w:rPr>
          <w:rFonts w:ascii="Arial" w:eastAsia="Calibri" w:hAnsi="Arial" w:cs="Arial"/>
          <w:b/>
          <w:bCs/>
          <w:sz w:val="25"/>
          <w:szCs w:val="25"/>
        </w:rPr>
      </w:pPr>
      <w:r w:rsidRPr="008C4EFF">
        <w:rPr>
          <w:rFonts w:ascii="Arial" w:eastAsia="Calibri" w:hAnsi="Arial" w:cs="Arial"/>
          <w:b/>
          <w:bCs/>
          <w:sz w:val="25"/>
          <w:szCs w:val="25"/>
        </w:rPr>
        <w:t xml:space="preserve">XXIV. </w:t>
      </w:r>
      <w:r w:rsidRPr="008C4EFF">
        <w:rPr>
          <w:rFonts w:ascii="Arial" w:eastAsia="Calibri" w:hAnsi="Arial" w:cs="Arial"/>
          <w:sz w:val="25"/>
          <w:szCs w:val="25"/>
        </w:rPr>
        <w:t xml:space="preserve">a </w:t>
      </w:r>
      <w:r w:rsidRPr="008C4EFF">
        <w:rPr>
          <w:rFonts w:ascii="Arial" w:eastAsia="Calibri" w:hAnsi="Arial" w:cs="Arial"/>
          <w:b/>
          <w:bCs/>
          <w:sz w:val="25"/>
          <w:szCs w:val="25"/>
        </w:rPr>
        <w:t>XXXI. …</w:t>
      </w:r>
    </w:p>
    <w:p w:rsidR="008C4EFF" w:rsidRPr="008C4EFF" w:rsidRDefault="008C4EFF" w:rsidP="008C4EFF">
      <w:pPr>
        <w:spacing w:after="0" w:line="360" w:lineRule="auto"/>
        <w:jc w:val="center"/>
        <w:rPr>
          <w:rFonts w:ascii="Arial" w:eastAsia="Calibri" w:hAnsi="Arial" w:cs="Arial"/>
          <w:b/>
          <w:bCs/>
          <w:sz w:val="25"/>
          <w:szCs w:val="25"/>
        </w:rPr>
      </w:pPr>
    </w:p>
    <w:p w:rsidR="008C4EFF" w:rsidRPr="008C4EFF" w:rsidRDefault="008C4EFF" w:rsidP="008C4EFF">
      <w:pPr>
        <w:spacing w:after="0" w:line="360" w:lineRule="auto"/>
        <w:jc w:val="center"/>
        <w:rPr>
          <w:rFonts w:ascii="Arial" w:eastAsia="Calibri" w:hAnsi="Arial" w:cs="Arial"/>
          <w:b/>
          <w:bCs/>
          <w:sz w:val="25"/>
          <w:szCs w:val="25"/>
        </w:rPr>
      </w:pPr>
      <w:r w:rsidRPr="008C4EFF">
        <w:rPr>
          <w:rFonts w:ascii="Arial" w:eastAsia="Calibri" w:hAnsi="Arial" w:cs="Arial"/>
          <w:b/>
          <w:bCs/>
          <w:sz w:val="25"/>
          <w:szCs w:val="25"/>
        </w:rPr>
        <w:t>Transitorios</w:t>
      </w:r>
    </w:p>
    <w:p w:rsidR="008C4EFF" w:rsidRPr="008C4EFF" w:rsidRDefault="008C4EFF" w:rsidP="008C4EFF">
      <w:pPr>
        <w:spacing w:after="0" w:line="360" w:lineRule="auto"/>
        <w:jc w:val="center"/>
        <w:rPr>
          <w:rFonts w:ascii="Arial" w:eastAsia="Calibri" w:hAnsi="Arial" w:cs="Arial"/>
          <w:b/>
          <w:bCs/>
          <w:sz w:val="25"/>
          <w:szCs w:val="25"/>
        </w:rPr>
      </w:pPr>
    </w:p>
    <w:p w:rsidR="008C4EFF" w:rsidRPr="008C4EFF" w:rsidRDefault="008C4EFF" w:rsidP="008C4EFF">
      <w:pPr>
        <w:spacing w:after="0" w:line="240" w:lineRule="auto"/>
        <w:jc w:val="both"/>
        <w:rPr>
          <w:rFonts w:ascii="Arial" w:eastAsia="Calibri" w:hAnsi="Arial" w:cs="Arial"/>
          <w:sz w:val="25"/>
          <w:szCs w:val="25"/>
        </w:rPr>
      </w:pPr>
      <w:r w:rsidRPr="008C4EFF">
        <w:rPr>
          <w:rFonts w:ascii="Arial" w:eastAsia="Calibri" w:hAnsi="Arial" w:cs="Arial"/>
          <w:b/>
          <w:bCs/>
          <w:sz w:val="25"/>
          <w:szCs w:val="25"/>
        </w:rPr>
        <w:t xml:space="preserve">Primero. </w:t>
      </w:r>
      <w:r w:rsidRPr="008C4EFF">
        <w:rPr>
          <w:rFonts w:ascii="Arial" w:eastAsia="Calibri" w:hAnsi="Arial" w:cs="Arial"/>
          <w:sz w:val="25"/>
          <w:szCs w:val="25"/>
        </w:rPr>
        <w:t>El presente Decreto entrará en vigor el día siguiente al de su publicación en el Diario Oficial de la Federación.</w:t>
      </w:r>
    </w:p>
    <w:p w:rsidR="008C4EFF" w:rsidRPr="008C4EFF" w:rsidRDefault="008C4EFF" w:rsidP="008C4EFF">
      <w:pPr>
        <w:spacing w:after="0" w:line="240" w:lineRule="auto"/>
        <w:jc w:val="both"/>
        <w:rPr>
          <w:rFonts w:ascii="Arial" w:eastAsia="Calibri" w:hAnsi="Arial" w:cs="Arial"/>
          <w:b/>
          <w:bCs/>
          <w:sz w:val="25"/>
          <w:szCs w:val="25"/>
        </w:rPr>
      </w:pPr>
    </w:p>
    <w:p w:rsidR="008C4EFF" w:rsidRPr="008C4EFF" w:rsidRDefault="008C4EFF" w:rsidP="008C4EFF">
      <w:pPr>
        <w:spacing w:after="0" w:line="240" w:lineRule="auto"/>
        <w:jc w:val="both"/>
        <w:rPr>
          <w:rFonts w:ascii="Arial" w:eastAsia="Calibri" w:hAnsi="Arial" w:cs="Arial"/>
          <w:sz w:val="25"/>
          <w:szCs w:val="25"/>
        </w:rPr>
      </w:pPr>
      <w:r w:rsidRPr="008C4EFF">
        <w:rPr>
          <w:rFonts w:ascii="Arial" w:eastAsia="Calibri" w:hAnsi="Arial" w:cs="Arial"/>
          <w:b/>
          <w:bCs/>
          <w:sz w:val="25"/>
          <w:szCs w:val="25"/>
        </w:rPr>
        <w:t>Segundo.</w:t>
      </w:r>
      <w:r w:rsidRPr="008C4EFF">
        <w:rPr>
          <w:rFonts w:ascii="Arial" w:eastAsia="Calibri" w:hAnsi="Arial" w:cs="Arial"/>
          <w:sz w:val="25"/>
          <w:szCs w:val="25"/>
        </w:rPr>
        <w:t xml:space="preserve"> Dentro del plazo de 180 días naturales siguientes a la entrada en vigor del presente Decreto, el Congreso de la Unión deberá expedir la ley general en materia de seguridad privada a que hace referencia el artículo 73, fracción XXIII Bis, de la Constitución Política de los Estados Unidos Mexicanos.</w:t>
      </w:r>
    </w:p>
    <w:p w:rsidR="008C4EFF" w:rsidRPr="008C4EFF" w:rsidRDefault="008C4EFF" w:rsidP="008C4EFF">
      <w:pPr>
        <w:spacing w:after="0" w:line="240" w:lineRule="auto"/>
        <w:jc w:val="both"/>
        <w:rPr>
          <w:rFonts w:ascii="Arial" w:eastAsia="Calibri" w:hAnsi="Arial" w:cs="Arial"/>
          <w:b/>
          <w:bCs/>
          <w:sz w:val="25"/>
          <w:szCs w:val="25"/>
        </w:rPr>
      </w:pPr>
    </w:p>
    <w:p w:rsidR="008C4EFF" w:rsidRPr="008C4EFF" w:rsidRDefault="008C4EFF" w:rsidP="008C4EFF">
      <w:pPr>
        <w:spacing w:after="0" w:line="240" w:lineRule="auto"/>
        <w:jc w:val="both"/>
        <w:rPr>
          <w:rFonts w:ascii="Arial" w:eastAsia="Calibri" w:hAnsi="Arial" w:cs="Arial"/>
          <w:sz w:val="25"/>
          <w:szCs w:val="25"/>
        </w:rPr>
      </w:pPr>
      <w:r w:rsidRPr="008C4EFF">
        <w:rPr>
          <w:rFonts w:ascii="Arial" w:eastAsia="Calibri" w:hAnsi="Arial" w:cs="Arial"/>
          <w:b/>
          <w:bCs/>
          <w:sz w:val="25"/>
          <w:szCs w:val="25"/>
        </w:rPr>
        <w:t>Tercero.</w:t>
      </w:r>
      <w:r w:rsidRPr="008C4EFF">
        <w:rPr>
          <w:rFonts w:ascii="Arial" w:eastAsia="Calibri" w:hAnsi="Arial" w:cs="Arial"/>
          <w:sz w:val="25"/>
          <w:szCs w:val="25"/>
        </w:rPr>
        <w:t xml:space="preserve"> Dentro del plazo de 180 días naturales siguientes a la entrada en vigor de la ley general de seguridad privada a que se refiere el artículo 73, fracción XXIII Bis, de la Constitución Política de los Estados Unidos Mexicanos, el Congreso de la Unión y las legislaturas de las entidades federativas deberán expedir la legislación necesaria para adecuar el marco normativo con este Decreto y la ley citada. Mientras tanto, continuará en vigor la legislación en los términos que se encuentre a la fecha de entrada en vigor del presente Decreto.</w:t>
      </w:r>
    </w:p>
    <w:p w:rsidR="008C4EFF" w:rsidRPr="008C4EFF" w:rsidRDefault="008C4EFF" w:rsidP="008C4EFF">
      <w:pPr>
        <w:spacing w:after="0" w:line="240" w:lineRule="auto"/>
        <w:jc w:val="both"/>
        <w:rPr>
          <w:rFonts w:ascii="Arial" w:eastAsia="Calibri" w:hAnsi="Arial" w:cs="Arial"/>
          <w:b/>
          <w:bCs/>
          <w:sz w:val="25"/>
          <w:szCs w:val="25"/>
        </w:rPr>
      </w:pPr>
    </w:p>
    <w:p w:rsidR="008C4EFF" w:rsidRPr="008C4EFF" w:rsidRDefault="008C4EFF" w:rsidP="008C4EFF">
      <w:pPr>
        <w:spacing w:after="0" w:line="240" w:lineRule="auto"/>
        <w:jc w:val="both"/>
        <w:rPr>
          <w:rFonts w:ascii="Arial" w:eastAsia="Calibri" w:hAnsi="Arial" w:cs="Arial"/>
          <w:sz w:val="25"/>
          <w:szCs w:val="25"/>
        </w:rPr>
      </w:pPr>
      <w:r w:rsidRPr="008C4EFF">
        <w:rPr>
          <w:rFonts w:ascii="Arial" w:eastAsia="Calibri" w:hAnsi="Arial" w:cs="Arial"/>
          <w:sz w:val="25"/>
          <w:szCs w:val="25"/>
        </w:rPr>
        <w:t>Para el caso que no se lleven a cabo las adecuaciones normativas, dentro del plazo concedido al Congreso de la Unión y a las legislaturas de las entidades federativas, deberá cesar la aplicación de la legislación que no se ajuste al contenido de la mencionada ley general y, en su caso, aplicarse directamente el contenido de ésta.</w:t>
      </w:r>
    </w:p>
    <w:p w:rsidR="008C4EFF" w:rsidRPr="008C4EFF" w:rsidRDefault="008C4EFF" w:rsidP="008C4EFF">
      <w:pPr>
        <w:spacing w:after="0" w:line="240" w:lineRule="auto"/>
        <w:jc w:val="both"/>
        <w:rPr>
          <w:rFonts w:ascii="Arial" w:eastAsia="Calibri" w:hAnsi="Arial" w:cs="Arial"/>
          <w:b/>
          <w:bCs/>
          <w:sz w:val="25"/>
          <w:szCs w:val="25"/>
        </w:rPr>
      </w:pPr>
    </w:p>
    <w:p w:rsidR="008C4EFF" w:rsidRPr="008C4EFF" w:rsidRDefault="008C4EFF" w:rsidP="008C4EFF">
      <w:pPr>
        <w:spacing w:after="0" w:line="240" w:lineRule="auto"/>
        <w:jc w:val="both"/>
        <w:rPr>
          <w:rFonts w:ascii="Arial" w:eastAsia="Calibri" w:hAnsi="Arial" w:cs="Arial"/>
          <w:sz w:val="25"/>
          <w:szCs w:val="25"/>
        </w:rPr>
      </w:pPr>
      <w:r w:rsidRPr="008C4EFF">
        <w:rPr>
          <w:rFonts w:ascii="Arial" w:eastAsia="Calibri" w:hAnsi="Arial" w:cs="Arial"/>
          <w:b/>
          <w:bCs/>
          <w:sz w:val="25"/>
          <w:szCs w:val="25"/>
        </w:rPr>
        <w:t>Cuarto.</w:t>
      </w:r>
      <w:r w:rsidRPr="008C4EFF">
        <w:rPr>
          <w:rFonts w:ascii="Arial" w:eastAsia="Calibri" w:hAnsi="Arial" w:cs="Arial"/>
          <w:sz w:val="25"/>
          <w:szCs w:val="25"/>
        </w:rPr>
        <w:t xml:space="preserve"> Los asuntos en trámite hasta el momento en que entre en vigor la ley general en materia de seguridad privada, se concluirán conforme a la legislación con que se iniciaron.</w:t>
      </w:r>
    </w:p>
    <w:p w:rsidR="008C4EFF" w:rsidRPr="008C4EFF" w:rsidRDefault="008C4EFF" w:rsidP="008C4EFF">
      <w:pPr>
        <w:spacing w:after="0" w:line="240" w:lineRule="auto"/>
        <w:rPr>
          <w:rFonts w:ascii="Arial" w:eastAsia="Calibri" w:hAnsi="Arial" w:cs="Arial"/>
          <w:sz w:val="25"/>
          <w:szCs w:val="25"/>
        </w:rPr>
      </w:pPr>
    </w:p>
    <w:p w:rsidR="008C4EFF" w:rsidRPr="008C4EFF" w:rsidRDefault="008C4EFF" w:rsidP="008C4EFF">
      <w:pPr>
        <w:spacing w:after="0" w:line="240" w:lineRule="auto"/>
        <w:rPr>
          <w:rFonts w:ascii="Arial" w:eastAsia="Calibri" w:hAnsi="Arial" w:cs="Arial"/>
          <w:sz w:val="25"/>
          <w:szCs w:val="25"/>
        </w:rPr>
      </w:pPr>
    </w:p>
    <w:p w:rsidR="008C4EFF" w:rsidRPr="008C4EFF" w:rsidRDefault="008C4EFF" w:rsidP="008C4EFF">
      <w:pPr>
        <w:spacing w:after="0" w:line="240" w:lineRule="auto"/>
        <w:jc w:val="center"/>
        <w:rPr>
          <w:rFonts w:ascii="Arial" w:eastAsia="Calibri" w:hAnsi="Arial" w:cs="Arial"/>
          <w:b/>
          <w:bCs/>
          <w:sz w:val="25"/>
          <w:szCs w:val="25"/>
          <w:lang w:val="en-US"/>
        </w:rPr>
      </w:pPr>
      <w:r w:rsidRPr="008C4EFF">
        <w:rPr>
          <w:rFonts w:ascii="Arial" w:eastAsia="Calibri" w:hAnsi="Arial" w:cs="Arial"/>
          <w:b/>
          <w:bCs/>
          <w:sz w:val="25"/>
          <w:szCs w:val="25"/>
          <w:lang w:val="en-US"/>
        </w:rPr>
        <w:t xml:space="preserve">T R A N S I T O R I O S </w:t>
      </w:r>
    </w:p>
    <w:p w:rsidR="008C4EFF" w:rsidRPr="008C4EFF" w:rsidRDefault="008C4EFF" w:rsidP="008C4EFF">
      <w:pPr>
        <w:spacing w:after="0" w:line="240" w:lineRule="auto"/>
        <w:jc w:val="both"/>
        <w:rPr>
          <w:rFonts w:ascii="Arial" w:eastAsia="Calibri" w:hAnsi="Arial" w:cs="Arial"/>
          <w:b/>
          <w:bCs/>
          <w:sz w:val="25"/>
          <w:szCs w:val="25"/>
          <w:lang w:val="en-US"/>
        </w:rPr>
      </w:pPr>
    </w:p>
    <w:p w:rsidR="008C4EFF" w:rsidRPr="008C4EFF" w:rsidRDefault="008C4EFF" w:rsidP="008C4EFF">
      <w:pPr>
        <w:spacing w:after="0" w:line="240" w:lineRule="auto"/>
        <w:jc w:val="both"/>
        <w:rPr>
          <w:rFonts w:ascii="Arial" w:eastAsia="Calibri" w:hAnsi="Arial" w:cs="Arial"/>
          <w:b/>
          <w:bCs/>
          <w:sz w:val="25"/>
          <w:szCs w:val="25"/>
          <w:lang w:val="en-US"/>
        </w:rPr>
      </w:pPr>
    </w:p>
    <w:p w:rsidR="008C4EFF" w:rsidRPr="008C4EFF" w:rsidRDefault="008C4EFF" w:rsidP="008C4EFF">
      <w:pPr>
        <w:spacing w:after="0" w:line="240" w:lineRule="auto"/>
        <w:jc w:val="both"/>
        <w:rPr>
          <w:rFonts w:ascii="Arial" w:eastAsia="Calibri" w:hAnsi="Arial" w:cs="Arial"/>
          <w:sz w:val="25"/>
          <w:szCs w:val="25"/>
        </w:rPr>
      </w:pPr>
      <w:r w:rsidRPr="008C4EFF">
        <w:rPr>
          <w:rFonts w:ascii="Arial" w:eastAsia="Calibri" w:hAnsi="Arial" w:cs="Arial"/>
          <w:b/>
          <w:bCs/>
          <w:sz w:val="25"/>
          <w:szCs w:val="25"/>
        </w:rPr>
        <w:t>PRIMERO.-</w:t>
      </w:r>
      <w:r w:rsidRPr="008C4EFF">
        <w:rPr>
          <w:rFonts w:ascii="Arial" w:eastAsia="Calibri" w:hAnsi="Arial" w:cs="Arial"/>
          <w:sz w:val="25"/>
          <w:szCs w:val="25"/>
        </w:rPr>
        <w:t xml:space="preserve"> Publíquese el presente Decreto en el Periódico Oficial del Gobierno del Estado. </w:t>
      </w:r>
    </w:p>
    <w:p w:rsidR="008C4EFF" w:rsidRPr="008C4EFF" w:rsidRDefault="008C4EFF" w:rsidP="008C4EFF">
      <w:pPr>
        <w:spacing w:after="0" w:line="240" w:lineRule="auto"/>
        <w:jc w:val="both"/>
        <w:rPr>
          <w:rFonts w:ascii="Arial" w:eastAsia="Calibri" w:hAnsi="Arial" w:cs="Arial"/>
          <w:sz w:val="25"/>
          <w:szCs w:val="25"/>
        </w:rPr>
      </w:pPr>
    </w:p>
    <w:p w:rsidR="008C4EFF" w:rsidRPr="008C4EFF" w:rsidRDefault="008C4EFF" w:rsidP="008C4EFF">
      <w:pPr>
        <w:spacing w:after="0" w:line="240" w:lineRule="auto"/>
        <w:jc w:val="both"/>
        <w:rPr>
          <w:rFonts w:ascii="Arial" w:eastAsia="Calibri" w:hAnsi="Arial" w:cs="Arial"/>
          <w:sz w:val="25"/>
          <w:szCs w:val="25"/>
        </w:rPr>
      </w:pPr>
      <w:r w:rsidRPr="008C4EFF">
        <w:rPr>
          <w:rFonts w:ascii="Arial" w:eastAsia="Calibri" w:hAnsi="Arial" w:cs="Arial"/>
          <w:b/>
          <w:bCs/>
          <w:sz w:val="25"/>
          <w:szCs w:val="25"/>
        </w:rPr>
        <w:t>SEGUNDO.-</w:t>
      </w:r>
      <w:r w:rsidRPr="008C4EFF">
        <w:rPr>
          <w:rFonts w:ascii="Arial" w:eastAsia="Calibri" w:hAnsi="Arial" w:cs="Arial"/>
          <w:sz w:val="25"/>
          <w:szCs w:val="25"/>
        </w:rPr>
        <w:t xml:space="preserve"> Envíese a la Cámara de Senadores del Congreso de la Unión para su conocimiento, y para los efectos del artículo 135 de la Constitución Política de los Estados Unidos Mexicanos. </w:t>
      </w:r>
    </w:p>
    <w:p w:rsidR="008C4EFF" w:rsidRPr="008C4EFF" w:rsidRDefault="008C4EFF" w:rsidP="00622706">
      <w:pPr>
        <w:widowControl w:val="0"/>
        <w:spacing w:after="0" w:line="240" w:lineRule="auto"/>
        <w:jc w:val="both"/>
        <w:rPr>
          <w:rFonts w:ascii="Arial" w:hAnsi="Arial" w:cs="Arial"/>
          <w:b/>
          <w:snapToGrid w:val="0"/>
          <w:sz w:val="25"/>
          <w:szCs w:val="25"/>
          <w:lang w:val="es-ES_tradnl"/>
        </w:rPr>
      </w:pPr>
    </w:p>
    <w:p w:rsidR="00622706" w:rsidRPr="008C4EFF" w:rsidRDefault="00622706" w:rsidP="00622706">
      <w:pPr>
        <w:autoSpaceDE w:val="0"/>
        <w:autoSpaceDN w:val="0"/>
        <w:adjustRightInd w:val="0"/>
        <w:spacing w:after="0" w:line="240" w:lineRule="auto"/>
        <w:jc w:val="both"/>
        <w:rPr>
          <w:rFonts w:ascii="Arial" w:eastAsia="Times New Roman" w:hAnsi="Arial" w:cs="Arial"/>
          <w:b/>
          <w:color w:val="000000"/>
          <w:sz w:val="25"/>
          <w:szCs w:val="25"/>
          <w:lang w:eastAsia="es-ES"/>
        </w:rPr>
      </w:pPr>
    </w:p>
    <w:p w:rsidR="00622706" w:rsidRPr="008C4EFF" w:rsidRDefault="00622706" w:rsidP="00622706">
      <w:pPr>
        <w:widowControl w:val="0"/>
        <w:tabs>
          <w:tab w:val="left" w:pos="8749"/>
        </w:tabs>
        <w:jc w:val="both"/>
        <w:rPr>
          <w:rFonts w:ascii="Arial" w:eastAsia="Times New Roman" w:hAnsi="Arial" w:cs="Arial"/>
          <w:b/>
          <w:snapToGrid w:val="0"/>
          <w:sz w:val="25"/>
          <w:szCs w:val="25"/>
          <w:lang w:val="es-ES_tradnl" w:eastAsia="es-ES"/>
        </w:rPr>
      </w:pPr>
      <w:r w:rsidRPr="008C4EFF">
        <w:rPr>
          <w:rFonts w:ascii="Arial" w:eastAsia="Times New Roman" w:hAnsi="Arial" w:cs="Arial"/>
          <w:b/>
          <w:snapToGrid w:val="0"/>
          <w:sz w:val="25"/>
          <w:szCs w:val="25"/>
          <w:lang w:val="es-ES_tradnl" w:eastAsia="es-ES"/>
        </w:rPr>
        <w:t xml:space="preserve">DADO en la Ciudad de Saltillo, Coahuila de Zaragoza, </w:t>
      </w:r>
      <w:r w:rsidRPr="008C4EFF">
        <w:rPr>
          <w:rFonts w:ascii="Arial" w:eastAsia="Times New Roman" w:hAnsi="Arial" w:cs="Arial"/>
          <w:b/>
          <w:snapToGrid w:val="0"/>
          <w:sz w:val="25"/>
          <w:szCs w:val="25"/>
          <w:lang w:val="es-ES" w:eastAsia="es-ES"/>
        </w:rPr>
        <w:t xml:space="preserve">a los nueve días del mes de abril </w:t>
      </w:r>
      <w:r w:rsidRPr="008C4EFF">
        <w:rPr>
          <w:rFonts w:ascii="Arial" w:eastAsia="Times New Roman" w:hAnsi="Arial" w:cs="Arial"/>
          <w:b/>
          <w:snapToGrid w:val="0"/>
          <w:sz w:val="25"/>
          <w:szCs w:val="25"/>
          <w:lang w:val="es-ES_tradnl" w:eastAsia="es-ES"/>
        </w:rPr>
        <w:t>del año dos mil veintiuno.</w:t>
      </w:r>
    </w:p>
    <w:p w:rsidR="00622706" w:rsidRPr="008C4EFF" w:rsidRDefault="00622706" w:rsidP="00622706">
      <w:pPr>
        <w:widowControl w:val="0"/>
        <w:spacing w:after="0" w:line="240" w:lineRule="auto"/>
        <w:jc w:val="both"/>
        <w:rPr>
          <w:rFonts w:ascii="Arial" w:eastAsia="Times New Roman" w:hAnsi="Arial" w:cs="Times New Roman"/>
          <w:b/>
          <w:snapToGrid w:val="0"/>
          <w:sz w:val="25"/>
          <w:szCs w:val="25"/>
          <w:lang w:val="es-ES" w:eastAsia="es-ES"/>
        </w:rPr>
      </w:pPr>
    </w:p>
    <w:p w:rsidR="00622706" w:rsidRPr="008C4EFF" w:rsidRDefault="00622706" w:rsidP="00622706">
      <w:pPr>
        <w:widowControl w:val="0"/>
        <w:spacing w:after="0" w:line="240" w:lineRule="auto"/>
        <w:rPr>
          <w:rFonts w:ascii="Arial" w:eastAsia="Times New Roman" w:hAnsi="Arial" w:cs="Arial"/>
          <w:b/>
          <w:snapToGrid w:val="0"/>
          <w:sz w:val="25"/>
          <w:szCs w:val="25"/>
          <w:lang w:val="es-ES" w:eastAsia="es-ES"/>
        </w:rPr>
      </w:pPr>
    </w:p>
    <w:p w:rsidR="00622706" w:rsidRPr="008C4EFF" w:rsidRDefault="00622706" w:rsidP="00622706">
      <w:pPr>
        <w:spacing w:after="0" w:line="240" w:lineRule="auto"/>
        <w:jc w:val="center"/>
        <w:rPr>
          <w:rFonts w:ascii="Arial" w:eastAsia="Times New Roman" w:hAnsi="Arial" w:cs="Arial"/>
          <w:b/>
          <w:snapToGrid w:val="0"/>
          <w:sz w:val="25"/>
          <w:szCs w:val="25"/>
          <w:lang w:val="es-ES" w:eastAsia="es-ES"/>
        </w:rPr>
      </w:pPr>
      <w:r w:rsidRPr="008C4EFF">
        <w:rPr>
          <w:rFonts w:ascii="Arial" w:eastAsia="Times New Roman" w:hAnsi="Arial" w:cs="Arial"/>
          <w:b/>
          <w:snapToGrid w:val="0"/>
          <w:sz w:val="25"/>
          <w:szCs w:val="25"/>
          <w:lang w:val="es-ES" w:eastAsia="es-ES"/>
        </w:rPr>
        <w:t>DIPUTADA PRESIDENTA</w:t>
      </w:r>
    </w:p>
    <w:p w:rsidR="00622706" w:rsidRPr="008C4EFF" w:rsidRDefault="00622706" w:rsidP="00622706">
      <w:pPr>
        <w:spacing w:after="0" w:line="240" w:lineRule="auto"/>
        <w:jc w:val="center"/>
        <w:rPr>
          <w:rFonts w:ascii="Arial" w:eastAsia="Times New Roman" w:hAnsi="Arial" w:cs="Arial"/>
          <w:b/>
          <w:snapToGrid w:val="0"/>
          <w:sz w:val="25"/>
          <w:szCs w:val="25"/>
          <w:lang w:val="es-ES" w:eastAsia="es-ES"/>
        </w:rPr>
      </w:pPr>
    </w:p>
    <w:p w:rsidR="00622706" w:rsidRPr="008C4EFF" w:rsidRDefault="00622706" w:rsidP="00622706">
      <w:pPr>
        <w:spacing w:after="0" w:line="240" w:lineRule="auto"/>
        <w:jc w:val="center"/>
        <w:rPr>
          <w:rFonts w:ascii="Arial" w:eastAsia="Times New Roman" w:hAnsi="Arial" w:cs="Arial"/>
          <w:b/>
          <w:snapToGrid w:val="0"/>
          <w:sz w:val="25"/>
          <w:szCs w:val="25"/>
          <w:lang w:val="es-ES" w:eastAsia="es-ES"/>
        </w:rPr>
      </w:pPr>
    </w:p>
    <w:p w:rsidR="00622706" w:rsidRPr="008C4EFF" w:rsidRDefault="00622706" w:rsidP="00622706">
      <w:pPr>
        <w:spacing w:after="0" w:line="240" w:lineRule="auto"/>
        <w:jc w:val="center"/>
        <w:rPr>
          <w:rFonts w:ascii="Arial" w:eastAsia="Times New Roman" w:hAnsi="Arial" w:cs="Arial"/>
          <w:b/>
          <w:snapToGrid w:val="0"/>
          <w:sz w:val="25"/>
          <w:szCs w:val="25"/>
          <w:lang w:val="es-ES" w:eastAsia="es-ES"/>
        </w:rPr>
      </w:pPr>
    </w:p>
    <w:p w:rsidR="00622706" w:rsidRPr="008C4EFF" w:rsidRDefault="00622706" w:rsidP="00622706">
      <w:pPr>
        <w:spacing w:after="0" w:line="240" w:lineRule="auto"/>
        <w:jc w:val="center"/>
        <w:rPr>
          <w:rFonts w:ascii="Arial" w:eastAsia="Times New Roman" w:hAnsi="Arial" w:cs="Arial"/>
          <w:b/>
          <w:snapToGrid w:val="0"/>
          <w:sz w:val="25"/>
          <w:szCs w:val="25"/>
          <w:lang w:val="es-ES" w:eastAsia="es-ES"/>
        </w:rPr>
      </w:pPr>
      <w:r w:rsidRPr="008C4EFF">
        <w:rPr>
          <w:rFonts w:ascii="Arial" w:eastAsia="Times New Roman" w:hAnsi="Arial" w:cs="Arial"/>
          <w:b/>
          <w:snapToGrid w:val="0"/>
          <w:sz w:val="25"/>
          <w:szCs w:val="25"/>
          <w:lang w:val="es-ES" w:eastAsia="es-ES"/>
        </w:rPr>
        <w:t xml:space="preserve"> </w:t>
      </w:r>
    </w:p>
    <w:p w:rsidR="00622706" w:rsidRPr="008C4EFF" w:rsidRDefault="00622706" w:rsidP="00622706">
      <w:pPr>
        <w:spacing w:after="0" w:line="240" w:lineRule="auto"/>
        <w:rPr>
          <w:rFonts w:ascii="Arial" w:eastAsia="Times New Roman" w:hAnsi="Arial" w:cs="Arial"/>
          <w:b/>
          <w:snapToGrid w:val="0"/>
          <w:sz w:val="25"/>
          <w:szCs w:val="25"/>
          <w:lang w:val="es-ES" w:eastAsia="es-ES"/>
        </w:rPr>
      </w:pPr>
    </w:p>
    <w:p w:rsidR="00622706" w:rsidRPr="008C4EFF" w:rsidRDefault="00622706" w:rsidP="00622706">
      <w:pPr>
        <w:spacing w:after="0" w:line="240" w:lineRule="auto"/>
        <w:jc w:val="center"/>
        <w:rPr>
          <w:rFonts w:ascii="Arial" w:eastAsia="Times New Roman" w:hAnsi="Arial" w:cs="Arial"/>
          <w:b/>
          <w:sz w:val="25"/>
          <w:szCs w:val="25"/>
          <w:lang w:val="es-ES" w:eastAsia="es-ES"/>
        </w:rPr>
      </w:pPr>
      <w:r w:rsidRPr="008C4EFF">
        <w:rPr>
          <w:rFonts w:ascii="Arial" w:eastAsia="Times New Roman" w:hAnsi="Arial" w:cs="Arial"/>
          <w:b/>
          <w:sz w:val="25"/>
          <w:szCs w:val="25"/>
          <w:lang w:val="es-ES" w:eastAsia="es-ES"/>
        </w:rPr>
        <w:t>MARÍA GUADALUPE OYERVIDES VALDEZ</w:t>
      </w:r>
    </w:p>
    <w:p w:rsidR="00622706" w:rsidRPr="008C4EFF" w:rsidRDefault="00622706" w:rsidP="00622706">
      <w:pPr>
        <w:spacing w:after="0" w:line="240" w:lineRule="auto"/>
        <w:jc w:val="center"/>
        <w:rPr>
          <w:rFonts w:ascii="Arial" w:eastAsia="Times New Roman" w:hAnsi="Arial" w:cs="Arial"/>
          <w:b/>
          <w:snapToGrid w:val="0"/>
          <w:sz w:val="25"/>
          <w:szCs w:val="25"/>
          <w:lang w:val="es-ES" w:eastAsia="es-ES"/>
        </w:rPr>
      </w:pPr>
    </w:p>
    <w:p w:rsidR="00622706" w:rsidRPr="008C4EFF" w:rsidRDefault="00622706" w:rsidP="00622706">
      <w:pPr>
        <w:spacing w:after="0" w:line="240" w:lineRule="auto"/>
        <w:rPr>
          <w:rFonts w:ascii="Arial" w:eastAsia="Times New Roman" w:hAnsi="Arial" w:cs="Arial"/>
          <w:b/>
          <w:snapToGrid w:val="0"/>
          <w:sz w:val="25"/>
          <w:szCs w:val="25"/>
          <w:lang w:val="es-ES" w:eastAsia="es-ES"/>
        </w:rPr>
      </w:pPr>
    </w:p>
    <w:p w:rsidR="00622706" w:rsidRPr="008C4EFF" w:rsidRDefault="00622706" w:rsidP="00622706">
      <w:pPr>
        <w:spacing w:after="0" w:line="240" w:lineRule="auto"/>
        <w:rPr>
          <w:rFonts w:ascii="Arial" w:eastAsia="Times New Roman" w:hAnsi="Arial" w:cs="Arial"/>
          <w:b/>
          <w:snapToGrid w:val="0"/>
          <w:sz w:val="25"/>
          <w:szCs w:val="25"/>
          <w:lang w:val="es-ES" w:eastAsia="es-ES"/>
        </w:rPr>
      </w:pPr>
    </w:p>
    <w:p w:rsidR="00622706" w:rsidRPr="008C4EFF" w:rsidRDefault="00622706" w:rsidP="00622706">
      <w:pPr>
        <w:spacing w:after="0" w:line="240" w:lineRule="auto"/>
        <w:rPr>
          <w:rFonts w:ascii="Arial" w:eastAsia="Times New Roman" w:hAnsi="Arial" w:cs="Arial"/>
          <w:b/>
          <w:snapToGrid w:val="0"/>
          <w:sz w:val="25"/>
          <w:szCs w:val="25"/>
          <w:lang w:val="es-ES" w:eastAsia="es-ES"/>
        </w:rPr>
      </w:pPr>
    </w:p>
    <w:p w:rsidR="00622706" w:rsidRPr="008C4EFF" w:rsidRDefault="00622706" w:rsidP="00622706">
      <w:pPr>
        <w:spacing w:after="0" w:line="240" w:lineRule="auto"/>
        <w:rPr>
          <w:rFonts w:ascii="Times New Roman" w:eastAsia="Times New Roman" w:hAnsi="Times New Roman" w:cs="Times New Roman"/>
          <w:sz w:val="25"/>
          <w:szCs w:val="25"/>
          <w:lang w:val="es-ES" w:eastAsia="es-ES"/>
        </w:rPr>
      </w:pPr>
    </w:p>
    <w:p w:rsidR="00622706" w:rsidRPr="008C4EFF" w:rsidRDefault="008C4EFF" w:rsidP="00622706">
      <w:pPr>
        <w:spacing w:after="0" w:line="240" w:lineRule="auto"/>
        <w:rPr>
          <w:rFonts w:ascii="Arial" w:eastAsia="Times New Roman" w:hAnsi="Arial" w:cs="Arial"/>
          <w:b/>
          <w:snapToGrid w:val="0"/>
          <w:sz w:val="25"/>
          <w:szCs w:val="25"/>
          <w:lang w:val="es-ES_tradnl" w:eastAsia="es-ES"/>
        </w:rPr>
      </w:pPr>
      <w:r>
        <w:rPr>
          <w:rFonts w:ascii="Arial" w:eastAsia="Times New Roman" w:hAnsi="Arial" w:cs="Arial"/>
          <w:b/>
          <w:snapToGrid w:val="0"/>
          <w:sz w:val="25"/>
          <w:szCs w:val="25"/>
          <w:lang w:val="es-ES_tradnl" w:eastAsia="es-ES"/>
        </w:rPr>
        <w:t xml:space="preserve">        </w:t>
      </w:r>
      <w:r w:rsidR="00622706" w:rsidRPr="008C4EFF">
        <w:rPr>
          <w:rFonts w:ascii="Arial" w:eastAsia="Times New Roman" w:hAnsi="Arial" w:cs="Arial"/>
          <w:b/>
          <w:snapToGrid w:val="0"/>
          <w:sz w:val="25"/>
          <w:szCs w:val="25"/>
          <w:lang w:val="es-ES_tradnl" w:eastAsia="es-ES"/>
        </w:rPr>
        <w:t xml:space="preserve">DIPUTADA SECRETARIA             </w:t>
      </w:r>
      <w:r>
        <w:rPr>
          <w:rFonts w:ascii="Arial" w:eastAsia="Times New Roman" w:hAnsi="Arial" w:cs="Arial"/>
          <w:b/>
          <w:snapToGrid w:val="0"/>
          <w:sz w:val="25"/>
          <w:szCs w:val="25"/>
          <w:lang w:val="es-ES_tradnl" w:eastAsia="es-ES"/>
        </w:rPr>
        <w:t xml:space="preserve">                            </w:t>
      </w:r>
      <w:r w:rsidR="00622706" w:rsidRPr="008C4EFF">
        <w:rPr>
          <w:rFonts w:ascii="Arial" w:eastAsia="Times New Roman" w:hAnsi="Arial" w:cs="Arial"/>
          <w:b/>
          <w:snapToGrid w:val="0"/>
          <w:sz w:val="25"/>
          <w:szCs w:val="25"/>
          <w:lang w:val="es-ES_tradnl" w:eastAsia="es-ES"/>
        </w:rPr>
        <w:t>DIPUTADA SECRETARIA</w:t>
      </w:r>
    </w:p>
    <w:p w:rsidR="00622706" w:rsidRPr="008C4EFF" w:rsidRDefault="00622706" w:rsidP="00622706">
      <w:pPr>
        <w:spacing w:after="0" w:line="240" w:lineRule="auto"/>
        <w:rPr>
          <w:rFonts w:ascii="Arial" w:eastAsia="Times New Roman" w:hAnsi="Arial" w:cs="Arial"/>
          <w:b/>
          <w:snapToGrid w:val="0"/>
          <w:sz w:val="25"/>
          <w:szCs w:val="25"/>
          <w:lang w:val="es-ES_tradnl" w:eastAsia="es-ES"/>
        </w:rPr>
      </w:pPr>
    </w:p>
    <w:p w:rsidR="00622706" w:rsidRPr="008C4EFF" w:rsidRDefault="00622706" w:rsidP="00622706">
      <w:pPr>
        <w:spacing w:after="0" w:line="240" w:lineRule="auto"/>
        <w:rPr>
          <w:rFonts w:ascii="Arial" w:eastAsia="Times New Roman" w:hAnsi="Arial" w:cs="Arial"/>
          <w:b/>
          <w:snapToGrid w:val="0"/>
          <w:sz w:val="25"/>
          <w:szCs w:val="25"/>
          <w:lang w:val="es-ES_tradnl" w:eastAsia="es-ES"/>
        </w:rPr>
      </w:pPr>
      <w:bookmarkStart w:id="0" w:name="_GoBack"/>
      <w:bookmarkEnd w:id="0"/>
    </w:p>
    <w:p w:rsidR="00622706" w:rsidRPr="008C4EFF" w:rsidRDefault="00622706" w:rsidP="00622706">
      <w:pPr>
        <w:spacing w:after="0" w:line="240" w:lineRule="auto"/>
        <w:rPr>
          <w:rFonts w:ascii="Arial" w:eastAsia="Times New Roman" w:hAnsi="Arial" w:cs="Arial"/>
          <w:b/>
          <w:snapToGrid w:val="0"/>
          <w:sz w:val="25"/>
          <w:szCs w:val="25"/>
          <w:lang w:val="es-ES_tradnl" w:eastAsia="es-ES"/>
        </w:rPr>
      </w:pPr>
    </w:p>
    <w:p w:rsidR="00622706" w:rsidRPr="008C4EFF" w:rsidRDefault="00622706" w:rsidP="00622706">
      <w:pPr>
        <w:spacing w:after="0" w:line="240" w:lineRule="auto"/>
        <w:rPr>
          <w:rFonts w:ascii="Arial" w:eastAsia="Times New Roman" w:hAnsi="Arial" w:cs="Arial"/>
          <w:b/>
          <w:snapToGrid w:val="0"/>
          <w:sz w:val="25"/>
          <w:szCs w:val="25"/>
          <w:lang w:val="es-ES_tradnl" w:eastAsia="es-ES"/>
        </w:rPr>
      </w:pPr>
    </w:p>
    <w:p w:rsidR="00622706" w:rsidRPr="008C4EFF" w:rsidRDefault="00622706" w:rsidP="00622706">
      <w:pPr>
        <w:spacing w:after="0" w:line="240" w:lineRule="auto"/>
        <w:rPr>
          <w:rFonts w:ascii="Arial" w:eastAsia="Times New Roman" w:hAnsi="Arial" w:cs="Arial"/>
          <w:b/>
          <w:snapToGrid w:val="0"/>
          <w:sz w:val="25"/>
          <w:szCs w:val="25"/>
          <w:lang w:val="es-ES_tradnl" w:eastAsia="es-ES"/>
        </w:rPr>
      </w:pPr>
    </w:p>
    <w:p w:rsidR="00622706" w:rsidRPr="008C4EFF" w:rsidRDefault="008C4EFF" w:rsidP="00622706">
      <w:pPr>
        <w:spacing w:after="0" w:line="240" w:lineRule="auto"/>
        <w:rPr>
          <w:rFonts w:ascii="Arial" w:eastAsia="Times New Roman" w:hAnsi="Arial" w:cs="Arial"/>
          <w:b/>
          <w:snapToGrid w:val="0"/>
          <w:sz w:val="25"/>
          <w:szCs w:val="25"/>
          <w:lang w:val="es-ES_tradnl" w:eastAsia="es-ES"/>
        </w:rPr>
      </w:pPr>
      <w:r>
        <w:rPr>
          <w:rFonts w:ascii="Arial" w:eastAsia="Times New Roman" w:hAnsi="Arial" w:cs="Arial"/>
          <w:b/>
          <w:snapToGrid w:val="0"/>
          <w:sz w:val="25"/>
          <w:szCs w:val="25"/>
          <w:lang w:val="es-ES_tradnl" w:eastAsia="es-ES"/>
        </w:rPr>
        <w:t xml:space="preserve">    </w:t>
      </w:r>
      <w:r w:rsidR="00622706" w:rsidRPr="008C4EFF">
        <w:rPr>
          <w:rFonts w:ascii="Arial" w:eastAsia="Times New Roman" w:hAnsi="Arial" w:cs="Arial"/>
          <w:b/>
          <w:snapToGrid w:val="0"/>
          <w:sz w:val="25"/>
          <w:szCs w:val="25"/>
          <w:lang w:val="es-ES_tradnl" w:eastAsia="es-ES"/>
        </w:rPr>
        <w:t xml:space="preserve">MARTHA LOERA ARÁMBULA    </w:t>
      </w:r>
      <w:r>
        <w:rPr>
          <w:rFonts w:ascii="Arial" w:eastAsia="Times New Roman" w:hAnsi="Arial" w:cs="Arial"/>
          <w:b/>
          <w:snapToGrid w:val="0"/>
          <w:sz w:val="25"/>
          <w:szCs w:val="25"/>
          <w:lang w:val="es-ES_tradnl" w:eastAsia="es-ES"/>
        </w:rPr>
        <w:t xml:space="preserve">                             </w:t>
      </w:r>
      <w:r w:rsidR="00622706" w:rsidRPr="008C4EFF">
        <w:rPr>
          <w:rFonts w:ascii="Arial" w:eastAsia="Times New Roman" w:hAnsi="Arial" w:cs="Arial"/>
          <w:b/>
          <w:snapToGrid w:val="0"/>
          <w:sz w:val="25"/>
          <w:szCs w:val="25"/>
          <w:lang w:val="es-ES_tradnl" w:eastAsia="es-ES"/>
        </w:rPr>
        <w:t>YOLANDA ELIZONDO MALTOS</w:t>
      </w:r>
    </w:p>
    <w:p w:rsidR="00622706" w:rsidRPr="008C4EFF" w:rsidRDefault="00622706" w:rsidP="00622706">
      <w:pPr>
        <w:spacing w:after="0" w:line="240" w:lineRule="auto"/>
        <w:rPr>
          <w:sz w:val="25"/>
          <w:szCs w:val="25"/>
        </w:rPr>
      </w:pPr>
    </w:p>
    <w:p w:rsidR="00622706" w:rsidRPr="008C4EFF" w:rsidRDefault="00622706" w:rsidP="00622706">
      <w:pPr>
        <w:spacing w:after="0" w:line="240" w:lineRule="auto"/>
        <w:rPr>
          <w:sz w:val="25"/>
          <w:szCs w:val="25"/>
        </w:rPr>
      </w:pPr>
    </w:p>
    <w:p w:rsidR="00622706" w:rsidRPr="008C4EFF" w:rsidRDefault="00622706" w:rsidP="00622706">
      <w:pPr>
        <w:spacing w:after="0" w:line="240" w:lineRule="auto"/>
        <w:rPr>
          <w:sz w:val="25"/>
          <w:szCs w:val="25"/>
        </w:rPr>
      </w:pPr>
    </w:p>
    <w:sectPr w:rsidR="00622706" w:rsidRPr="008C4EFF" w:rsidSect="0003195D">
      <w:headerReference w:type="default" r:id="rId7"/>
      <w:pgSz w:w="12242" w:h="15842" w:code="1"/>
      <w:pgMar w:top="2552"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4380" w:rsidRDefault="00164380" w:rsidP="00247945">
      <w:pPr>
        <w:spacing w:after="0" w:line="240" w:lineRule="auto"/>
      </w:pPr>
      <w:r>
        <w:separator/>
      </w:r>
    </w:p>
  </w:endnote>
  <w:endnote w:type="continuationSeparator" w:id="0">
    <w:p w:rsidR="00164380" w:rsidRDefault="00164380" w:rsidP="002479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4380" w:rsidRDefault="00164380" w:rsidP="00247945">
      <w:pPr>
        <w:spacing w:after="0" w:line="240" w:lineRule="auto"/>
      </w:pPr>
      <w:r>
        <w:separator/>
      </w:r>
    </w:p>
  </w:footnote>
  <w:footnote w:type="continuationSeparator" w:id="0">
    <w:p w:rsidR="00164380" w:rsidRDefault="00164380" w:rsidP="002479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8665"/>
      <w:gridCol w:w="851"/>
    </w:tblGrid>
    <w:tr w:rsidR="00247945" w:rsidRPr="00247945" w:rsidTr="005F191D">
      <w:trPr>
        <w:jc w:val="center"/>
      </w:trPr>
      <w:tc>
        <w:tcPr>
          <w:tcW w:w="1541" w:type="dxa"/>
        </w:tcPr>
        <w:p w:rsidR="00247945" w:rsidRPr="00247945" w:rsidRDefault="00247945" w:rsidP="00247945">
          <w:pPr>
            <w:spacing w:after="0" w:line="240" w:lineRule="auto"/>
            <w:jc w:val="center"/>
            <w:rPr>
              <w:rFonts w:ascii="Arial" w:eastAsia="Times New Roman" w:hAnsi="Arial" w:cs="Times New Roman"/>
              <w:b/>
              <w:bCs/>
              <w:sz w:val="12"/>
              <w:szCs w:val="20"/>
              <w:lang w:eastAsia="es-ES"/>
            </w:rPr>
          </w:pPr>
          <w:r w:rsidRPr="00247945">
            <w:rPr>
              <w:rFonts w:ascii="Times New Roman" w:eastAsia="Times New Roman" w:hAnsi="Times New Roman" w:cs="Arial"/>
              <w:bCs/>
              <w:smallCaps/>
              <w:noProof/>
              <w:spacing w:val="20"/>
              <w:sz w:val="32"/>
              <w:szCs w:val="32"/>
              <w:lang w:eastAsia="es-MX"/>
            </w:rPr>
            <w:drawing>
              <wp:anchor distT="0" distB="0" distL="114300" distR="114300" simplePos="0" relativeHeight="251659264" behindDoc="0" locked="0" layoutInCell="1" allowOverlap="1" wp14:anchorId="2CC6EBA3" wp14:editId="664A8B01">
                <wp:simplePos x="0" y="0"/>
                <wp:positionH relativeFrom="column">
                  <wp:posOffset>-41275</wp:posOffset>
                </wp:positionH>
                <wp:positionV relativeFrom="paragraph">
                  <wp:posOffset>108585</wp:posOffset>
                </wp:positionV>
                <wp:extent cx="902335" cy="886460"/>
                <wp:effectExtent l="0" t="0" r="0" b="8890"/>
                <wp:wrapNone/>
                <wp:docPr id="1" name="Imagen 1"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47945" w:rsidRPr="00247945" w:rsidRDefault="00247945" w:rsidP="00247945">
          <w:pPr>
            <w:spacing w:after="0" w:line="240" w:lineRule="auto"/>
            <w:jc w:val="center"/>
            <w:rPr>
              <w:rFonts w:ascii="Arial" w:eastAsia="Times New Roman" w:hAnsi="Arial" w:cs="Times New Roman"/>
              <w:b/>
              <w:bCs/>
              <w:sz w:val="12"/>
              <w:szCs w:val="20"/>
              <w:lang w:eastAsia="es-ES"/>
            </w:rPr>
          </w:pPr>
        </w:p>
        <w:p w:rsidR="00247945" w:rsidRPr="00247945" w:rsidRDefault="00247945" w:rsidP="00247945">
          <w:pPr>
            <w:spacing w:after="0" w:line="240" w:lineRule="auto"/>
            <w:jc w:val="center"/>
            <w:rPr>
              <w:rFonts w:ascii="Arial" w:eastAsia="Times New Roman" w:hAnsi="Arial" w:cs="Times New Roman"/>
              <w:b/>
              <w:bCs/>
              <w:sz w:val="12"/>
              <w:szCs w:val="20"/>
              <w:lang w:eastAsia="es-ES"/>
            </w:rPr>
          </w:pPr>
        </w:p>
      </w:tc>
      <w:tc>
        <w:tcPr>
          <w:tcW w:w="8665" w:type="dxa"/>
        </w:tcPr>
        <w:p w:rsidR="00247945" w:rsidRPr="00247945" w:rsidRDefault="00247945" w:rsidP="00247945">
          <w:pPr>
            <w:spacing w:after="0" w:line="240" w:lineRule="auto"/>
            <w:jc w:val="center"/>
            <w:rPr>
              <w:rFonts w:ascii="Arial" w:eastAsia="Times New Roman" w:hAnsi="Arial" w:cs="Times New Roman"/>
              <w:b/>
              <w:bCs/>
              <w:sz w:val="20"/>
              <w:szCs w:val="20"/>
              <w:lang w:eastAsia="es-ES"/>
            </w:rPr>
          </w:pPr>
        </w:p>
        <w:p w:rsidR="00247945" w:rsidRPr="00247945" w:rsidRDefault="00247945" w:rsidP="00247945">
          <w:pPr>
            <w:tabs>
              <w:tab w:val="center" w:pos="4252"/>
              <w:tab w:val="right" w:pos="8504"/>
            </w:tabs>
            <w:spacing w:after="0" w:line="240" w:lineRule="auto"/>
            <w:jc w:val="center"/>
            <w:rPr>
              <w:rFonts w:ascii="Times New Roman" w:eastAsia="Times New Roman" w:hAnsi="Times New Roman" w:cs="Times New Roman"/>
              <w:smallCaps/>
              <w:spacing w:val="20"/>
              <w:sz w:val="32"/>
              <w:szCs w:val="32"/>
              <w:lang w:eastAsia="es-ES"/>
            </w:rPr>
          </w:pPr>
          <w:r w:rsidRPr="00247945">
            <w:rPr>
              <w:rFonts w:ascii="Times New Roman" w:eastAsia="Times New Roman" w:hAnsi="Times New Roman" w:cs="Times New Roman"/>
              <w:smallCaps/>
              <w:spacing w:val="20"/>
              <w:sz w:val="32"/>
              <w:szCs w:val="32"/>
              <w:lang w:eastAsia="es-ES"/>
            </w:rPr>
            <w:t xml:space="preserve">Estado Independiente, Libre y Soberano </w:t>
          </w:r>
        </w:p>
        <w:p w:rsidR="00247945" w:rsidRPr="00247945" w:rsidRDefault="00247945" w:rsidP="00247945">
          <w:pPr>
            <w:tabs>
              <w:tab w:val="center" w:pos="4252"/>
              <w:tab w:val="right" w:pos="8504"/>
            </w:tabs>
            <w:spacing w:after="0" w:line="240" w:lineRule="auto"/>
            <w:jc w:val="center"/>
            <w:rPr>
              <w:rFonts w:ascii="Times New Roman" w:eastAsia="Times New Roman" w:hAnsi="Times New Roman" w:cs="Times New Roman"/>
              <w:smallCaps/>
              <w:spacing w:val="20"/>
              <w:sz w:val="32"/>
              <w:szCs w:val="32"/>
              <w:lang w:eastAsia="es-ES"/>
            </w:rPr>
          </w:pPr>
          <w:r w:rsidRPr="00247945">
            <w:rPr>
              <w:rFonts w:ascii="Times New Roman" w:eastAsia="Times New Roman" w:hAnsi="Times New Roman" w:cs="Times New Roman"/>
              <w:smallCaps/>
              <w:spacing w:val="20"/>
              <w:sz w:val="32"/>
              <w:szCs w:val="32"/>
              <w:lang w:eastAsia="es-ES"/>
            </w:rPr>
            <w:t>de Coahuila de Zaragoza</w:t>
          </w:r>
        </w:p>
        <w:p w:rsidR="00247945" w:rsidRPr="00247945" w:rsidRDefault="00247945" w:rsidP="00247945">
          <w:pPr>
            <w:tabs>
              <w:tab w:val="center" w:pos="4252"/>
              <w:tab w:val="right" w:pos="8504"/>
            </w:tabs>
            <w:spacing w:after="0" w:line="240" w:lineRule="auto"/>
            <w:jc w:val="center"/>
            <w:rPr>
              <w:rFonts w:ascii="Times New Roman" w:eastAsia="Times New Roman" w:hAnsi="Times New Roman" w:cs="Times New Roman"/>
              <w:smallCaps/>
              <w:spacing w:val="20"/>
              <w:sz w:val="20"/>
              <w:szCs w:val="20"/>
              <w:lang w:eastAsia="es-ES"/>
            </w:rPr>
          </w:pPr>
        </w:p>
        <w:p w:rsidR="00247945" w:rsidRPr="00247945" w:rsidRDefault="00247945" w:rsidP="00247945">
          <w:pPr>
            <w:tabs>
              <w:tab w:val="center" w:pos="4252"/>
              <w:tab w:val="right" w:pos="8504"/>
            </w:tabs>
            <w:spacing w:after="0" w:line="240" w:lineRule="auto"/>
            <w:jc w:val="center"/>
            <w:rPr>
              <w:rFonts w:ascii="Times New Roman" w:eastAsia="Times New Roman" w:hAnsi="Times New Roman" w:cs="Times New Roman"/>
              <w:smallCaps/>
              <w:spacing w:val="20"/>
              <w:sz w:val="28"/>
              <w:szCs w:val="28"/>
              <w:lang w:eastAsia="es-ES"/>
            </w:rPr>
          </w:pPr>
          <w:r w:rsidRPr="00247945">
            <w:rPr>
              <w:rFonts w:ascii="Times New Roman" w:eastAsia="Times New Roman" w:hAnsi="Times New Roman" w:cs="Times New Roman"/>
              <w:smallCaps/>
              <w:spacing w:val="20"/>
              <w:sz w:val="28"/>
              <w:szCs w:val="28"/>
              <w:lang w:eastAsia="es-ES"/>
            </w:rPr>
            <w:t>Poder Legislativo</w:t>
          </w:r>
        </w:p>
        <w:p w:rsidR="00247945" w:rsidRPr="00247945" w:rsidRDefault="00247945" w:rsidP="00247945">
          <w:pPr>
            <w:tabs>
              <w:tab w:val="center" w:pos="4252"/>
              <w:tab w:val="left" w:pos="5040"/>
              <w:tab w:val="right" w:pos="8504"/>
            </w:tabs>
            <w:spacing w:after="0" w:line="240" w:lineRule="auto"/>
            <w:ind w:right="-93"/>
            <w:jc w:val="center"/>
            <w:rPr>
              <w:rFonts w:ascii="Arial" w:eastAsia="Times New Roman" w:hAnsi="Arial" w:cs="Times New Roman"/>
              <w:b/>
              <w:bCs/>
              <w:sz w:val="16"/>
              <w:szCs w:val="20"/>
              <w:lang w:eastAsia="es-ES"/>
            </w:rPr>
          </w:pPr>
        </w:p>
        <w:p w:rsidR="00247945" w:rsidRPr="00247945" w:rsidRDefault="00247945" w:rsidP="00247945">
          <w:pPr>
            <w:tabs>
              <w:tab w:val="center" w:pos="4252"/>
              <w:tab w:val="left" w:pos="5040"/>
              <w:tab w:val="right" w:pos="8504"/>
            </w:tabs>
            <w:spacing w:after="0" w:line="240" w:lineRule="auto"/>
            <w:ind w:right="-93"/>
            <w:jc w:val="center"/>
            <w:rPr>
              <w:rFonts w:ascii="Arial" w:eastAsia="Times New Roman" w:hAnsi="Arial" w:cs="Times New Roman"/>
              <w:bCs/>
              <w:sz w:val="12"/>
              <w:szCs w:val="20"/>
              <w:lang w:eastAsia="es-ES"/>
            </w:rPr>
          </w:pPr>
          <w:r w:rsidRPr="00247945">
            <w:rPr>
              <w:rFonts w:ascii="Arial" w:eastAsia="Times New Roman" w:hAnsi="Arial" w:cs="Times New Roman"/>
              <w:bCs/>
              <w:sz w:val="18"/>
              <w:szCs w:val="20"/>
              <w:lang w:eastAsia="es-ES"/>
            </w:rPr>
            <w:t>“2021, Año del reconocimiento al trabajo del personal de salud por su lucha contra el COVID-19”</w:t>
          </w:r>
        </w:p>
      </w:tc>
      <w:tc>
        <w:tcPr>
          <w:tcW w:w="851" w:type="dxa"/>
        </w:tcPr>
        <w:p w:rsidR="00247945" w:rsidRPr="00247945" w:rsidRDefault="00247945" w:rsidP="00247945">
          <w:pPr>
            <w:spacing w:after="0" w:line="240" w:lineRule="auto"/>
            <w:jc w:val="center"/>
            <w:rPr>
              <w:rFonts w:ascii="Arial" w:eastAsia="Times New Roman" w:hAnsi="Arial" w:cs="Times New Roman"/>
              <w:b/>
              <w:bCs/>
              <w:sz w:val="12"/>
              <w:szCs w:val="20"/>
              <w:lang w:eastAsia="es-ES"/>
            </w:rPr>
          </w:pPr>
        </w:p>
      </w:tc>
    </w:tr>
  </w:tbl>
  <w:p w:rsidR="00247945" w:rsidRDefault="00247945">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C174E1"/>
    <w:multiLevelType w:val="hybridMultilevel"/>
    <w:tmpl w:val="6A56FEE0"/>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706"/>
    <w:rsid w:val="000653EC"/>
    <w:rsid w:val="00124E28"/>
    <w:rsid w:val="00164380"/>
    <w:rsid w:val="00247945"/>
    <w:rsid w:val="00251C26"/>
    <w:rsid w:val="003C011F"/>
    <w:rsid w:val="004562E7"/>
    <w:rsid w:val="00622706"/>
    <w:rsid w:val="006E24C4"/>
    <w:rsid w:val="0071282E"/>
    <w:rsid w:val="008C4EFF"/>
    <w:rsid w:val="00CD3AD1"/>
    <w:rsid w:val="00DA49D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D5296A-4D6C-401B-9AF5-3D5C0C2B0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270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4794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7945"/>
  </w:style>
  <w:style w:type="paragraph" w:styleId="Piedepgina">
    <w:name w:val="footer"/>
    <w:basedOn w:val="Normal"/>
    <w:link w:val="PiedepginaCar"/>
    <w:uiPriority w:val="99"/>
    <w:unhideWhenUsed/>
    <w:rsid w:val="0024794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79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503</Words>
  <Characters>2772</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Juan Lumbreras</cp:lastModifiedBy>
  <cp:revision>5</cp:revision>
  <cp:lastPrinted>2021-04-09T17:21:00Z</cp:lastPrinted>
  <dcterms:created xsi:type="dcterms:W3CDTF">2021-04-09T17:21:00Z</dcterms:created>
  <dcterms:modified xsi:type="dcterms:W3CDTF">2021-04-09T17:22:00Z</dcterms:modified>
</cp:coreProperties>
</file>