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  <w:r w:rsidRPr="00386514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>QUE EL CONGRESO DEL ESTADO INDEPENDIENTE, LIBRE Y SOBERANO DE COAHUILA DE ZARAGOZA;</w:t>
      </w: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  <w:r w:rsidRPr="00386514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DECRETA: </w:t>
      </w:r>
    </w:p>
    <w:p w:rsidR="00327858" w:rsidRPr="00386514" w:rsidRDefault="00327858" w:rsidP="0032785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  <w:r w:rsidRPr="00386514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NÚMERO 251.- </w:t>
      </w:r>
    </w:p>
    <w:p w:rsidR="00327858" w:rsidRPr="00386514" w:rsidRDefault="00327858" w:rsidP="0032785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86514" w:rsidRPr="00386514" w:rsidRDefault="00386514" w:rsidP="0032785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Calibri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Times New Roman"/>
          <w:b/>
          <w:sz w:val="23"/>
          <w:szCs w:val="23"/>
          <w:lang w:eastAsia="es-ES"/>
        </w:rPr>
        <w:t>ARTÍCULO PRIMERO.</w:t>
      </w:r>
      <w:r>
        <w:rPr>
          <w:rFonts w:ascii="Arial" w:eastAsia="Times New Roman" w:hAnsi="Arial" w:cs="Times New Roman"/>
          <w:b/>
          <w:sz w:val="23"/>
          <w:szCs w:val="23"/>
          <w:lang w:eastAsia="es-ES"/>
        </w:rPr>
        <w:t>-</w:t>
      </w:r>
      <w:r w:rsidRPr="00386514">
        <w:rPr>
          <w:rFonts w:ascii="Arial" w:eastAsia="Times New Roman" w:hAnsi="Arial" w:cs="Times New Roman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Times New Roman"/>
          <w:sz w:val="23"/>
          <w:szCs w:val="23"/>
          <w:lang w:eastAsia="es-ES"/>
        </w:rPr>
        <w:t>Se valida el acuerdo a</w:t>
      </w:r>
      <w:bookmarkStart w:id="0" w:name="_GoBack"/>
      <w:bookmarkEnd w:id="0"/>
      <w:r w:rsidRPr="00386514">
        <w:rPr>
          <w:rFonts w:ascii="Arial" w:eastAsia="Times New Roman" w:hAnsi="Arial" w:cs="Times New Roman"/>
          <w:sz w:val="23"/>
          <w:szCs w:val="23"/>
          <w:lang w:eastAsia="es-ES"/>
        </w:rPr>
        <w:t xml:space="preserve">probado por el R. Ayuntamiento de Morelos, Coahuila de Zaragoza, </w:t>
      </w:r>
      <w:r w:rsidRPr="00386514">
        <w:rPr>
          <w:rFonts w:ascii="Arial" w:eastAsia="Calibri" w:hAnsi="Arial" w:cs="Times New Roman"/>
          <w:snapToGrid w:val="0"/>
          <w:sz w:val="23"/>
          <w:szCs w:val="23"/>
          <w:lang w:eastAsia="es-ES"/>
        </w:rPr>
        <w:t xml:space="preserve">para </w:t>
      </w:r>
      <w:r w:rsidRPr="00386514">
        <w:rPr>
          <w:rFonts w:ascii="Arial" w:eastAsia="Tahoma-Bold" w:hAnsi="Arial" w:cs="Calibri"/>
          <w:bCs/>
          <w:sz w:val="23"/>
          <w:szCs w:val="23"/>
          <w:lang w:eastAsia="es-ES"/>
        </w:rPr>
        <w:t xml:space="preserve">enajenar a título gratuito </w:t>
      </w:r>
      <w:r w:rsidRPr="00386514">
        <w:rPr>
          <w:rFonts w:ascii="Arial" w:eastAsia="Tahoma-Bold" w:hAnsi="Arial" w:cs="Calibri"/>
          <w:bCs/>
          <w:sz w:val="23"/>
          <w:szCs w:val="23"/>
          <w:lang w:val="es-419" w:eastAsia="es-ES"/>
        </w:rPr>
        <w:t>21 lotes de terreno con una superficie de 4,132.22</w:t>
      </w:r>
      <w:r w:rsidRPr="00386514">
        <w:rPr>
          <w:rFonts w:ascii="Arial" w:eastAsia="Times New Roman" w:hAnsi="Arial" w:cs="Calibri"/>
          <w:sz w:val="23"/>
          <w:szCs w:val="23"/>
          <w:lang w:eastAsia="es-ES"/>
        </w:rPr>
        <w:t xml:space="preserve"> M2., </w:t>
      </w:r>
      <w:r w:rsidRPr="00386514">
        <w:rPr>
          <w:rFonts w:ascii="Arial" w:eastAsia="Times New Roman" w:hAnsi="Arial" w:cs="Calibri"/>
          <w:sz w:val="23"/>
          <w:szCs w:val="23"/>
          <w:lang w:val="es-419" w:eastAsia="es-ES"/>
        </w:rPr>
        <w:t>ubicados en la colonia</w:t>
      </w:r>
      <w:r w:rsidRPr="00386514">
        <w:rPr>
          <w:rFonts w:ascii="Arial" w:eastAsia="Times New Roman" w:hAnsi="Arial" w:cs="Calibri"/>
          <w:sz w:val="23"/>
          <w:szCs w:val="23"/>
          <w:lang w:eastAsia="es-ES"/>
        </w:rPr>
        <w:t xml:space="preserve"> “</w:t>
      </w:r>
      <w:r w:rsidRPr="00386514">
        <w:rPr>
          <w:rFonts w:ascii="Arial" w:eastAsia="Times New Roman" w:hAnsi="Arial" w:cs="Calibri"/>
          <w:sz w:val="23"/>
          <w:szCs w:val="23"/>
          <w:lang w:val="es-419" w:eastAsia="es-ES"/>
        </w:rPr>
        <w:t>Abelardo Galindo</w:t>
      </w:r>
      <w:r w:rsidRPr="00386514">
        <w:rPr>
          <w:rFonts w:ascii="Arial" w:eastAsia="Times New Roman" w:hAnsi="Arial" w:cs="Calibri"/>
          <w:sz w:val="23"/>
          <w:szCs w:val="23"/>
          <w:lang w:eastAsia="es-ES"/>
        </w:rPr>
        <w:t>” ubicado en dicho municipio, a favor de sus actuales poseedores, e</w:t>
      </w:r>
      <w:r w:rsidRPr="00386514">
        <w:rPr>
          <w:rFonts w:ascii="Arial" w:eastAsia="Times New Roman" w:hAnsi="Arial" w:cs="Calibri"/>
          <w:sz w:val="23"/>
          <w:szCs w:val="23"/>
          <w:lang w:val="es-419" w:eastAsia="es-ES"/>
        </w:rPr>
        <w:t>n</w:t>
      </w:r>
      <w:r w:rsidRPr="00386514">
        <w:rPr>
          <w:rFonts w:ascii="Arial" w:eastAsia="Times New Roman" w:hAnsi="Arial" w:cs="Calibri"/>
          <w:sz w:val="23"/>
          <w:szCs w:val="23"/>
          <w:lang w:eastAsia="es-ES"/>
        </w:rPr>
        <w:t xml:space="preserve"> virtud que el Decreto 36 publicado en el Periódico Oficial del Gobierno del Estado de fecha 17 de abril de 2015, en el cual se autorizó esta operación </w:t>
      </w:r>
      <w:r w:rsidRPr="00386514">
        <w:rPr>
          <w:rFonts w:ascii="Arial" w:eastAsia="Times New Roman" w:hAnsi="Arial" w:cs="Calibri"/>
          <w:sz w:val="23"/>
          <w:szCs w:val="23"/>
          <w:lang w:val="es-419" w:eastAsia="es-ES"/>
        </w:rPr>
        <w:t>anteriormente, quedo sin vigencia.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Calibri"/>
          <w:sz w:val="23"/>
          <w:szCs w:val="23"/>
          <w:lang w:val="es-419"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La superficie total de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4,132.22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M2.,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se conforman de 21 lotes que se describen a continuación: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1.-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1 de la Manzana 1, con una superficie de 209.00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calle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Pipila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área municipal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propiedad privada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19070.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2.-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3 de la Manzana 1, con una superficie de 209.00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calle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Pipila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área municipal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lastRenderedPageBreak/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4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highlight w:val="yellow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19074.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3.-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6 de la Manzana 1, con una superficie de 209.00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calle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Pipila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Lotes 9 y 11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7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Lote5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19076.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4.-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9 de la Manzana 1, con una superficie de 178.52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 xml:space="preserve">mide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12.50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Lotes 6 y 7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2.50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privada Profr. Hermiro Jiménez.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4.40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4.20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19077.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5.-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1 de la Manzana 2, con una superficie de 208.38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calle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Pipila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9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calle General Cepeda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2949.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6.-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6 de la Manzana 2, con una superficie de 199.79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calle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Pipila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Lotes 13 y 14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 xml:space="preserve">mide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18.05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7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8.37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5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2995.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7.-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12 de la Manzana 2, con una superficie de 199.92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 xml:space="preserve">mide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12.50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Lotes 4 y 5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2.50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privada Profr. Hermiro Jiménez.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6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13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6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2994.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8.-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13 de la Manzana 2, con una superficie de 200.97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 xml:space="preserve">mide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12.50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Lotes 5 y 6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2.50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privada Profr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 Hermiro Jiménez.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6.17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14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6.00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2993.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9.-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3 de la Manzana 3, con una superficie de 187.23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calle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Pipila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Lotes 13 y 14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6.92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4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7.20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2928.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10.-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4 de la Manzana 3, con una superficie de 184.20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calle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Pipila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Lotes 14 y 15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 xml:space="preserve">mide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16.65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5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6.92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3.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2981.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11.-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6 de la Manzana 3, con una superficie de 183.44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calle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Pipila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Lotes 16 y 17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6.72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7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7.68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5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2900.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b/>
          <w:sz w:val="23"/>
          <w:szCs w:val="23"/>
          <w:lang w:val="es-419" w:eastAsia="es-ES"/>
        </w:rPr>
      </w:pPr>
    </w:p>
    <w:p w:rsid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b/>
          <w:sz w:val="23"/>
          <w:szCs w:val="23"/>
          <w:lang w:val="es-419"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12.-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7 de la Manzana 3, con una superficie de 184.59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calle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Pipila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Lotes 17 y 18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6.88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8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7.72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6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2906.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13.-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16 de la Manzana 3, con una superficie de 191.98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5 y 6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privada Profr. Hermiro Jiménez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9.30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17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9.12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15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3060.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14.-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19 de la Manzana 3, con una superficie de 192.97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Lotes 8 y 9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privada Profr. Hermiro Jiménez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9.31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20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9.30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18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2983.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15.-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21 de la Manzana 3, con una superficie de 192.12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privada Profr. Hermiro Jiménez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9.23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calle Prol. Manuel Acuña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9.21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20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2988.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16.-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7 de la Manzana 4, con una superficie de 190.06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calle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Pipila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Lotes 16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9.07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8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9.00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6 y calle Pipila.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3109.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17.-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1 de la Manzana 6, con una superficie de 149.27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privada Profr. Hermiro Jiménez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.04 metros y colinda con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 propiedad privada.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5.20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 Lote 2.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4.70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calle Monterrey.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19054.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18.-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10 de la Manzana 6, con una superficie de 205.56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privada Profr. Hermiro Jiménez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.05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propiedad privada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20.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88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20.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30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9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19057.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19.-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11 de la Manzana 6, con una superficie de 211.31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privada Profr. Hermiro Jiménez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.05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propiedad privada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21.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45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12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20.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88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19059.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20.-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16 de la Manzana 6, con una superficie de 230.16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privada Profr. Hermiro Jiménez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.0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4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propiedad privada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23.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30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17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22.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80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15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19064.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419" w:eastAsia="es-ES"/>
        </w:rPr>
        <w:t xml:space="preserve">21.-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 xml:space="preserve">Lote 13 de la Manzana 6, con una superficie de 214.75 M2., ubicado en la colonia Abelardo Galindo de ese municipio,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cuenta con las siguientes medidas y colindancias: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Norte: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.00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privada Profr. Hermiro Jiménez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>Al Sur: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>
        <w:rPr>
          <w:rFonts w:ascii="Arial" w:eastAsia="Times New Roman" w:hAnsi="Arial" w:cs="Arial"/>
          <w:sz w:val="23"/>
          <w:szCs w:val="23"/>
          <w:lang w:eastAsia="es-ES"/>
        </w:rPr>
        <w:t xml:space="preserve">         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mide 1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.05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propiedad privada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21.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80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14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.</w:t>
      </w:r>
    </w:p>
    <w:p w:rsidR="00386514" w:rsidRPr="00386514" w:rsidRDefault="00386514" w:rsidP="00386514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Al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Oeste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: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ab/>
        <w:t>mide 21.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21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 metros y colinda con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Lote 12.</w:t>
      </w:r>
    </w:p>
    <w:p w:rsidR="00386514" w:rsidRPr="00386514" w:rsidRDefault="00386514" w:rsidP="00386514">
      <w:pPr>
        <w:spacing w:after="0" w:line="240" w:lineRule="auto"/>
        <w:ind w:left="708" w:firstLine="1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val="es-419" w:eastAsia="es-ES"/>
        </w:rPr>
      </w:pP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Dicho inmueble se encuentra inscrito a favor del R. Ayuntamiento de Morelos, en la Oficina del Registro Público, con residencia en la ciudad de Piedras Negras del Estado de Coahuila de Zaragoza, bajo el folio real N° </w:t>
      </w:r>
      <w:r w:rsidRPr="00386514">
        <w:rPr>
          <w:rFonts w:ascii="Arial" w:eastAsia="Times New Roman" w:hAnsi="Arial" w:cs="Arial"/>
          <w:sz w:val="23"/>
          <w:szCs w:val="23"/>
          <w:lang w:val="es-419" w:eastAsia="es-ES"/>
        </w:rPr>
        <w:t>19060.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386514">
        <w:rPr>
          <w:rFonts w:ascii="Arial" w:eastAsia="Times New Roman" w:hAnsi="Arial" w:cs="Arial"/>
          <w:b/>
          <w:color w:val="000000"/>
          <w:sz w:val="23"/>
          <w:szCs w:val="23"/>
          <w:lang w:val="es-419" w:eastAsia="es-MX"/>
        </w:rPr>
        <w:t>ARTÍCULO SEGUNDO</w:t>
      </w:r>
      <w:r w:rsidRPr="00386514"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  <w:t>.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  <w:t>-</w:t>
      </w:r>
      <w:r w:rsidRPr="00386514"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  <w:t xml:space="preserve"> </w:t>
      </w:r>
      <w:r w:rsidRPr="00386514">
        <w:rPr>
          <w:rFonts w:ascii="Arial" w:eastAsia="Times New Roman" w:hAnsi="Arial" w:cs="Arial"/>
          <w:bCs/>
          <w:color w:val="000000"/>
          <w:sz w:val="23"/>
          <w:szCs w:val="23"/>
          <w:lang w:eastAsia="es-MX"/>
        </w:rPr>
        <w:t>La autorización de esta operación es dar certidumbre jurídica y llevar a cabo la regularización de la tenen</w:t>
      </w:r>
      <w:r w:rsidRPr="00386514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cia de la tierra del predio en mención. En caso de darle un uso distinto a lo estipulado, por ese sólo hecho se rescindirá la enajenación revirtiéndose el predio junto con sus accesorios al patrimonio municipal, sin ninguna responsabilidad a cargo del R. Ayuntamiento.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Times New Roman"/>
          <w:b/>
          <w:sz w:val="23"/>
          <w:szCs w:val="23"/>
          <w:lang w:eastAsia="es-ES"/>
        </w:rPr>
      </w:pPr>
    </w:p>
    <w:p w:rsidR="00386514" w:rsidRPr="00386514" w:rsidRDefault="00386514" w:rsidP="0038651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 w:rsidRPr="00386514"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  <w:t>ARTÍCULO TERCERO.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  <w:t>-</w:t>
      </w:r>
      <w:r w:rsidRPr="00386514">
        <w:rPr>
          <w:rFonts w:ascii="Arial" w:eastAsia="Times New Roman" w:hAnsi="Arial" w:cs="Arial"/>
          <w:b/>
          <w:color w:val="000000"/>
          <w:sz w:val="23"/>
          <w:szCs w:val="23"/>
          <w:lang w:eastAsia="es-MX"/>
        </w:rPr>
        <w:t xml:space="preserve"> </w:t>
      </w:r>
      <w:r w:rsidRPr="00386514">
        <w:rPr>
          <w:rFonts w:ascii="Arial" w:eastAsia="Times New Roman" w:hAnsi="Arial" w:cs="Arial"/>
          <w:color w:val="000000"/>
          <w:sz w:val="23"/>
          <w:szCs w:val="23"/>
          <w:lang w:eastAsia="es-MX"/>
        </w:rPr>
        <w:t>El Ayuntamiento de Morelos, por conducto de su Presidente Municipal o de su Representante legal acreditado, deberá formalizar la operación que se autoriza y proceder a la escrituración correspondiente.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bCs/>
          <w:sz w:val="23"/>
          <w:szCs w:val="23"/>
          <w:lang w:eastAsia="es-ES"/>
        </w:rPr>
        <w:t>ARTÍCULO CUARTO.</w:t>
      </w:r>
      <w:r>
        <w:rPr>
          <w:rFonts w:ascii="Arial" w:eastAsia="Times New Roman" w:hAnsi="Arial" w:cs="Arial"/>
          <w:b/>
          <w:bCs/>
          <w:sz w:val="23"/>
          <w:szCs w:val="23"/>
          <w:lang w:eastAsia="es-ES"/>
        </w:rPr>
        <w:t>-</w:t>
      </w:r>
      <w:r w:rsidRPr="00386514">
        <w:rPr>
          <w:rFonts w:ascii="Arial" w:eastAsia="Times New Roman" w:hAnsi="Arial" w:cs="Arial"/>
          <w:b/>
          <w:bCs/>
          <w:sz w:val="23"/>
          <w:szCs w:val="23"/>
          <w:lang w:eastAsia="es-ES"/>
        </w:rPr>
        <w:t xml:space="preserve"> 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En el supuesto de que no se formalice la enajenación que se autoriza, al término de la actual Administración Municipal (2022-2024), se requerirá de una nueva autorización legislativa para ampliar el plazo, a fin de que se pueda continuar o concluir la formalización de la operación realizada con la enajenación del inmueble a que se refiere el artículo primero de este Decreto.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bCs/>
          <w:sz w:val="23"/>
          <w:szCs w:val="23"/>
          <w:lang w:eastAsia="es-ES"/>
        </w:rPr>
        <w:t>ARTÍCULO QUINTO.</w:t>
      </w:r>
      <w:r>
        <w:rPr>
          <w:rFonts w:ascii="Arial" w:eastAsia="Times New Roman" w:hAnsi="Arial" w:cs="Arial"/>
          <w:b/>
          <w:bCs/>
          <w:sz w:val="23"/>
          <w:szCs w:val="23"/>
          <w:lang w:eastAsia="es-ES"/>
        </w:rPr>
        <w:t>-</w:t>
      </w:r>
      <w:r w:rsidRPr="00386514">
        <w:rPr>
          <w:rFonts w:ascii="Arial" w:eastAsia="Times New Roman" w:hAnsi="Arial" w:cs="Arial"/>
          <w:b/>
          <w:bCs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Los gastos de escrituración y registro que se originen de la operación que mediante este decreto se valida, serán por cuenta del beneficiario.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bCs/>
          <w:sz w:val="23"/>
          <w:szCs w:val="23"/>
          <w:lang w:eastAsia="es-ES"/>
        </w:rPr>
        <w:t>ARTÍCULO SEXTO.</w:t>
      </w:r>
      <w:r>
        <w:rPr>
          <w:rFonts w:ascii="Arial" w:eastAsia="Times New Roman" w:hAnsi="Arial" w:cs="Arial"/>
          <w:b/>
          <w:bCs/>
          <w:sz w:val="23"/>
          <w:szCs w:val="23"/>
          <w:lang w:eastAsia="es-ES"/>
        </w:rPr>
        <w:t>-</w:t>
      </w:r>
      <w:r w:rsidRPr="00386514">
        <w:rPr>
          <w:rFonts w:ascii="Arial" w:eastAsia="Times New Roman" w:hAnsi="Arial" w:cs="Arial"/>
          <w:b/>
          <w:bCs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El presente decreto deberá insertarse en la escritura correspondiente.</w:t>
      </w:r>
    </w:p>
    <w:p w:rsid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T</w:t>
      </w:r>
      <w:r w:rsidR="00FF5112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R</w:t>
      </w:r>
      <w:r w:rsidR="00FF5112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A</w:t>
      </w:r>
      <w:r w:rsidR="00FF5112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N</w:t>
      </w:r>
      <w:r w:rsidR="00FF5112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S</w:t>
      </w:r>
      <w:r w:rsidR="00FF5112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I</w:t>
      </w:r>
      <w:r w:rsidR="00FF5112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T</w:t>
      </w:r>
      <w:r w:rsidR="00FF5112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O</w:t>
      </w:r>
      <w:r w:rsidR="00FF5112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R</w:t>
      </w:r>
      <w:r w:rsidR="00FF5112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I</w:t>
      </w:r>
      <w:r w:rsidR="00FF5112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O</w:t>
      </w:r>
      <w:r w:rsidR="00FF5112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S</w:t>
      </w:r>
    </w:p>
    <w:p w:rsid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bCs/>
          <w:sz w:val="23"/>
          <w:szCs w:val="23"/>
          <w:lang w:eastAsia="es-ES"/>
        </w:rPr>
        <w:t>ARTÍCULO PRIMERO.</w:t>
      </w:r>
      <w:r>
        <w:rPr>
          <w:rFonts w:ascii="Arial" w:eastAsia="Times New Roman" w:hAnsi="Arial" w:cs="Arial"/>
          <w:b/>
          <w:bCs/>
          <w:sz w:val="23"/>
          <w:szCs w:val="23"/>
          <w:lang w:eastAsia="es-ES"/>
        </w:rPr>
        <w:t>-</w:t>
      </w:r>
      <w:r w:rsidRPr="00386514">
        <w:rPr>
          <w:rFonts w:ascii="Arial" w:eastAsia="Times New Roman" w:hAnsi="Arial" w:cs="Arial"/>
          <w:b/>
          <w:bCs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 xml:space="preserve">El presente decreto entrará en vigor a partir del día siguiente de su publicación en el Periódico Oficial del Gobierno del Estado. 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ARTÍCULO SEGUNDO.</w:t>
      </w:r>
      <w:r>
        <w:rPr>
          <w:rFonts w:ascii="Arial" w:eastAsia="Times New Roman" w:hAnsi="Arial" w:cs="Arial"/>
          <w:b/>
          <w:sz w:val="23"/>
          <w:szCs w:val="23"/>
          <w:lang w:eastAsia="es-ES"/>
        </w:rPr>
        <w:t>-</w:t>
      </w: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 xml:space="preserve"> </w:t>
      </w:r>
      <w:r w:rsidRPr="00386514">
        <w:rPr>
          <w:rFonts w:ascii="Arial" w:eastAsia="Times New Roman" w:hAnsi="Arial" w:cs="Arial"/>
          <w:sz w:val="23"/>
          <w:szCs w:val="23"/>
          <w:lang w:eastAsia="es-ES"/>
        </w:rPr>
        <w:t>Publíquese en el Periódico Oficial del Gobierno del Estado.</w:t>
      </w:r>
    </w:p>
    <w:p w:rsidR="00386514" w:rsidRPr="00386514" w:rsidRDefault="00386514" w:rsidP="00386514">
      <w:pPr>
        <w:spacing w:after="0" w:line="276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</w:p>
    <w:p w:rsidR="00327858" w:rsidRPr="00386514" w:rsidRDefault="00327858" w:rsidP="0032785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AE6624" w:rsidRPr="00386514" w:rsidRDefault="00AE6624" w:rsidP="0032785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AE6624" w:rsidRPr="00386514" w:rsidRDefault="00AE6624" w:rsidP="0032785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  <w:r w:rsidRPr="00386514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DADO en la Ciudad de Saltillo, Coahuila de Zaragoza, </w:t>
      </w:r>
      <w:r w:rsidRPr="00386514">
        <w:rPr>
          <w:rFonts w:ascii="Arial" w:eastAsia="Times New Roman" w:hAnsi="Arial" w:cs="Arial"/>
          <w:b/>
          <w:snapToGrid w:val="0"/>
          <w:sz w:val="23"/>
          <w:szCs w:val="23"/>
          <w:lang w:val="es-ES" w:eastAsia="es-ES"/>
        </w:rPr>
        <w:t xml:space="preserve">a los veintiún días del mes de junio </w:t>
      </w:r>
      <w:r w:rsidRPr="00386514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>del año dos mil veintidós.</w:t>
      </w:r>
    </w:p>
    <w:p w:rsidR="00327858" w:rsidRPr="00386514" w:rsidRDefault="00327858" w:rsidP="0032785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3"/>
          <w:szCs w:val="23"/>
          <w:lang w:val="es-ES" w:eastAsia="es-ES"/>
        </w:rPr>
      </w:pPr>
      <w:r w:rsidRPr="00386514">
        <w:rPr>
          <w:rFonts w:ascii="Arial" w:eastAsia="Times New Roman" w:hAnsi="Arial" w:cs="Arial"/>
          <w:b/>
          <w:snapToGrid w:val="0"/>
          <w:sz w:val="23"/>
          <w:szCs w:val="23"/>
          <w:lang w:val="es-ES" w:eastAsia="es-ES"/>
        </w:rPr>
        <w:t>DIPUTADO PRESIDENTE</w:t>
      </w: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" w:eastAsia="es-ES"/>
        </w:rPr>
      </w:pPr>
    </w:p>
    <w:p w:rsidR="00327858" w:rsidRPr="00386514" w:rsidRDefault="00327858" w:rsidP="00327858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3"/>
          <w:szCs w:val="23"/>
          <w:lang w:val="es-ES" w:eastAsia="es-ES"/>
        </w:rPr>
      </w:pPr>
    </w:p>
    <w:p w:rsidR="00327858" w:rsidRPr="00386514" w:rsidRDefault="00327858" w:rsidP="00327858">
      <w:pPr>
        <w:spacing w:after="0" w:line="240" w:lineRule="auto"/>
        <w:rPr>
          <w:rFonts w:ascii="Arial" w:eastAsia="Times New Roman" w:hAnsi="Arial" w:cs="Arial"/>
          <w:b/>
          <w:snapToGrid w:val="0"/>
          <w:sz w:val="23"/>
          <w:szCs w:val="23"/>
          <w:lang w:val="es-ES" w:eastAsia="es-ES"/>
        </w:rPr>
      </w:pPr>
    </w:p>
    <w:p w:rsidR="00327858" w:rsidRPr="00386514" w:rsidRDefault="00327858" w:rsidP="00327858">
      <w:pPr>
        <w:spacing w:after="0" w:line="240" w:lineRule="auto"/>
        <w:rPr>
          <w:rFonts w:ascii="Arial" w:eastAsia="Times New Roman" w:hAnsi="Arial" w:cs="Arial"/>
          <w:b/>
          <w:snapToGrid w:val="0"/>
          <w:sz w:val="23"/>
          <w:szCs w:val="23"/>
          <w:lang w:val="es-ES" w:eastAsia="es-ES"/>
        </w:rPr>
      </w:pPr>
    </w:p>
    <w:p w:rsidR="00327858" w:rsidRPr="00386514" w:rsidRDefault="00327858" w:rsidP="00327858">
      <w:pPr>
        <w:spacing w:after="0" w:line="240" w:lineRule="auto"/>
        <w:rPr>
          <w:rFonts w:ascii="Arial" w:eastAsia="Times New Roman" w:hAnsi="Arial" w:cs="Arial"/>
          <w:b/>
          <w:snapToGrid w:val="0"/>
          <w:sz w:val="23"/>
          <w:szCs w:val="23"/>
          <w:lang w:val="es-ES" w:eastAsia="es-ES"/>
        </w:rPr>
      </w:pPr>
    </w:p>
    <w:p w:rsidR="00327858" w:rsidRPr="00386514" w:rsidRDefault="00327858" w:rsidP="00327858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es-ES"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eastAsia="es-ES"/>
        </w:rPr>
        <w:t>FRANCISCO JAVIER CORTEZ GÓMEZ.</w:t>
      </w: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es-ES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es-ES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es-ES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es-ES" w:eastAsia="es-ES"/>
        </w:rPr>
      </w:pPr>
      <w:r w:rsidRPr="00386514">
        <w:rPr>
          <w:rFonts w:ascii="Arial" w:eastAsia="Times New Roman" w:hAnsi="Arial" w:cs="Arial"/>
          <w:b/>
          <w:sz w:val="23"/>
          <w:szCs w:val="23"/>
          <w:lang w:val="es-ES" w:eastAsia="es-ES"/>
        </w:rPr>
        <w:t xml:space="preserve"> </w:t>
      </w: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  <w:r w:rsidRPr="00386514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               DIPUTADA SECRETARIA                                 </w:t>
      </w:r>
      <w:r w:rsidR="00FF5112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    </w:t>
      </w:r>
      <w:r w:rsidRPr="00386514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 DIPUTADA SECRETARIA</w:t>
      </w: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tabs>
          <w:tab w:val="left" w:pos="3570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</w:p>
    <w:p w:rsidR="00327858" w:rsidRPr="00386514" w:rsidRDefault="00327858" w:rsidP="00327858">
      <w:pPr>
        <w:tabs>
          <w:tab w:val="left" w:pos="3570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</w:pPr>
      <w:r w:rsidRPr="00386514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MARÍA BÁRBARA CEPEDA  BOEHRINGER       </w:t>
      </w:r>
      <w:r w:rsidR="00FF5112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 xml:space="preserve">    </w:t>
      </w:r>
      <w:r w:rsidRPr="00386514">
        <w:rPr>
          <w:rFonts w:ascii="Arial" w:eastAsia="Times New Roman" w:hAnsi="Arial" w:cs="Arial"/>
          <w:b/>
          <w:snapToGrid w:val="0"/>
          <w:sz w:val="23"/>
          <w:szCs w:val="23"/>
          <w:lang w:val="es-ES_tradnl" w:eastAsia="es-ES"/>
        </w:rPr>
        <w:t>LAURA FRANCISCA AGUILAR TABARES</w:t>
      </w:r>
    </w:p>
    <w:p w:rsidR="00327858" w:rsidRPr="00386514" w:rsidRDefault="00327858" w:rsidP="00327858">
      <w:pPr>
        <w:spacing w:after="0" w:line="240" w:lineRule="auto"/>
        <w:jc w:val="both"/>
        <w:rPr>
          <w:rFonts w:ascii="Arial" w:eastAsia="Times New Roman" w:hAnsi="Arial" w:cs="Times New Roman"/>
          <w:b/>
          <w:sz w:val="23"/>
          <w:szCs w:val="23"/>
          <w:lang w:eastAsia="es-ES"/>
        </w:rPr>
      </w:pPr>
    </w:p>
    <w:p w:rsidR="00327858" w:rsidRPr="00386514" w:rsidRDefault="00327858" w:rsidP="00327858">
      <w:pPr>
        <w:rPr>
          <w:sz w:val="23"/>
          <w:szCs w:val="23"/>
        </w:rPr>
      </w:pPr>
    </w:p>
    <w:p w:rsidR="00327858" w:rsidRPr="00386514" w:rsidRDefault="00327858" w:rsidP="00327858">
      <w:pPr>
        <w:rPr>
          <w:rFonts w:ascii="Arial" w:hAnsi="Arial" w:cs="Arial"/>
          <w:sz w:val="23"/>
          <w:szCs w:val="23"/>
        </w:rPr>
      </w:pPr>
    </w:p>
    <w:p w:rsidR="00327858" w:rsidRPr="00386514" w:rsidRDefault="00327858" w:rsidP="00327858">
      <w:pPr>
        <w:rPr>
          <w:sz w:val="23"/>
          <w:szCs w:val="23"/>
        </w:rPr>
      </w:pPr>
    </w:p>
    <w:p w:rsidR="00327858" w:rsidRPr="00386514" w:rsidRDefault="00327858" w:rsidP="00327858">
      <w:pPr>
        <w:rPr>
          <w:sz w:val="23"/>
          <w:szCs w:val="23"/>
        </w:rPr>
      </w:pPr>
    </w:p>
    <w:p w:rsidR="00327858" w:rsidRPr="00386514" w:rsidRDefault="00327858" w:rsidP="00327858">
      <w:pPr>
        <w:rPr>
          <w:sz w:val="23"/>
          <w:szCs w:val="23"/>
        </w:rPr>
      </w:pPr>
    </w:p>
    <w:p w:rsidR="00327858" w:rsidRPr="00386514" w:rsidRDefault="00327858" w:rsidP="00327858">
      <w:pPr>
        <w:rPr>
          <w:sz w:val="23"/>
          <w:szCs w:val="23"/>
        </w:rPr>
      </w:pPr>
    </w:p>
    <w:p w:rsidR="00327858" w:rsidRPr="00386514" w:rsidRDefault="00327858" w:rsidP="00327858">
      <w:pPr>
        <w:rPr>
          <w:sz w:val="23"/>
          <w:szCs w:val="23"/>
        </w:rPr>
      </w:pPr>
    </w:p>
    <w:p w:rsidR="00245157" w:rsidRPr="00386514" w:rsidRDefault="00164E3B">
      <w:pPr>
        <w:rPr>
          <w:sz w:val="23"/>
          <w:szCs w:val="23"/>
        </w:rPr>
      </w:pPr>
    </w:p>
    <w:sectPr w:rsidR="00245157" w:rsidRPr="00386514" w:rsidSect="00D91F89">
      <w:headerReference w:type="default" r:id="rId6"/>
      <w:pgSz w:w="12242" w:h="15842" w:code="1"/>
      <w:pgMar w:top="2835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3B" w:rsidRDefault="00164E3B">
      <w:pPr>
        <w:spacing w:after="0" w:line="240" w:lineRule="auto"/>
      </w:pPr>
      <w:r>
        <w:separator/>
      </w:r>
    </w:p>
  </w:endnote>
  <w:endnote w:type="continuationSeparator" w:id="0">
    <w:p w:rsidR="00164E3B" w:rsidRDefault="0016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3B" w:rsidRDefault="00164E3B">
      <w:pPr>
        <w:spacing w:after="0" w:line="240" w:lineRule="auto"/>
      </w:pPr>
      <w:r>
        <w:separator/>
      </w:r>
    </w:p>
  </w:footnote>
  <w:footnote w:type="continuationSeparator" w:id="0">
    <w:p w:rsidR="00164E3B" w:rsidRDefault="00164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B5B" w:rsidRPr="00715B5B" w:rsidRDefault="00AE6624" w:rsidP="00715B5B">
    <w:pPr>
      <w:tabs>
        <w:tab w:val="center" w:pos="4419"/>
        <w:tab w:val="left" w:pos="5040"/>
        <w:tab w:val="right" w:pos="8838"/>
      </w:tabs>
      <w:spacing w:after="0" w:line="240" w:lineRule="auto"/>
      <w:rPr>
        <w:rFonts w:ascii="Times New Roman" w:hAnsi="Times New Roman"/>
        <w:bCs/>
        <w:smallCaps/>
        <w:spacing w:val="20"/>
        <w:sz w:val="30"/>
        <w:szCs w:val="30"/>
      </w:rPr>
    </w:pPr>
    <w:r w:rsidRPr="00715B5B">
      <w:rPr>
        <w:rFonts w:ascii="Times New Roman" w:hAnsi="Times New Roman"/>
        <w:bCs/>
        <w:smallCaps/>
        <w:noProof/>
        <w:spacing w:val="20"/>
        <w:sz w:val="30"/>
        <w:szCs w:val="30"/>
        <w:lang w:eastAsia="es-MX"/>
      </w:rPr>
      <w:drawing>
        <wp:anchor distT="0" distB="0" distL="114300" distR="114300" simplePos="0" relativeHeight="251660288" behindDoc="1" locked="0" layoutInCell="1" allowOverlap="1" wp14:anchorId="683005EE" wp14:editId="15605993">
          <wp:simplePos x="0" y="0"/>
          <wp:positionH relativeFrom="column">
            <wp:posOffset>5760720</wp:posOffset>
          </wp:positionH>
          <wp:positionV relativeFrom="paragraph">
            <wp:posOffset>-57785</wp:posOffset>
          </wp:positionV>
          <wp:extent cx="1094740" cy="1031875"/>
          <wp:effectExtent l="0" t="0" r="0" b="0"/>
          <wp:wrapNone/>
          <wp:docPr id="1" name="0 Imagen" descr="Identidad Congreso del estado de Coahuil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dad Congreso del estado de Coahuila-01.jpg"/>
                  <pic:cNvPicPr/>
                </pic:nvPicPr>
                <pic:blipFill>
                  <a:blip r:embed="rId1">
                    <a:grayscl/>
                  </a:blip>
                  <a:srcRect l="21338" t="17965" r="21554" b="19445"/>
                  <a:stretch>
                    <a:fillRect/>
                  </a:stretch>
                </pic:blipFill>
                <pic:spPr>
                  <a:xfrm>
                    <a:off x="0" y="0"/>
                    <a:ext cx="1094740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5B5B">
      <w:rPr>
        <w:bCs/>
        <w:smallCaps/>
        <w:noProof/>
        <w:spacing w:val="20"/>
        <w:sz w:val="30"/>
        <w:szCs w:val="30"/>
        <w:lang w:eastAsia="es-MX"/>
      </w:rPr>
      <w:drawing>
        <wp:anchor distT="0" distB="0" distL="114300" distR="114300" simplePos="0" relativeHeight="251659264" behindDoc="0" locked="0" layoutInCell="1" allowOverlap="1" wp14:anchorId="2C591546" wp14:editId="7091F319">
          <wp:simplePos x="0" y="0"/>
          <wp:positionH relativeFrom="column">
            <wp:posOffset>-313055</wp:posOffset>
          </wp:positionH>
          <wp:positionV relativeFrom="paragraph">
            <wp:posOffset>6985</wp:posOffset>
          </wp:positionV>
          <wp:extent cx="791210" cy="831215"/>
          <wp:effectExtent l="0" t="0" r="8890" b="6985"/>
          <wp:wrapSquare wrapText="bothSides"/>
          <wp:docPr id="2" name="Imagen 12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831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smallCaps/>
        <w:spacing w:val="20"/>
        <w:sz w:val="30"/>
        <w:szCs w:val="30"/>
      </w:rPr>
      <w:t xml:space="preserve">           </w:t>
    </w:r>
    <w:r w:rsidRPr="00715B5B">
      <w:rPr>
        <w:rFonts w:ascii="Times New Roman" w:hAnsi="Times New Roman"/>
        <w:bCs/>
        <w:smallCaps/>
        <w:spacing w:val="20"/>
        <w:sz w:val="30"/>
        <w:szCs w:val="30"/>
      </w:rPr>
      <w:t xml:space="preserve">Estado Independiente, Libre y Soberano </w:t>
    </w:r>
  </w:p>
  <w:p w:rsidR="00715B5B" w:rsidRPr="00715B5B" w:rsidRDefault="00AE6624" w:rsidP="00715B5B">
    <w:pPr>
      <w:tabs>
        <w:tab w:val="center" w:pos="4419"/>
        <w:tab w:val="left" w:pos="5040"/>
        <w:tab w:val="right" w:pos="8838"/>
      </w:tabs>
      <w:spacing w:after="0" w:line="240" w:lineRule="auto"/>
      <w:rPr>
        <w:rFonts w:ascii="Times New Roman" w:hAnsi="Times New Roman"/>
        <w:bCs/>
        <w:smallCaps/>
        <w:spacing w:val="20"/>
        <w:sz w:val="30"/>
        <w:szCs w:val="30"/>
      </w:rPr>
    </w:pPr>
    <w:r>
      <w:rPr>
        <w:rFonts w:ascii="Times New Roman" w:hAnsi="Times New Roman"/>
        <w:bCs/>
        <w:smallCaps/>
        <w:spacing w:val="20"/>
        <w:sz w:val="30"/>
        <w:szCs w:val="30"/>
      </w:rPr>
      <w:t xml:space="preserve">                         </w:t>
    </w:r>
    <w:r w:rsidRPr="00715B5B">
      <w:rPr>
        <w:rFonts w:ascii="Times New Roman" w:hAnsi="Times New Roman"/>
        <w:bCs/>
        <w:smallCaps/>
        <w:spacing w:val="20"/>
        <w:sz w:val="30"/>
        <w:szCs w:val="30"/>
      </w:rPr>
      <w:t>de Coahuila de Zaragoza</w:t>
    </w:r>
  </w:p>
  <w:p w:rsidR="00715B5B" w:rsidRPr="00715B5B" w:rsidRDefault="00164E3B" w:rsidP="00715B5B">
    <w:pPr>
      <w:tabs>
        <w:tab w:val="center" w:pos="4419"/>
        <w:tab w:val="left" w:pos="5040"/>
        <w:tab w:val="right" w:pos="8838"/>
      </w:tabs>
      <w:spacing w:after="0" w:line="240" w:lineRule="auto"/>
      <w:jc w:val="center"/>
      <w:rPr>
        <w:rFonts w:ascii="Times New Roman" w:hAnsi="Times New Roman"/>
        <w:bCs/>
        <w:smallCaps/>
        <w:spacing w:val="20"/>
      </w:rPr>
    </w:pPr>
  </w:p>
  <w:p w:rsidR="00715B5B" w:rsidRPr="00715B5B" w:rsidRDefault="00AE6624" w:rsidP="00715B5B">
    <w:pPr>
      <w:tabs>
        <w:tab w:val="center" w:pos="4419"/>
        <w:tab w:val="left" w:pos="5040"/>
        <w:tab w:val="right" w:pos="8838"/>
      </w:tabs>
      <w:spacing w:after="0" w:line="240" w:lineRule="auto"/>
      <w:rPr>
        <w:rFonts w:ascii="Times New Roman" w:hAnsi="Times New Roman"/>
        <w:bCs/>
        <w:smallCaps/>
        <w:spacing w:val="20"/>
        <w:sz w:val="26"/>
        <w:szCs w:val="26"/>
      </w:rPr>
    </w:pPr>
    <w:r>
      <w:rPr>
        <w:rFonts w:ascii="Times New Roman" w:hAnsi="Times New Roman"/>
        <w:bCs/>
        <w:smallCaps/>
        <w:spacing w:val="20"/>
        <w:sz w:val="26"/>
        <w:szCs w:val="26"/>
      </w:rPr>
      <w:t xml:space="preserve">                                     </w:t>
    </w:r>
    <w:r w:rsidRPr="00715B5B">
      <w:rPr>
        <w:rFonts w:ascii="Times New Roman" w:hAnsi="Times New Roman"/>
        <w:bCs/>
        <w:smallCaps/>
        <w:spacing w:val="20"/>
        <w:sz w:val="26"/>
        <w:szCs w:val="26"/>
      </w:rPr>
      <w:t>Poder Legislativo</w:t>
    </w:r>
  </w:p>
  <w:p w:rsidR="00715B5B" w:rsidRPr="00715B5B" w:rsidRDefault="00164E3B" w:rsidP="00715B5B">
    <w:pPr>
      <w:tabs>
        <w:tab w:val="center" w:pos="4419"/>
        <w:tab w:val="left" w:pos="5040"/>
        <w:tab w:val="right" w:pos="8838"/>
      </w:tabs>
      <w:spacing w:after="0" w:line="240" w:lineRule="auto"/>
      <w:jc w:val="center"/>
      <w:rPr>
        <w:rFonts w:ascii="Times New Roman" w:hAnsi="Times New Roman"/>
        <w:bCs/>
        <w:smallCaps/>
        <w:color w:val="000000" w:themeColor="text1"/>
        <w:spacing w:val="20"/>
        <w:sz w:val="26"/>
        <w:szCs w:val="26"/>
      </w:rPr>
    </w:pPr>
  </w:p>
  <w:p w:rsidR="00715B5B" w:rsidRPr="00715B5B" w:rsidRDefault="00AE6624" w:rsidP="00715B5B">
    <w:pPr>
      <w:tabs>
        <w:tab w:val="center" w:pos="4419"/>
        <w:tab w:val="left" w:pos="5040"/>
        <w:tab w:val="right" w:pos="8838"/>
      </w:tabs>
      <w:spacing w:after="0" w:line="240" w:lineRule="auto"/>
      <w:rPr>
        <w:rFonts w:ascii="Times New Roman" w:hAnsi="Times New Roman"/>
        <w:bCs/>
        <w:smallCaps/>
        <w:color w:val="000000" w:themeColor="text1"/>
      </w:rPr>
    </w:pPr>
    <w:r w:rsidRPr="00715B5B">
      <w:rPr>
        <w:rFonts w:ascii="Times New Roman" w:hAnsi="Times New Roman"/>
        <w:bCs/>
        <w:color w:val="000000" w:themeColor="text1"/>
      </w:rPr>
      <w:t xml:space="preserve">          </w:t>
    </w:r>
    <w:r>
      <w:rPr>
        <w:rFonts w:ascii="Times New Roman" w:hAnsi="Times New Roman"/>
        <w:bCs/>
        <w:color w:val="000000" w:themeColor="text1"/>
      </w:rPr>
      <w:t xml:space="preserve">               </w:t>
    </w:r>
    <w:r w:rsidRPr="00715B5B">
      <w:rPr>
        <w:rFonts w:ascii="Times New Roman" w:hAnsi="Times New Roman"/>
        <w:bCs/>
        <w:color w:val="000000" w:themeColor="text1"/>
      </w:rPr>
      <w:t xml:space="preserve"> “2022, Año de Benito Juárez, Defensor de la Soberanía de Coahuila de Zaragoza”</w:t>
    </w:r>
  </w:p>
  <w:p w:rsidR="00715B5B" w:rsidRPr="00715B5B" w:rsidRDefault="00164E3B" w:rsidP="00715B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58"/>
    <w:rsid w:val="000653EC"/>
    <w:rsid w:val="00164E3B"/>
    <w:rsid w:val="00251C26"/>
    <w:rsid w:val="00327858"/>
    <w:rsid w:val="00386514"/>
    <w:rsid w:val="004562E7"/>
    <w:rsid w:val="009D77DA"/>
    <w:rsid w:val="00AC3832"/>
    <w:rsid w:val="00AE6624"/>
    <w:rsid w:val="00DC1CAF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4633C-3032-4FBC-A336-64E97136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27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2449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dcterms:created xsi:type="dcterms:W3CDTF">2022-06-29T19:18:00Z</dcterms:created>
  <dcterms:modified xsi:type="dcterms:W3CDTF">2022-06-29T19:18:00Z</dcterms:modified>
</cp:coreProperties>
</file>