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81" w:rsidRPr="00CE6276" w:rsidRDefault="007943F4" w:rsidP="00E27D81">
      <w:pPr>
        <w:widowControl w:val="0"/>
        <w:rPr>
          <w:rFonts w:cs="Arial"/>
          <w:b/>
          <w:snapToGrid w:val="0"/>
          <w:sz w:val="26"/>
          <w:szCs w:val="26"/>
        </w:rPr>
      </w:pPr>
      <w:r>
        <w:rPr>
          <w:rFonts w:cs="Arial"/>
          <w:b/>
          <w:snapToGrid w:val="0"/>
          <w:sz w:val="26"/>
          <w:szCs w:val="26"/>
        </w:rPr>
        <w:t xml:space="preserve">Dictámenes y Acuerdos correspondientes a la </w:t>
      </w:r>
      <w:r w:rsidR="00E27D81" w:rsidRPr="00CE6276">
        <w:rPr>
          <w:rFonts w:cs="Arial"/>
          <w:b/>
          <w:snapToGrid w:val="0"/>
          <w:sz w:val="26"/>
          <w:szCs w:val="26"/>
        </w:rPr>
        <w:t>Sexta Sesión del Segundo Período de la Diputación Permanente, correspondiente al Segundo Año de Ejercicio Constitucional de la Sexagésima Primera Legislatura.</w:t>
      </w:r>
    </w:p>
    <w:p w:rsidR="00E27D81" w:rsidRPr="00CE6276" w:rsidRDefault="00E27D81" w:rsidP="00E27D81">
      <w:pPr>
        <w:widowControl w:val="0"/>
        <w:rPr>
          <w:rFonts w:cs="Arial"/>
          <w:b/>
          <w:snapToGrid w:val="0"/>
          <w:sz w:val="26"/>
          <w:szCs w:val="26"/>
        </w:rPr>
      </w:pPr>
    </w:p>
    <w:p w:rsidR="00E27D81" w:rsidRPr="00CE6276" w:rsidRDefault="00E27D81" w:rsidP="00E27D81">
      <w:pPr>
        <w:widowControl w:val="0"/>
        <w:jc w:val="center"/>
        <w:rPr>
          <w:rFonts w:cs="Arial"/>
          <w:snapToGrid w:val="0"/>
          <w:sz w:val="26"/>
          <w:szCs w:val="26"/>
          <w:lang w:val="es-ES"/>
        </w:rPr>
      </w:pPr>
      <w:r w:rsidRPr="00CE6276">
        <w:rPr>
          <w:rFonts w:cs="Arial"/>
          <w:b/>
          <w:snapToGrid w:val="0"/>
          <w:sz w:val="26"/>
          <w:szCs w:val="26"/>
          <w:lang w:val="es-ES"/>
        </w:rPr>
        <w:t>20 de Agosto del año 2019.</w:t>
      </w:r>
    </w:p>
    <w:p w:rsidR="00E27D81" w:rsidRPr="00CE6276" w:rsidRDefault="00E27D81" w:rsidP="00E27D81">
      <w:pPr>
        <w:widowControl w:val="0"/>
        <w:rPr>
          <w:rFonts w:cs="Arial"/>
          <w:snapToGrid w:val="0"/>
          <w:sz w:val="26"/>
          <w:szCs w:val="26"/>
          <w:lang w:val="es-ES"/>
        </w:rPr>
      </w:pPr>
    </w:p>
    <w:p w:rsidR="00E27D81" w:rsidRPr="00CE6276" w:rsidRDefault="00E27D81" w:rsidP="00E27D81">
      <w:pPr>
        <w:widowControl w:val="0"/>
        <w:rPr>
          <w:rFonts w:cs="Arial"/>
          <w:sz w:val="26"/>
          <w:szCs w:val="26"/>
          <w:lang w:val="es-ES"/>
        </w:rPr>
      </w:pPr>
      <w:r w:rsidRPr="00CE6276">
        <w:rPr>
          <w:rFonts w:cs="Arial"/>
          <w:sz w:val="26"/>
          <w:szCs w:val="26"/>
          <w:lang w:val="es-ES"/>
        </w:rPr>
        <w:t>Lectura, discusión y, en su caso, aprobación de Acuerdos en cartera:</w:t>
      </w:r>
      <w:r w:rsidRPr="00CE6276">
        <w:rPr>
          <w:rFonts w:eastAsia="Calibri" w:cs="Arial"/>
          <w:color w:val="000000"/>
          <w:sz w:val="26"/>
          <w:szCs w:val="26"/>
        </w:rPr>
        <w:t xml:space="preserve"> </w:t>
      </w:r>
    </w:p>
    <w:p w:rsidR="00E27D81" w:rsidRPr="00CE6276" w:rsidRDefault="00E27D81" w:rsidP="00E27D81">
      <w:pPr>
        <w:widowControl w:val="0"/>
        <w:rPr>
          <w:rFonts w:cs="Arial"/>
          <w:b/>
          <w:sz w:val="26"/>
          <w:szCs w:val="26"/>
          <w:lang w:val="es-ES"/>
        </w:rPr>
      </w:pPr>
    </w:p>
    <w:p w:rsidR="00E27D81" w:rsidRPr="00CE6276" w:rsidRDefault="00E27D81" w:rsidP="00E27D81">
      <w:pPr>
        <w:widowControl w:val="0"/>
        <w:rPr>
          <w:rFonts w:cs="Arial"/>
          <w:snapToGrid w:val="0"/>
          <w:sz w:val="26"/>
          <w:szCs w:val="26"/>
        </w:rPr>
      </w:pPr>
      <w:r w:rsidRPr="00CE6276">
        <w:rPr>
          <w:rFonts w:cs="Arial"/>
          <w:b/>
          <w:sz w:val="26"/>
          <w:szCs w:val="26"/>
          <w:lang w:val="es-ES"/>
        </w:rPr>
        <w:tab/>
        <w:t xml:space="preserve">A.- </w:t>
      </w:r>
      <w:r w:rsidRPr="00CE6276">
        <w:rPr>
          <w:rFonts w:cs="Arial"/>
          <w:sz w:val="26"/>
          <w:szCs w:val="26"/>
          <w:lang w:val="es-ES"/>
        </w:rPr>
        <w:t>Acuerdo de la Comisión de Seguridad, relativo a la Proposición con Punto de Acuerdo, planteado por la Diputada María Esperanza Chapa García, conjuntamente con las Diputadas y Diputados del</w:t>
      </w:r>
      <w:r w:rsidRPr="00CE6276">
        <w:rPr>
          <w:rFonts w:cs="Arial"/>
          <w:snapToGrid w:val="0"/>
          <w:sz w:val="26"/>
          <w:szCs w:val="26"/>
        </w:rPr>
        <w:t xml:space="preserve"> Grupo Parlamentario “Gral. Andrés S. Viesca”, del Partido Revolucionario Institucional, “Con objeto de exhortar a los 38 Ayuntamientos del Estado, para que coordinen acciones con sus corporaciones policiacas con la finalidad de implementar mayores rondines de seguridad en las escuelas y sectores de sus ciudades, con el objeto de evitar que se incrementen los robos a planteles escolares y casas habitaciones en este período vacacional”.</w:t>
      </w:r>
    </w:p>
    <w:p w:rsidR="00E27D81" w:rsidRPr="00CE6276" w:rsidRDefault="00E27D81" w:rsidP="00E27D81">
      <w:pPr>
        <w:widowControl w:val="0"/>
        <w:rPr>
          <w:rFonts w:cs="Arial"/>
          <w:snapToGrid w:val="0"/>
          <w:sz w:val="26"/>
          <w:szCs w:val="26"/>
        </w:rPr>
      </w:pPr>
    </w:p>
    <w:p w:rsidR="00E27D81" w:rsidRPr="00CE6276" w:rsidRDefault="00E27D81" w:rsidP="00E27D81">
      <w:pPr>
        <w:ind w:firstLine="708"/>
        <w:rPr>
          <w:rFonts w:cs="Arial"/>
          <w:sz w:val="26"/>
          <w:szCs w:val="26"/>
        </w:rPr>
      </w:pPr>
      <w:r w:rsidRPr="00CE6276">
        <w:rPr>
          <w:rFonts w:cs="Arial"/>
          <w:b/>
          <w:snapToGrid w:val="0"/>
          <w:sz w:val="26"/>
          <w:szCs w:val="26"/>
        </w:rPr>
        <w:t>B.-</w:t>
      </w:r>
      <w:r w:rsidRPr="00CE6276">
        <w:rPr>
          <w:rFonts w:cs="Arial"/>
          <w:snapToGrid w:val="0"/>
          <w:sz w:val="26"/>
          <w:szCs w:val="26"/>
        </w:rPr>
        <w:t xml:space="preserve"> Acuerdo de la Comisión de Seguridad, relativo a la Proposición con Punto de Acuerdo, planteada por la </w:t>
      </w:r>
      <w:r w:rsidRPr="00CE6276">
        <w:rPr>
          <w:rFonts w:cs="Arial"/>
          <w:sz w:val="26"/>
          <w:szCs w:val="26"/>
          <w:lang w:val="es-ES"/>
        </w:rPr>
        <w:t xml:space="preserve">Diputada </w:t>
      </w:r>
      <w:r w:rsidRPr="00CE6276">
        <w:rPr>
          <w:rFonts w:cs="Arial"/>
          <w:snapToGrid w:val="0"/>
          <w:sz w:val="26"/>
          <w:szCs w:val="26"/>
        </w:rPr>
        <w:t>Claudia Isela Ramírez Pineda, de la Fracción Parlamentaria “Elvia Carrillo Puerto”,</w:t>
      </w:r>
      <w:r w:rsidRPr="00CE6276">
        <w:rPr>
          <w:rFonts w:cs="Arial"/>
          <w:sz w:val="26"/>
          <w:szCs w:val="26"/>
          <w:lang w:val="es-ES"/>
        </w:rPr>
        <w:t xml:space="preserve"> del Partido de la Revolución Democrática</w:t>
      </w:r>
      <w:bookmarkStart w:id="0" w:name="_Hlk526681136"/>
      <w:bookmarkStart w:id="1" w:name="_Hlk526680585"/>
      <w:r w:rsidRPr="00CE6276">
        <w:rPr>
          <w:rFonts w:cs="Arial"/>
          <w:sz w:val="26"/>
          <w:szCs w:val="26"/>
          <w:lang w:val="es-ES"/>
        </w:rPr>
        <w:t>, “</w:t>
      </w:r>
      <w:r w:rsidRPr="00CE6276">
        <w:rPr>
          <w:rFonts w:cs="Arial"/>
          <w:sz w:val="26"/>
          <w:szCs w:val="26"/>
        </w:rPr>
        <w:t>A través de la que se exhorta</w:t>
      </w:r>
      <w:bookmarkStart w:id="2" w:name="_Hlk525208269"/>
      <w:bookmarkEnd w:id="0"/>
      <w:r w:rsidRPr="00CE6276">
        <w:rPr>
          <w:rFonts w:cs="Arial"/>
          <w:sz w:val="26"/>
          <w:szCs w:val="26"/>
        </w:rPr>
        <w:t xml:space="preserve"> </w:t>
      </w:r>
      <w:bookmarkStart w:id="3" w:name="_Hlk104099"/>
      <w:r w:rsidRPr="00CE6276">
        <w:rPr>
          <w:rFonts w:cs="Arial"/>
          <w:sz w:val="26"/>
          <w:szCs w:val="26"/>
        </w:rPr>
        <w:t>a la Secretaría de Seguridad Ciudadana y Protección Ciudadana, a la Secretaría de Seguridad Pública del Estado de Coahuila y a los 38 Municipios del Estado de Coahuila, a reforzar de manera coordinada las acciones de seguridad en la entidad”.</w:t>
      </w:r>
      <w:bookmarkEnd w:id="1"/>
      <w:bookmarkEnd w:id="2"/>
      <w:bookmarkEnd w:id="3"/>
    </w:p>
    <w:p w:rsidR="00E27D81" w:rsidRPr="00CE6276" w:rsidRDefault="00E27D81" w:rsidP="00E27D81">
      <w:pPr>
        <w:widowControl w:val="0"/>
        <w:rPr>
          <w:rFonts w:cs="Arial"/>
          <w:b/>
          <w:sz w:val="26"/>
          <w:szCs w:val="26"/>
          <w:lang w:val="es-ES"/>
        </w:rPr>
      </w:pPr>
    </w:p>
    <w:p w:rsidR="003F085E" w:rsidRDefault="003F085E">
      <w:pPr>
        <w:jc w:val="left"/>
        <w:rPr>
          <w:sz w:val="26"/>
          <w:szCs w:val="26"/>
        </w:rPr>
      </w:pPr>
      <w:r>
        <w:rPr>
          <w:sz w:val="26"/>
          <w:szCs w:val="26"/>
        </w:rPr>
        <w:br w:type="page"/>
      </w:r>
    </w:p>
    <w:p w:rsidR="00414862" w:rsidRPr="00414862" w:rsidRDefault="00414862" w:rsidP="00414862">
      <w:pPr>
        <w:spacing w:after="3" w:line="276" w:lineRule="auto"/>
        <w:ind w:left="-15" w:right="-7"/>
        <w:rPr>
          <w:b/>
          <w:sz w:val="26"/>
          <w:szCs w:val="26"/>
        </w:rPr>
      </w:pPr>
      <w:r w:rsidRPr="00414862">
        <w:rPr>
          <w:b/>
          <w:sz w:val="26"/>
          <w:szCs w:val="26"/>
        </w:rPr>
        <w:lastRenderedPageBreak/>
        <w:t xml:space="preserve">ACUERDO DE LA COMISIÓN DE SEGURIDAD, RELATIVO A LA PROPOSICIÓN CON PUNTO DE ACUERDO PRESENTADA POR LA DIPUTADA MARÍA ESPERANZA CHAPA GARCÍA DEL GRUPO PARLAMENTARIO “GENERAL ANDRES S. VIESCA” DEL PARTIDO REVOLUCIONARIO INSTITUCIONAL, EN EL QUE “EXHORTAN A LOS 38 AYUNTAMIENTOS DEL ESTADO, PARA QUE COORDINEN ACCIONES CON SUS CORPORACIONES POLICIACAS CON LA FINALIDAD DE IMPLEMENTAR MAYORES RONDINES DE SEGURIDAD EN LAS ESCUELAS Y SECTORES DE SUS CIUDADES, CON EL OBJETO DE EVITAR QUE SE INCREMENTEN LOS ROBOS A PLANTELES ESCOLARES Y CASAS HABITACIONES EN ESTE PERIODO VACACIONAL”, EN LOS TÉRMINOS QUE CONSIGNA EL DOCUMENTO QUE SE ACOMPAÑA A LA PRESENTE COMUNICACIÓN. </w:t>
      </w:r>
    </w:p>
    <w:p w:rsidR="00414862" w:rsidRPr="00414862" w:rsidRDefault="00414862" w:rsidP="00414862">
      <w:pPr>
        <w:spacing w:after="115" w:line="276" w:lineRule="auto"/>
        <w:jc w:val="left"/>
        <w:rPr>
          <w:sz w:val="26"/>
          <w:szCs w:val="26"/>
        </w:rPr>
      </w:pPr>
      <w:r w:rsidRPr="00414862">
        <w:rPr>
          <w:b/>
          <w:sz w:val="26"/>
          <w:szCs w:val="26"/>
        </w:rPr>
        <w:t xml:space="preserve"> </w:t>
      </w:r>
    </w:p>
    <w:p w:rsidR="00414862" w:rsidRPr="00414862" w:rsidRDefault="00414862" w:rsidP="00414862">
      <w:pPr>
        <w:spacing w:line="276" w:lineRule="auto"/>
        <w:ind w:left="-5"/>
        <w:rPr>
          <w:sz w:val="26"/>
          <w:szCs w:val="26"/>
        </w:rPr>
      </w:pPr>
      <w:r w:rsidRPr="00414862">
        <w:rPr>
          <w:sz w:val="26"/>
          <w:szCs w:val="26"/>
        </w:rPr>
        <w:t xml:space="preserve">La Comisión de Seguridad Pública, con fundamento en los artículos 106, 116, 117 y demás relativos de la Ley Orgánica del Congreso del Estado, Independiente, Libre y Soberano de Coahuila de Zaragoza, emite el presente acuerdo bajo las siguientes: </w:t>
      </w:r>
    </w:p>
    <w:p w:rsidR="00414862" w:rsidRPr="00414862" w:rsidRDefault="00414862" w:rsidP="00414862">
      <w:pPr>
        <w:spacing w:after="117" w:line="276" w:lineRule="auto"/>
        <w:ind w:left="64"/>
        <w:jc w:val="center"/>
        <w:rPr>
          <w:sz w:val="26"/>
          <w:szCs w:val="26"/>
        </w:rPr>
      </w:pPr>
      <w:r w:rsidRPr="00414862">
        <w:rPr>
          <w:b/>
          <w:sz w:val="26"/>
          <w:szCs w:val="26"/>
        </w:rPr>
        <w:t xml:space="preserve">  </w:t>
      </w:r>
    </w:p>
    <w:p w:rsidR="00414862" w:rsidRPr="00414862" w:rsidRDefault="00414862" w:rsidP="00414862">
      <w:pPr>
        <w:spacing w:line="276" w:lineRule="auto"/>
        <w:jc w:val="center"/>
        <w:rPr>
          <w:b/>
          <w:sz w:val="26"/>
          <w:szCs w:val="26"/>
        </w:rPr>
      </w:pPr>
      <w:r w:rsidRPr="00414862">
        <w:rPr>
          <w:b/>
          <w:sz w:val="26"/>
          <w:szCs w:val="26"/>
        </w:rPr>
        <w:t>C O N S I D E R A C I O N E S</w:t>
      </w:r>
    </w:p>
    <w:p w:rsidR="00414862" w:rsidRPr="00414862" w:rsidRDefault="00414862" w:rsidP="00414862">
      <w:pPr>
        <w:spacing w:after="115" w:line="276" w:lineRule="auto"/>
        <w:jc w:val="left"/>
        <w:rPr>
          <w:sz w:val="26"/>
          <w:szCs w:val="26"/>
        </w:rPr>
      </w:pPr>
      <w:r w:rsidRPr="00414862">
        <w:rPr>
          <w:b/>
          <w:sz w:val="26"/>
          <w:szCs w:val="26"/>
        </w:rPr>
        <w:t xml:space="preserve"> </w:t>
      </w:r>
    </w:p>
    <w:p w:rsidR="00414862" w:rsidRPr="00414862" w:rsidRDefault="00414862" w:rsidP="00414862">
      <w:pPr>
        <w:spacing w:line="276" w:lineRule="auto"/>
        <w:ind w:left="-5"/>
        <w:rPr>
          <w:sz w:val="26"/>
          <w:szCs w:val="26"/>
        </w:rPr>
      </w:pPr>
      <w:r w:rsidRPr="00414862">
        <w:rPr>
          <w:b/>
          <w:sz w:val="26"/>
          <w:szCs w:val="26"/>
        </w:rPr>
        <w:t>PRIMERA.-</w:t>
      </w:r>
      <w:r w:rsidRPr="00414862">
        <w:rPr>
          <w:sz w:val="26"/>
          <w:szCs w:val="26"/>
        </w:rPr>
        <w:t xml:space="preserve"> Que en Sesión celebrada por el Pleno del Congreso,  en fecha 09 de abril del año 2019, se dio lectura al Punto de Acuerdo mencionado en el proemio de éste acuerdo. </w:t>
      </w:r>
    </w:p>
    <w:p w:rsidR="00414862" w:rsidRPr="00414862" w:rsidRDefault="00414862" w:rsidP="00414862">
      <w:pPr>
        <w:spacing w:after="115" w:line="276" w:lineRule="auto"/>
        <w:jc w:val="left"/>
        <w:rPr>
          <w:sz w:val="26"/>
          <w:szCs w:val="26"/>
        </w:rPr>
      </w:pPr>
      <w:r w:rsidRPr="00414862">
        <w:rPr>
          <w:sz w:val="26"/>
          <w:szCs w:val="26"/>
        </w:rPr>
        <w:t xml:space="preserve"> </w:t>
      </w:r>
    </w:p>
    <w:p w:rsidR="00414862" w:rsidRPr="00414862" w:rsidRDefault="00414862" w:rsidP="00414862">
      <w:pPr>
        <w:spacing w:line="276" w:lineRule="auto"/>
        <w:ind w:left="-5"/>
        <w:rPr>
          <w:sz w:val="26"/>
          <w:szCs w:val="26"/>
        </w:rPr>
      </w:pPr>
      <w:r w:rsidRPr="00414862">
        <w:rPr>
          <w:b/>
          <w:sz w:val="26"/>
          <w:szCs w:val="26"/>
        </w:rPr>
        <w:t>SEGUNDA.-</w:t>
      </w:r>
      <w:r w:rsidRPr="00414862">
        <w:rPr>
          <w:sz w:val="26"/>
          <w:szCs w:val="26"/>
        </w:rPr>
        <w:t xml:space="preserve"> Que en cumplimiento a dicho acuerdo, el punto de acuerdo fue remitido a ésta Comisión para efectos de estudio y dictamen el día 11 de abril de 2019.</w:t>
      </w:r>
    </w:p>
    <w:p w:rsidR="00414862" w:rsidRPr="00414862" w:rsidRDefault="00414862" w:rsidP="00414862">
      <w:pPr>
        <w:spacing w:line="276" w:lineRule="auto"/>
        <w:jc w:val="left"/>
        <w:rPr>
          <w:sz w:val="26"/>
          <w:szCs w:val="26"/>
        </w:rPr>
      </w:pPr>
      <w:r w:rsidRPr="00414862">
        <w:rPr>
          <w:sz w:val="26"/>
          <w:szCs w:val="26"/>
        </w:rPr>
        <w:t xml:space="preserve"> </w:t>
      </w:r>
    </w:p>
    <w:p w:rsidR="00414862" w:rsidRPr="00414862" w:rsidRDefault="00414862" w:rsidP="00414862">
      <w:pPr>
        <w:spacing w:line="276" w:lineRule="auto"/>
        <w:rPr>
          <w:sz w:val="26"/>
          <w:szCs w:val="26"/>
        </w:rPr>
      </w:pPr>
      <w:r w:rsidRPr="00414862">
        <w:rPr>
          <w:b/>
          <w:sz w:val="26"/>
          <w:szCs w:val="26"/>
        </w:rPr>
        <w:t>TERCERA.-</w:t>
      </w:r>
      <w:r w:rsidRPr="00414862">
        <w:rPr>
          <w:sz w:val="26"/>
          <w:szCs w:val="26"/>
        </w:rPr>
        <w:t xml:space="preserve"> </w:t>
      </w:r>
      <w:r w:rsidRPr="00414862">
        <w:rPr>
          <w:b/>
          <w:sz w:val="26"/>
          <w:szCs w:val="26"/>
        </w:rPr>
        <w:t xml:space="preserve"> </w:t>
      </w:r>
      <w:r w:rsidRPr="00414862">
        <w:rPr>
          <w:sz w:val="26"/>
          <w:szCs w:val="26"/>
        </w:rPr>
        <w:t>Que conforme a lo dispuesto en el Artículo 106 de la Ley Orgánica del Congreso del Estado Independiente, Libre y Soberano de Coahuila de Zaragoza esta Comisión es competente para dictaminar sobre dicha propuesta; y</w:t>
      </w:r>
    </w:p>
    <w:p w:rsidR="00414862" w:rsidRPr="00414862" w:rsidRDefault="00414862" w:rsidP="00414862">
      <w:pPr>
        <w:spacing w:after="16" w:line="276" w:lineRule="auto"/>
        <w:jc w:val="left"/>
        <w:rPr>
          <w:sz w:val="26"/>
          <w:szCs w:val="26"/>
        </w:rPr>
      </w:pPr>
    </w:p>
    <w:p w:rsidR="00414862" w:rsidRPr="00414862" w:rsidRDefault="00414862" w:rsidP="00414862">
      <w:pPr>
        <w:spacing w:line="276" w:lineRule="auto"/>
        <w:ind w:left="-5"/>
        <w:rPr>
          <w:sz w:val="26"/>
          <w:szCs w:val="26"/>
        </w:rPr>
      </w:pPr>
      <w:r w:rsidRPr="00414862">
        <w:rPr>
          <w:b/>
          <w:sz w:val="26"/>
          <w:szCs w:val="26"/>
        </w:rPr>
        <w:lastRenderedPageBreak/>
        <w:t>CUARTA.-</w:t>
      </w:r>
      <w:r w:rsidRPr="00414862">
        <w:rPr>
          <w:sz w:val="26"/>
          <w:szCs w:val="26"/>
        </w:rPr>
        <w:t xml:space="preserve"> Que la propuesta del promovente se basa en exhortar a los 38 ayuntamientos del estado de Coahuila, para que coordinen acciones en conjunto con sus corporaciones policiacas, esto con la finalidad de implementar mayores rondines de seguridad en las escuelas y sectores de sus ciudades y casas habitación en este periodo vacacional.</w:t>
      </w:r>
    </w:p>
    <w:p w:rsidR="00414862" w:rsidRPr="00414862" w:rsidRDefault="00414862" w:rsidP="00414862">
      <w:pPr>
        <w:spacing w:line="276" w:lineRule="auto"/>
        <w:ind w:left="-5"/>
        <w:rPr>
          <w:sz w:val="26"/>
          <w:szCs w:val="26"/>
        </w:rPr>
      </w:pPr>
    </w:p>
    <w:p w:rsidR="00414862" w:rsidRPr="00414862" w:rsidRDefault="00414862" w:rsidP="00414862">
      <w:pPr>
        <w:spacing w:line="276" w:lineRule="auto"/>
        <w:ind w:left="-5"/>
        <w:rPr>
          <w:sz w:val="26"/>
          <w:szCs w:val="26"/>
        </w:rPr>
      </w:pPr>
      <w:r w:rsidRPr="00414862">
        <w:rPr>
          <w:b/>
          <w:sz w:val="26"/>
          <w:szCs w:val="26"/>
        </w:rPr>
        <w:t>QUINTA.</w:t>
      </w:r>
      <w:r w:rsidRPr="00414862">
        <w:rPr>
          <w:sz w:val="26"/>
          <w:szCs w:val="26"/>
        </w:rPr>
        <w:t>- Que el punto de acuerdo mencionado se funda en las siguientes consideraciones:</w:t>
      </w:r>
    </w:p>
    <w:p w:rsidR="00414862" w:rsidRPr="00414862" w:rsidRDefault="00414862" w:rsidP="00414862">
      <w:pPr>
        <w:spacing w:line="276" w:lineRule="auto"/>
        <w:ind w:left="-5"/>
        <w:rPr>
          <w:sz w:val="26"/>
          <w:szCs w:val="26"/>
        </w:rPr>
      </w:pPr>
    </w:p>
    <w:p w:rsidR="00414862" w:rsidRPr="00414862" w:rsidRDefault="00414862" w:rsidP="00414862">
      <w:pPr>
        <w:spacing w:line="276" w:lineRule="auto"/>
        <w:rPr>
          <w:sz w:val="26"/>
          <w:szCs w:val="26"/>
        </w:rPr>
      </w:pPr>
      <w:r w:rsidRPr="00414862">
        <w:rPr>
          <w:sz w:val="26"/>
          <w:szCs w:val="26"/>
        </w:rPr>
        <w:t>El pasado mes de marzo, se iniciaron en nuestro Estado los preparativos para los diversos operativos que se implementarán en este periodo vacacional, sabemos que existe una total coordinación entre las fuerzas de seguridad pública de los tres niveles de gobierno y en diversos medios de comunicación se ha publicado que las carreteras de nuestro Estado estarán supervisadas las 24 horas del día, así como los accesos al mismo.</w:t>
      </w:r>
    </w:p>
    <w:p w:rsidR="00414862" w:rsidRPr="00414862" w:rsidRDefault="00414862" w:rsidP="00414862">
      <w:pPr>
        <w:spacing w:line="276" w:lineRule="auto"/>
        <w:rPr>
          <w:sz w:val="26"/>
          <w:szCs w:val="26"/>
        </w:rPr>
      </w:pPr>
    </w:p>
    <w:p w:rsidR="00414862" w:rsidRPr="00414862" w:rsidRDefault="00414862" w:rsidP="00414862">
      <w:pPr>
        <w:spacing w:line="276" w:lineRule="auto"/>
        <w:rPr>
          <w:sz w:val="26"/>
          <w:szCs w:val="26"/>
        </w:rPr>
      </w:pPr>
      <w:r w:rsidRPr="00414862">
        <w:rPr>
          <w:sz w:val="26"/>
          <w:szCs w:val="26"/>
        </w:rPr>
        <w:t xml:space="preserve">Ante esto, es importante señalar que las ciudades de nuestro Estado no solo reciben visita turística en estas vacaciones, también un gran porcentaje de los habitantes de los municipios aprovechan este descanso para salir de la ciudad o del Estado, dejando sus hogares solos. </w:t>
      </w:r>
    </w:p>
    <w:p w:rsidR="00414862" w:rsidRPr="00414862" w:rsidRDefault="00414862" w:rsidP="00414862">
      <w:pPr>
        <w:spacing w:line="276" w:lineRule="auto"/>
        <w:rPr>
          <w:sz w:val="26"/>
          <w:szCs w:val="26"/>
        </w:rPr>
      </w:pPr>
    </w:p>
    <w:p w:rsidR="00414862" w:rsidRPr="00414862" w:rsidRDefault="00414862" w:rsidP="00414862">
      <w:pPr>
        <w:spacing w:line="276" w:lineRule="auto"/>
        <w:rPr>
          <w:sz w:val="26"/>
          <w:szCs w:val="26"/>
        </w:rPr>
      </w:pPr>
      <w:r w:rsidRPr="00414862">
        <w:rPr>
          <w:sz w:val="26"/>
          <w:szCs w:val="26"/>
        </w:rPr>
        <w:t>Lo mismo ocurre con los planteles escolares, ya que se quedan vacíos por la suspensión de labores durante el periodo vacacional.</w:t>
      </w:r>
    </w:p>
    <w:p w:rsidR="00414862" w:rsidRPr="00414862" w:rsidRDefault="00414862" w:rsidP="00414862">
      <w:pPr>
        <w:spacing w:line="276" w:lineRule="auto"/>
        <w:rPr>
          <w:sz w:val="26"/>
          <w:szCs w:val="26"/>
        </w:rPr>
      </w:pPr>
    </w:p>
    <w:p w:rsidR="00414862" w:rsidRPr="00414862" w:rsidRDefault="00414862" w:rsidP="00414862">
      <w:pPr>
        <w:spacing w:line="276" w:lineRule="auto"/>
        <w:rPr>
          <w:sz w:val="26"/>
          <w:szCs w:val="26"/>
        </w:rPr>
      </w:pPr>
      <w:r w:rsidRPr="00414862">
        <w:rPr>
          <w:sz w:val="26"/>
          <w:szCs w:val="26"/>
        </w:rPr>
        <w:t>Desgraciadamente la temporada vacacional estadísticamente incrementa el robo a casa-habitación hasta un treinta por ciento, así como los planteles escolares tanto públicos como privados son la mayor atracción para los amantes de lo ajeno, que aprovechan estos periodos vacacionales para cometer sus atracos; y es aquí en donde resulta esencial que las corporaciones policiacas de cada municipio refuercen los rondines y la seguridad en los diferentes sectores de las ciudades, no solo en los sectores turísticos, sino en los sectores de casas y zonas escolares, porque al enfocarse solamente al ramo turístico, corremos el riesgo de que la seguridad para los hogares de la ciudadanía y de los planteles educativos se encuentren en riesgo.</w:t>
      </w:r>
    </w:p>
    <w:p w:rsidR="00414862" w:rsidRPr="00414862" w:rsidRDefault="00414862" w:rsidP="00414862">
      <w:pPr>
        <w:spacing w:line="276" w:lineRule="auto"/>
        <w:rPr>
          <w:sz w:val="26"/>
          <w:szCs w:val="26"/>
        </w:rPr>
      </w:pPr>
    </w:p>
    <w:p w:rsidR="00414862" w:rsidRPr="00414862" w:rsidRDefault="00414862" w:rsidP="00414862">
      <w:pPr>
        <w:spacing w:line="276" w:lineRule="auto"/>
        <w:rPr>
          <w:sz w:val="26"/>
          <w:szCs w:val="26"/>
        </w:rPr>
      </w:pPr>
      <w:r w:rsidRPr="00414862">
        <w:rPr>
          <w:sz w:val="26"/>
          <w:szCs w:val="26"/>
        </w:rPr>
        <w:lastRenderedPageBreak/>
        <w:t xml:space="preserve">Claro que gran parte de la prevención de los robos, que se desatan en los periodos vacacionales tanto en casas habitaciones como en las escuelas, les corresponde a los habitantes o encargados de las mismas, para ello existen diferentes recomendaciones de asegurar los hogares o escuelas antes de salir de vacaciones, tales como: reforzar las medidas de seguridad en los accesos de entrada, mantener buena iluminación en las partes posteriores del inmueble, mantener reserva de la agenda sobre las actividades de la familia o de los rondines de vigilancia en las escuelas, etc. </w:t>
      </w:r>
    </w:p>
    <w:p w:rsidR="00414862" w:rsidRPr="00414862" w:rsidRDefault="00414862" w:rsidP="00414862">
      <w:pPr>
        <w:spacing w:line="276" w:lineRule="auto"/>
        <w:rPr>
          <w:sz w:val="26"/>
          <w:szCs w:val="26"/>
        </w:rPr>
      </w:pPr>
    </w:p>
    <w:p w:rsidR="00414862" w:rsidRPr="00414862" w:rsidRDefault="00414862" w:rsidP="00414862">
      <w:pPr>
        <w:spacing w:line="276" w:lineRule="auto"/>
        <w:rPr>
          <w:sz w:val="26"/>
          <w:szCs w:val="26"/>
        </w:rPr>
      </w:pPr>
      <w:r w:rsidRPr="00414862">
        <w:rPr>
          <w:sz w:val="26"/>
          <w:szCs w:val="26"/>
        </w:rPr>
        <w:t xml:space="preserve">Es por lo anterior, que resulta importante que los ayuntamientos tomen medidas de prevención en este periodo vacacional e implementen mayor número de operativos de vigilancia y realicen una difusión clara de las recomendaciones y medidas preventivas a tomar por parte de la ciudadanía en sus hogares antes de salir de vacaciones y así estar en la posibilidad de inhibir el incremento de robos en los hogares de las familias coahuilenses y en las escuelas de nuestra entidad. </w:t>
      </w:r>
    </w:p>
    <w:p w:rsidR="00414862" w:rsidRPr="00414862" w:rsidRDefault="00414862" w:rsidP="00414862">
      <w:pPr>
        <w:spacing w:line="276" w:lineRule="auto"/>
        <w:rPr>
          <w:sz w:val="26"/>
          <w:szCs w:val="26"/>
        </w:rPr>
      </w:pPr>
    </w:p>
    <w:p w:rsidR="00414862" w:rsidRPr="00414862" w:rsidRDefault="00414862" w:rsidP="00414862">
      <w:pPr>
        <w:spacing w:line="276" w:lineRule="auto"/>
        <w:rPr>
          <w:sz w:val="26"/>
          <w:szCs w:val="26"/>
        </w:rPr>
      </w:pPr>
      <w:r w:rsidRPr="00414862">
        <w:rPr>
          <w:b/>
          <w:sz w:val="26"/>
          <w:szCs w:val="26"/>
        </w:rPr>
        <w:t>SEXTA.-</w:t>
      </w:r>
      <w:r w:rsidRPr="00414862">
        <w:rPr>
          <w:sz w:val="26"/>
          <w:szCs w:val="26"/>
        </w:rPr>
        <w:t xml:space="preserve">  En virtud de todo lo expuesto los integrantes de esta Dictaminadora, emitimos el siguiente:</w:t>
      </w:r>
    </w:p>
    <w:p w:rsidR="00414862" w:rsidRPr="00414862" w:rsidRDefault="00414862" w:rsidP="00414862">
      <w:pPr>
        <w:spacing w:line="276" w:lineRule="auto"/>
        <w:rPr>
          <w:sz w:val="26"/>
          <w:szCs w:val="26"/>
        </w:rPr>
      </w:pPr>
      <w:r w:rsidRPr="00414862">
        <w:rPr>
          <w:sz w:val="26"/>
          <w:szCs w:val="26"/>
        </w:rPr>
        <w:t xml:space="preserve"> </w:t>
      </w:r>
    </w:p>
    <w:p w:rsidR="00414862" w:rsidRPr="00414862" w:rsidRDefault="00414862" w:rsidP="00414862">
      <w:pPr>
        <w:spacing w:line="276" w:lineRule="auto"/>
        <w:jc w:val="center"/>
        <w:rPr>
          <w:b/>
          <w:sz w:val="26"/>
          <w:szCs w:val="26"/>
        </w:rPr>
      </w:pPr>
      <w:r w:rsidRPr="00414862">
        <w:rPr>
          <w:b/>
          <w:sz w:val="26"/>
          <w:szCs w:val="26"/>
        </w:rPr>
        <w:t>A C U E R D O</w:t>
      </w:r>
    </w:p>
    <w:p w:rsidR="00414862" w:rsidRPr="00414862" w:rsidRDefault="00414862" w:rsidP="00414862">
      <w:pPr>
        <w:spacing w:line="276" w:lineRule="auto"/>
        <w:jc w:val="center"/>
        <w:rPr>
          <w:b/>
          <w:sz w:val="26"/>
          <w:szCs w:val="26"/>
        </w:rPr>
      </w:pPr>
    </w:p>
    <w:p w:rsidR="00414862" w:rsidRPr="00414862" w:rsidRDefault="00414862" w:rsidP="00414862">
      <w:pPr>
        <w:spacing w:line="276" w:lineRule="auto"/>
        <w:rPr>
          <w:sz w:val="26"/>
          <w:szCs w:val="26"/>
        </w:rPr>
      </w:pPr>
      <w:r w:rsidRPr="00414862">
        <w:rPr>
          <w:b/>
          <w:sz w:val="26"/>
          <w:szCs w:val="26"/>
        </w:rPr>
        <w:t>ÚNICO.-</w:t>
      </w:r>
      <w:r w:rsidRPr="00414862">
        <w:rPr>
          <w:sz w:val="26"/>
          <w:szCs w:val="26"/>
        </w:rPr>
        <w:t xml:space="preserve"> Se acuerda que la Oficialía Mayor envíe el exhorto a los 38 Municipios para que coordinen acciones con sus corporaciones policiacas con la finalidad de implementar mayores rondines de seguridad en las escuelas y sectores de sus ciudades, con el objeto de evitar que se incrementen los robos a planteles escolares y casas habitaciones en este periodo vacacional.</w:t>
      </w:r>
    </w:p>
    <w:p w:rsidR="00414862" w:rsidRPr="00414862" w:rsidRDefault="00414862" w:rsidP="00414862">
      <w:pPr>
        <w:spacing w:line="276" w:lineRule="auto"/>
        <w:rPr>
          <w:b/>
          <w:sz w:val="26"/>
          <w:szCs w:val="26"/>
        </w:rPr>
      </w:pPr>
    </w:p>
    <w:p w:rsidR="00414862" w:rsidRPr="00414862" w:rsidRDefault="00414862" w:rsidP="00414862">
      <w:pPr>
        <w:spacing w:line="276" w:lineRule="auto"/>
        <w:rPr>
          <w:b/>
          <w:sz w:val="24"/>
          <w:szCs w:val="24"/>
        </w:rPr>
      </w:pPr>
      <w:r w:rsidRPr="00414862">
        <w:rPr>
          <w:sz w:val="24"/>
          <w:szCs w:val="24"/>
        </w:rPr>
        <w:t>Así lo acuerdan los Diputados integrantes de la Comisión de Seguridad Pública, de la Sexagésima Primera Legislatura del Congreso del Estado, Independiente, Libre y Soberano de Coahuila de Zaragoza, a los 21 días del mes de mayo de 2019.</w:t>
      </w:r>
    </w:p>
    <w:p w:rsidR="00414862" w:rsidRPr="00414862" w:rsidRDefault="00414862" w:rsidP="00414862">
      <w:pPr>
        <w:spacing w:after="74" w:line="259" w:lineRule="auto"/>
        <w:ind w:right="6"/>
        <w:jc w:val="center"/>
        <w:rPr>
          <w:rFonts w:ascii="Times New Roman" w:hAnsi="Times New Roman"/>
          <w:b/>
          <w:sz w:val="24"/>
          <w:szCs w:val="24"/>
        </w:rPr>
      </w:pPr>
    </w:p>
    <w:p w:rsidR="00414862" w:rsidRPr="00414862" w:rsidRDefault="00414862" w:rsidP="00414862">
      <w:pPr>
        <w:spacing w:after="74" w:line="259" w:lineRule="auto"/>
        <w:ind w:right="6"/>
        <w:jc w:val="center"/>
        <w:rPr>
          <w:rFonts w:ascii="Times New Roman" w:hAnsi="Times New Roman"/>
          <w:b/>
          <w:sz w:val="24"/>
          <w:szCs w:val="24"/>
        </w:rPr>
      </w:pPr>
    </w:p>
    <w:p w:rsidR="00414862" w:rsidRPr="00414862" w:rsidRDefault="00414862" w:rsidP="00414862">
      <w:pPr>
        <w:spacing w:after="74" w:line="259" w:lineRule="auto"/>
        <w:ind w:right="6"/>
        <w:jc w:val="center"/>
        <w:rPr>
          <w:rFonts w:ascii="Times New Roman" w:hAnsi="Times New Roman"/>
          <w:b/>
          <w:sz w:val="24"/>
          <w:szCs w:val="24"/>
        </w:rPr>
      </w:pPr>
    </w:p>
    <w:p w:rsidR="00414862" w:rsidRPr="00414862" w:rsidRDefault="00414862" w:rsidP="00414862">
      <w:pPr>
        <w:spacing w:after="74" w:line="259" w:lineRule="auto"/>
        <w:ind w:right="6"/>
        <w:jc w:val="center"/>
        <w:rPr>
          <w:sz w:val="24"/>
          <w:szCs w:val="24"/>
        </w:rPr>
      </w:pPr>
      <w:r w:rsidRPr="00414862">
        <w:rPr>
          <w:rFonts w:ascii="Times New Roman" w:hAnsi="Times New Roman"/>
          <w:b/>
          <w:sz w:val="24"/>
          <w:szCs w:val="24"/>
        </w:rPr>
        <w:t>COMISIÓN DE SEGURIDAD PÚBLICA</w:t>
      </w:r>
    </w:p>
    <w:p w:rsidR="00414862" w:rsidRPr="00414862" w:rsidRDefault="00414862" w:rsidP="00414862">
      <w:pPr>
        <w:spacing w:line="259" w:lineRule="auto"/>
        <w:jc w:val="left"/>
      </w:pPr>
      <w:r w:rsidRPr="00414862">
        <w:t xml:space="preserve"> </w:t>
      </w:r>
    </w:p>
    <w:tbl>
      <w:tblPr>
        <w:tblStyle w:val="TableGrid"/>
        <w:tblW w:w="9400" w:type="dxa"/>
        <w:tblInd w:w="288" w:type="dxa"/>
        <w:tblCellMar>
          <w:top w:w="7" w:type="dxa"/>
          <w:left w:w="108" w:type="dxa"/>
        </w:tblCellMar>
        <w:tblLook w:val="04A0" w:firstRow="1" w:lastRow="0" w:firstColumn="1" w:lastColumn="0" w:noHBand="0" w:noVBand="1"/>
      </w:tblPr>
      <w:tblGrid>
        <w:gridCol w:w="3231"/>
        <w:gridCol w:w="1094"/>
        <w:gridCol w:w="1299"/>
        <w:gridCol w:w="1964"/>
        <w:gridCol w:w="492"/>
        <w:gridCol w:w="1320"/>
      </w:tblGrid>
      <w:tr w:rsidR="00414862" w:rsidRPr="00414862" w:rsidTr="00E51A0B">
        <w:trPr>
          <w:trHeight w:val="838"/>
        </w:trPr>
        <w:tc>
          <w:tcPr>
            <w:tcW w:w="3231"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13"/>
              <w:jc w:val="center"/>
              <w:rPr>
                <w:rFonts w:ascii="Calibri" w:hAnsi="Calibri" w:cs="Calibri"/>
                <w:sz w:val="20"/>
                <w:szCs w:val="20"/>
              </w:rPr>
            </w:pPr>
            <w:r w:rsidRPr="00414862">
              <w:rPr>
                <w:rFonts w:ascii="Calibri" w:hAnsi="Calibri" w:cs="Calibri"/>
                <w:b/>
                <w:sz w:val="20"/>
                <w:szCs w:val="20"/>
              </w:rPr>
              <w:lastRenderedPageBreak/>
              <w:t xml:space="preserve">NOMBRE Y FIRMA </w:t>
            </w:r>
          </w:p>
        </w:tc>
        <w:tc>
          <w:tcPr>
            <w:tcW w:w="1094" w:type="dxa"/>
            <w:tcBorders>
              <w:top w:val="single" w:sz="4" w:space="0" w:color="000000"/>
              <w:left w:val="single" w:sz="4" w:space="0" w:color="000000"/>
              <w:bottom w:val="single" w:sz="4" w:space="0" w:color="000000"/>
              <w:right w:val="nil"/>
            </w:tcBorders>
          </w:tcPr>
          <w:p w:rsidR="00414862" w:rsidRPr="00414862" w:rsidRDefault="00414862" w:rsidP="00414862">
            <w:pPr>
              <w:jc w:val="left"/>
              <w:rPr>
                <w:rFonts w:ascii="Calibri" w:hAnsi="Calibri" w:cs="Calibri"/>
                <w:sz w:val="20"/>
                <w:szCs w:val="20"/>
              </w:rPr>
            </w:pPr>
          </w:p>
        </w:tc>
        <w:tc>
          <w:tcPr>
            <w:tcW w:w="3263" w:type="dxa"/>
            <w:gridSpan w:val="2"/>
            <w:tcBorders>
              <w:top w:val="single" w:sz="4" w:space="0" w:color="000000"/>
              <w:left w:val="nil"/>
              <w:bottom w:val="single" w:sz="4" w:space="0" w:color="000000"/>
              <w:right w:val="single" w:sz="4" w:space="0" w:color="000000"/>
            </w:tcBorders>
          </w:tcPr>
          <w:p w:rsidR="00414862" w:rsidRPr="00414862" w:rsidRDefault="00414862" w:rsidP="00414862">
            <w:pPr>
              <w:ind w:left="622"/>
              <w:jc w:val="left"/>
              <w:rPr>
                <w:rFonts w:ascii="Calibri" w:hAnsi="Calibri" w:cs="Calibri"/>
                <w:sz w:val="20"/>
                <w:szCs w:val="20"/>
              </w:rPr>
            </w:pPr>
            <w:r w:rsidRPr="00414862">
              <w:rPr>
                <w:rFonts w:ascii="Calibri" w:hAnsi="Calibri" w:cs="Calibri"/>
                <w:b/>
                <w:sz w:val="20"/>
                <w:szCs w:val="20"/>
              </w:rPr>
              <w:t>VOTO</w:t>
            </w:r>
            <w:r w:rsidRPr="00414862">
              <w:rPr>
                <w:rFonts w:ascii="Calibri" w:hAnsi="Calibri" w:cs="Calibri"/>
                <w:sz w:val="20"/>
                <w:szCs w:val="20"/>
              </w:rPr>
              <w:t xml:space="preserve"> </w:t>
            </w:r>
          </w:p>
        </w:tc>
        <w:tc>
          <w:tcPr>
            <w:tcW w:w="1812" w:type="dxa"/>
            <w:gridSpan w:val="2"/>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spacing w:after="115"/>
              <w:ind w:left="26"/>
              <w:rPr>
                <w:rFonts w:ascii="Calibri" w:hAnsi="Calibri" w:cs="Calibri"/>
                <w:sz w:val="20"/>
                <w:szCs w:val="20"/>
              </w:rPr>
            </w:pPr>
            <w:r w:rsidRPr="00414862">
              <w:rPr>
                <w:rFonts w:ascii="Calibri" w:hAnsi="Calibri" w:cs="Calibri"/>
                <w:b/>
                <w:sz w:val="20"/>
                <w:szCs w:val="20"/>
              </w:rPr>
              <w:t xml:space="preserve">RESERVA DE </w:t>
            </w:r>
          </w:p>
          <w:p w:rsidR="00414862" w:rsidRPr="00414862" w:rsidRDefault="00414862" w:rsidP="00414862">
            <w:pPr>
              <w:ind w:left="84"/>
              <w:jc w:val="left"/>
              <w:rPr>
                <w:rFonts w:ascii="Calibri" w:hAnsi="Calibri" w:cs="Calibri"/>
                <w:sz w:val="20"/>
                <w:szCs w:val="20"/>
              </w:rPr>
            </w:pPr>
            <w:r w:rsidRPr="00414862">
              <w:rPr>
                <w:rFonts w:ascii="Calibri" w:hAnsi="Calibri" w:cs="Calibri"/>
                <w:b/>
                <w:sz w:val="20"/>
                <w:szCs w:val="20"/>
              </w:rPr>
              <w:t xml:space="preserve">ARTÍCULOS </w:t>
            </w:r>
          </w:p>
        </w:tc>
      </w:tr>
      <w:tr w:rsidR="00414862" w:rsidRPr="00414862" w:rsidTr="00E51A0B">
        <w:trPr>
          <w:trHeight w:val="562"/>
        </w:trPr>
        <w:tc>
          <w:tcPr>
            <w:tcW w:w="3231" w:type="dxa"/>
            <w:vMerge w:val="restart"/>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left="29" w:right="-3"/>
              <w:jc w:val="center"/>
              <w:rPr>
                <w:rFonts w:ascii="Calibri" w:hAnsi="Calibri" w:cs="Calibri"/>
                <w:sz w:val="20"/>
                <w:szCs w:val="20"/>
              </w:rPr>
            </w:pPr>
            <w:r w:rsidRPr="00414862">
              <w:rPr>
                <w:rFonts w:ascii="Calibri" w:hAnsi="Calibri" w:cs="Calibri"/>
                <w:b/>
                <w:sz w:val="20"/>
                <w:szCs w:val="20"/>
              </w:rPr>
              <w:t>DIP. JUAN CARLOS GUERRA LÓPEZ NEGRETE</w:t>
            </w:r>
          </w:p>
          <w:p w:rsidR="00414862" w:rsidRPr="00414862" w:rsidRDefault="00414862" w:rsidP="00414862">
            <w:pPr>
              <w:ind w:left="29"/>
              <w:jc w:val="center"/>
              <w:rPr>
                <w:rFonts w:ascii="Calibri" w:hAnsi="Calibri" w:cs="Calibri"/>
                <w:sz w:val="20"/>
                <w:szCs w:val="20"/>
              </w:rPr>
            </w:pPr>
            <w:r w:rsidRPr="00414862">
              <w:rPr>
                <w:rFonts w:ascii="Calibri" w:hAnsi="Calibri" w:cs="Calibri"/>
                <w:b/>
                <w:sz w:val="20"/>
                <w:szCs w:val="20"/>
              </w:rPr>
              <w:t>(COORDINADOR)</w:t>
            </w: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rFonts w:ascii="Calibri" w:hAnsi="Calibri" w:cs="Calibri"/>
                <w:sz w:val="20"/>
                <w:szCs w:val="20"/>
              </w:rPr>
            </w:pPr>
            <w:r w:rsidRPr="00414862">
              <w:rPr>
                <w:rFonts w:ascii="Calibri" w:hAnsi="Calibri" w:cs="Calibri"/>
                <w:b/>
                <w:sz w:val="20"/>
                <w:szCs w:val="20"/>
              </w:rPr>
              <w:t xml:space="preserve">A </w:t>
            </w:r>
          </w:p>
          <w:p w:rsidR="00414862" w:rsidRPr="00414862" w:rsidRDefault="00414862" w:rsidP="00414862">
            <w:pPr>
              <w:ind w:left="12"/>
              <w:rPr>
                <w:rFonts w:ascii="Calibri" w:hAnsi="Calibri" w:cs="Calibri"/>
                <w:sz w:val="20"/>
                <w:szCs w:val="20"/>
              </w:rPr>
            </w:pPr>
            <w:r w:rsidRPr="00414862">
              <w:rPr>
                <w:rFonts w:ascii="Calibri" w:hAnsi="Calibri" w:cs="Calibri"/>
                <w:b/>
                <w:sz w:val="20"/>
                <w:szCs w:val="20"/>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rFonts w:ascii="Calibri" w:hAnsi="Calibri" w:cs="Calibri"/>
                <w:sz w:val="20"/>
                <w:szCs w:val="20"/>
              </w:rPr>
            </w:pPr>
            <w:r w:rsidRPr="00414862">
              <w:rPr>
                <w:rFonts w:ascii="Calibri" w:hAnsi="Calibri" w:cs="Calibri"/>
                <w:b/>
                <w:sz w:val="20"/>
                <w:szCs w:val="20"/>
              </w:rPr>
              <w:t xml:space="preserve">EN </w:t>
            </w:r>
          </w:p>
          <w:p w:rsidR="00414862" w:rsidRPr="00414862" w:rsidRDefault="00414862" w:rsidP="00414862">
            <w:pPr>
              <w:ind w:left="22"/>
              <w:rPr>
                <w:rFonts w:ascii="Calibri" w:hAnsi="Calibri" w:cs="Calibri"/>
                <w:sz w:val="20"/>
                <w:szCs w:val="20"/>
              </w:rPr>
            </w:pPr>
            <w:r w:rsidRPr="00414862">
              <w:rPr>
                <w:rFonts w:ascii="Calibri" w:hAnsi="Calibri" w:cs="Calibri"/>
                <w:b/>
                <w:sz w:val="20"/>
                <w:szCs w:val="20"/>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rPr>
                <w:rFonts w:ascii="Calibri" w:hAnsi="Calibri" w:cs="Calibri"/>
                <w:sz w:val="20"/>
                <w:szCs w:val="20"/>
              </w:rPr>
            </w:pPr>
            <w:r w:rsidRPr="00414862">
              <w:rPr>
                <w:rFonts w:ascii="Calibri" w:hAnsi="Calibri" w:cs="Calibri"/>
                <w:b/>
                <w:sz w:val="20"/>
                <w:szCs w:val="20"/>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24"/>
              <w:jc w:val="left"/>
              <w:rPr>
                <w:rFonts w:ascii="Calibri" w:hAnsi="Calibri" w:cs="Calibri"/>
                <w:sz w:val="20"/>
                <w:szCs w:val="20"/>
              </w:rPr>
            </w:pPr>
            <w:r w:rsidRPr="00414862">
              <w:rPr>
                <w:rFonts w:ascii="Calibri" w:hAnsi="Calibri" w:cs="Calibri"/>
                <w:b/>
                <w:sz w:val="20"/>
                <w:szCs w:val="20"/>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65"/>
              <w:jc w:val="left"/>
              <w:rPr>
                <w:rFonts w:ascii="Calibri" w:hAnsi="Calibri" w:cs="Calibri"/>
                <w:sz w:val="20"/>
                <w:szCs w:val="20"/>
              </w:rPr>
            </w:pPr>
            <w:r w:rsidRPr="00414862">
              <w:rPr>
                <w:rFonts w:ascii="Calibri" w:hAnsi="Calibri" w:cs="Calibri"/>
                <w:b/>
                <w:sz w:val="20"/>
                <w:szCs w:val="20"/>
              </w:rPr>
              <w:t xml:space="preserve">CUALES </w:t>
            </w:r>
          </w:p>
        </w:tc>
      </w:tr>
      <w:tr w:rsidR="00414862" w:rsidRPr="00414862" w:rsidTr="00E51A0B">
        <w:trPr>
          <w:trHeight w:val="895"/>
        </w:trPr>
        <w:tc>
          <w:tcPr>
            <w:tcW w:w="0" w:type="auto"/>
            <w:vMerge/>
            <w:tcBorders>
              <w:top w:val="nil"/>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r>
      <w:tr w:rsidR="00414862" w:rsidRPr="00414862" w:rsidTr="00E51A0B">
        <w:trPr>
          <w:trHeight w:val="562"/>
        </w:trPr>
        <w:tc>
          <w:tcPr>
            <w:tcW w:w="3231" w:type="dxa"/>
            <w:vMerge w:val="restart"/>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left="96"/>
              <w:jc w:val="center"/>
              <w:rPr>
                <w:rFonts w:ascii="Calibri" w:hAnsi="Calibri" w:cs="Calibri"/>
                <w:sz w:val="20"/>
                <w:szCs w:val="20"/>
              </w:rPr>
            </w:pPr>
            <w:r w:rsidRPr="00414862">
              <w:rPr>
                <w:rFonts w:ascii="Calibri" w:hAnsi="Calibri" w:cs="Calibri"/>
                <w:b/>
                <w:sz w:val="20"/>
                <w:szCs w:val="20"/>
              </w:rPr>
              <w:t>DIP. JESÚS BERINO GRANADOS</w:t>
            </w:r>
          </w:p>
          <w:p w:rsidR="00414862" w:rsidRPr="00414862" w:rsidRDefault="00414862" w:rsidP="00414862">
            <w:pPr>
              <w:ind w:left="30"/>
              <w:jc w:val="center"/>
              <w:rPr>
                <w:rFonts w:ascii="Calibri" w:hAnsi="Calibri" w:cs="Calibri"/>
                <w:sz w:val="20"/>
                <w:szCs w:val="20"/>
              </w:rPr>
            </w:pPr>
            <w:r w:rsidRPr="00414862">
              <w:rPr>
                <w:rFonts w:ascii="Calibri" w:hAnsi="Calibri" w:cs="Calibri"/>
                <w:b/>
                <w:sz w:val="20"/>
                <w:szCs w:val="20"/>
              </w:rPr>
              <w:t>(SECRETARIO)</w:t>
            </w:r>
          </w:p>
          <w:p w:rsidR="00414862" w:rsidRPr="00414862" w:rsidRDefault="00414862" w:rsidP="00414862">
            <w:pPr>
              <w:tabs>
                <w:tab w:val="center" w:pos="1561"/>
              </w:tabs>
              <w:jc w:val="left"/>
              <w:rPr>
                <w:rFonts w:ascii="Calibri" w:hAnsi="Calibri" w:cs="Calibri"/>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rFonts w:ascii="Calibri" w:hAnsi="Calibri" w:cs="Calibri"/>
                <w:sz w:val="20"/>
                <w:szCs w:val="20"/>
              </w:rPr>
            </w:pPr>
            <w:r w:rsidRPr="00414862">
              <w:rPr>
                <w:rFonts w:ascii="Calibri" w:hAnsi="Calibri" w:cs="Calibri"/>
                <w:b/>
                <w:sz w:val="20"/>
                <w:szCs w:val="20"/>
              </w:rPr>
              <w:t xml:space="preserve">A </w:t>
            </w:r>
          </w:p>
          <w:p w:rsidR="00414862" w:rsidRPr="00414862" w:rsidRDefault="00414862" w:rsidP="00414862">
            <w:pPr>
              <w:ind w:left="12"/>
              <w:rPr>
                <w:rFonts w:ascii="Calibri" w:hAnsi="Calibri" w:cs="Calibri"/>
                <w:sz w:val="20"/>
                <w:szCs w:val="20"/>
              </w:rPr>
            </w:pPr>
            <w:r w:rsidRPr="00414862">
              <w:rPr>
                <w:rFonts w:ascii="Calibri" w:hAnsi="Calibri" w:cs="Calibri"/>
                <w:b/>
                <w:sz w:val="20"/>
                <w:szCs w:val="20"/>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rFonts w:ascii="Calibri" w:hAnsi="Calibri" w:cs="Calibri"/>
                <w:sz w:val="20"/>
                <w:szCs w:val="20"/>
              </w:rPr>
            </w:pPr>
            <w:r w:rsidRPr="00414862">
              <w:rPr>
                <w:rFonts w:ascii="Calibri" w:hAnsi="Calibri" w:cs="Calibri"/>
                <w:b/>
                <w:sz w:val="20"/>
                <w:szCs w:val="20"/>
              </w:rPr>
              <w:t xml:space="preserve">EN </w:t>
            </w:r>
          </w:p>
          <w:p w:rsidR="00414862" w:rsidRPr="00414862" w:rsidRDefault="00414862" w:rsidP="00414862">
            <w:pPr>
              <w:ind w:left="22"/>
              <w:rPr>
                <w:rFonts w:ascii="Calibri" w:hAnsi="Calibri" w:cs="Calibri"/>
                <w:sz w:val="20"/>
                <w:szCs w:val="20"/>
              </w:rPr>
            </w:pPr>
            <w:r w:rsidRPr="00414862">
              <w:rPr>
                <w:rFonts w:ascii="Calibri" w:hAnsi="Calibri" w:cs="Calibri"/>
                <w:b/>
                <w:sz w:val="20"/>
                <w:szCs w:val="20"/>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rPr>
                <w:rFonts w:ascii="Calibri" w:hAnsi="Calibri" w:cs="Calibri"/>
                <w:sz w:val="20"/>
                <w:szCs w:val="20"/>
              </w:rPr>
            </w:pPr>
            <w:r w:rsidRPr="00414862">
              <w:rPr>
                <w:rFonts w:ascii="Calibri" w:hAnsi="Calibri" w:cs="Calibri"/>
                <w:b/>
                <w:sz w:val="20"/>
                <w:szCs w:val="20"/>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24"/>
              <w:jc w:val="left"/>
              <w:rPr>
                <w:rFonts w:ascii="Calibri" w:hAnsi="Calibri" w:cs="Calibri"/>
                <w:sz w:val="20"/>
                <w:szCs w:val="20"/>
              </w:rPr>
            </w:pPr>
            <w:r w:rsidRPr="00414862">
              <w:rPr>
                <w:rFonts w:ascii="Calibri" w:hAnsi="Calibri" w:cs="Calibri"/>
                <w:b/>
                <w:sz w:val="20"/>
                <w:szCs w:val="20"/>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65"/>
              <w:jc w:val="left"/>
              <w:rPr>
                <w:rFonts w:ascii="Calibri" w:hAnsi="Calibri" w:cs="Calibri"/>
                <w:sz w:val="20"/>
                <w:szCs w:val="20"/>
              </w:rPr>
            </w:pPr>
            <w:r w:rsidRPr="00414862">
              <w:rPr>
                <w:rFonts w:ascii="Calibri" w:hAnsi="Calibri" w:cs="Calibri"/>
                <w:b/>
                <w:sz w:val="20"/>
                <w:szCs w:val="20"/>
              </w:rPr>
              <w:t xml:space="preserve">CUALES </w:t>
            </w:r>
          </w:p>
        </w:tc>
      </w:tr>
      <w:tr w:rsidR="00414862" w:rsidRPr="00414862" w:rsidTr="00E51A0B">
        <w:trPr>
          <w:trHeight w:val="947"/>
        </w:trPr>
        <w:tc>
          <w:tcPr>
            <w:tcW w:w="0" w:type="auto"/>
            <w:vMerge/>
            <w:tcBorders>
              <w:top w:val="nil"/>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r>
      <w:tr w:rsidR="00414862" w:rsidRPr="00414862" w:rsidTr="00E51A0B">
        <w:trPr>
          <w:trHeight w:val="634"/>
        </w:trPr>
        <w:tc>
          <w:tcPr>
            <w:tcW w:w="3231" w:type="dxa"/>
            <w:vMerge w:val="restart"/>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left="30"/>
              <w:jc w:val="center"/>
              <w:rPr>
                <w:rFonts w:ascii="Calibri" w:hAnsi="Calibri" w:cs="Calibri"/>
                <w:sz w:val="20"/>
                <w:szCs w:val="20"/>
              </w:rPr>
            </w:pPr>
            <w:r w:rsidRPr="00414862">
              <w:rPr>
                <w:rFonts w:ascii="Calibri" w:hAnsi="Calibri" w:cs="Calibri"/>
                <w:b/>
                <w:sz w:val="20"/>
                <w:szCs w:val="20"/>
              </w:rPr>
              <w:t>DIP. EDGAR GERARDO SÁNCHEZ GARZA</w:t>
            </w:r>
          </w:p>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rFonts w:ascii="Calibri" w:hAnsi="Calibri" w:cs="Calibri"/>
                <w:sz w:val="20"/>
                <w:szCs w:val="20"/>
              </w:rPr>
            </w:pPr>
            <w:r w:rsidRPr="00414862">
              <w:rPr>
                <w:rFonts w:ascii="Calibri" w:hAnsi="Calibri" w:cs="Calibri"/>
                <w:b/>
                <w:sz w:val="20"/>
                <w:szCs w:val="20"/>
              </w:rPr>
              <w:t xml:space="preserve">A </w:t>
            </w:r>
          </w:p>
          <w:p w:rsidR="00414862" w:rsidRPr="00414862" w:rsidRDefault="00414862" w:rsidP="00414862">
            <w:pPr>
              <w:ind w:left="12"/>
              <w:rPr>
                <w:rFonts w:ascii="Calibri" w:hAnsi="Calibri" w:cs="Calibri"/>
                <w:sz w:val="20"/>
                <w:szCs w:val="20"/>
              </w:rPr>
            </w:pPr>
            <w:r w:rsidRPr="00414862">
              <w:rPr>
                <w:rFonts w:ascii="Calibri" w:hAnsi="Calibri" w:cs="Calibri"/>
                <w:b/>
                <w:sz w:val="20"/>
                <w:szCs w:val="20"/>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rFonts w:ascii="Calibri" w:hAnsi="Calibri" w:cs="Calibri"/>
                <w:sz w:val="20"/>
                <w:szCs w:val="20"/>
              </w:rPr>
            </w:pPr>
            <w:r w:rsidRPr="00414862">
              <w:rPr>
                <w:rFonts w:ascii="Calibri" w:hAnsi="Calibri" w:cs="Calibri"/>
                <w:b/>
                <w:sz w:val="20"/>
                <w:szCs w:val="20"/>
              </w:rPr>
              <w:t xml:space="preserve">EN </w:t>
            </w:r>
          </w:p>
          <w:p w:rsidR="00414862" w:rsidRPr="00414862" w:rsidRDefault="00414862" w:rsidP="00414862">
            <w:pPr>
              <w:ind w:left="22"/>
              <w:rPr>
                <w:rFonts w:ascii="Calibri" w:hAnsi="Calibri" w:cs="Calibri"/>
                <w:sz w:val="20"/>
                <w:szCs w:val="20"/>
              </w:rPr>
            </w:pPr>
            <w:r w:rsidRPr="00414862">
              <w:rPr>
                <w:rFonts w:ascii="Calibri" w:hAnsi="Calibri" w:cs="Calibri"/>
                <w:b/>
                <w:sz w:val="20"/>
                <w:szCs w:val="20"/>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rPr>
                <w:rFonts w:ascii="Calibri" w:hAnsi="Calibri" w:cs="Calibri"/>
                <w:sz w:val="20"/>
                <w:szCs w:val="20"/>
              </w:rPr>
            </w:pPr>
            <w:r w:rsidRPr="00414862">
              <w:rPr>
                <w:rFonts w:ascii="Calibri" w:hAnsi="Calibri" w:cs="Calibri"/>
                <w:b/>
                <w:sz w:val="20"/>
                <w:szCs w:val="20"/>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24"/>
              <w:jc w:val="left"/>
              <w:rPr>
                <w:rFonts w:ascii="Calibri" w:hAnsi="Calibri" w:cs="Calibri"/>
                <w:sz w:val="20"/>
                <w:szCs w:val="20"/>
              </w:rPr>
            </w:pPr>
            <w:r w:rsidRPr="00414862">
              <w:rPr>
                <w:rFonts w:ascii="Calibri" w:hAnsi="Calibri" w:cs="Calibri"/>
                <w:b/>
                <w:sz w:val="20"/>
                <w:szCs w:val="20"/>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65"/>
              <w:jc w:val="left"/>
              <w:rPr>
                <w:rFonts w:ascii="Calibri" w:hAnsi="Calibri" w:cs="Calibri"/>
                <w:sz w:val="20"/>
                <w:szCs w:val="20"/>
              </w:rPr>
            </w:pPr>
            <w:r w:rsidRPr="00414862">
              <w:rPr>
                <w:rFonts w:ascii="Calibri" w:hAnsi="Calibri" w:cs="Calibri"/>
                <w:b/>
                <w:sz w:val="20"/>
                <w:szCs w:val="20"/>
              </w:rPr>
              <w:t xml:space="preserve">CUALES </w:t>
            </w:r>
          </w:p>
        </w:tc>
      </w:tr>
      <w:tr w:rsidR="00414862" w:rsidRPr="00414862" w:rsidTr="00E51A0B">
        <w:trPr>
          <w:trHeight w:val="1183"/>
        </w:trPr>
        <w:tc>
          <w:tcPr>
            <w:tcW w:w="0" w:type="auto"/>
            <w:vMerge/>
            <w:tcBorders>
              <w:top w:val="nil"/>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r>
      <w:tr w:rsidR="00414862" w:rsidRPr="00414862" w:rsidTr="00E51A0B">
        <w:trPr>
          <w:trHeight w:val="636"/>
        </w:trPr>
        <w:tc>
          <w:tcPr>
            <w:tcW w:w="3231"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45"/>
              <w:jc w:val="center"/>
              <w:rPr>
                <w:rFonts w:ascii="Calibri" w:hAnsi="Calibri" w:cs="Calibri"/>
                <w:sz w:val="20"/>
                <w:szCs w:val="20"/>
              </w:rPr>
            </w:pPr>
            <w:r w:rsidRPr="00414862">
              <w:rPr>
                <w:rFonts w:ascii="Calibri" w:hAnsi="Calibri" w:cs="Calibri"/>
                <w:b/>
                <w:sz w:val="20"/>
                <w:szCs w:val="20"/>
              </w:rPr>
              <w:t>DIP. CLAUDIA ISELA RAMÍREZ PINEDA</w:t>
            </w: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rFonts w:ascii="Calibri" w:hAnsi="Calibri" w:cs="Calibri"/>
                <w:sz w:val="20"/>
                <w:szCs w:val="20"/>
              </w:rPr>
            </w:pPr>
            <w:r w:rsidRPr="00414862">
              <w:rPr>
                <w:rFonts w:ascii="Calibri" w:hAnsi="Calibri" w:cs="Calibri"/>
                <w:b/>
                <w:sz w:val="20"/>
                <w:szCs w:val="20"/>
              </w:rPr>
              <w:t xml:space="preserve">A </w:t>
            </w:r>
          </w:p>
          <w:p w:rsidR="00414862" w:rsidRPr="00414862" w:rsidRDefault="00414862" w:rsidP="00414862">
            <w:pPr>
              <w:ind w:left="12"/>
              <w:rPr>
                <w:rFonts w:ascii="Calibri" w:hAnsi="Calibri" w:cs="Calibri"/>
                <w:sz w:val="20"/>
                <w:szCs w:val="20"/>
              </w:rPr>
            </w:pPr>
            <w:r w:rsidRPr="00414862">
              <w:rPr>
                <w:rFonts w:ascii="Calibri" w:hAnsi="Calibri" w:cs="Calibri"/>
                <w:b/>
                <w:sz w:val="20"/>
                <w:szCs w:val="20"/>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rFonts w:ascii="Calibri" w:hAnsi="Calibri" w:cs="Calibri"/>
                <w:sz w:val="20"/>
                <w:szCs w:val="20"/>
              </w:rPr>
            </w:pPr>
            <w:r w:rsidRPr="00414862">
              <w:rPr>
                <w:rFonts w:ascii="Calibri" w:hAnsi="Calibri" w:cs="Calibri"/>
                <w:b/>
                <w:sz w:val="20"/>
                <w:szCs w:val="20"/>
              </w:rPr>
              <w:t xml:space="preserve">EN </w:t>
            </w:r>
          </w:p>
          <w:p w:rsidR="00414862" w:rsidRPr="00414862" w:rsidRDefault="00414862" w:rsidP="00414862">
            <w:pPr>
              <w:ind w:left="22"/>
              <w:rPr>
                <w:rFonts w:ascii="Calibri" w:hAnsi="Calibri" w:cs="Calibri"/>
                <w:sz w:val="20"/>
                <w:szCs w:val="20"/>
              </w:rPr>
            </w:pPr>
            <w:r w:rsidRPr="00414862">
              <w:rPr>
                <w:rFonts w:ascii="Calibri" w:hAnsi="Calibri" w:cs="Calibri"/>
                <w:b/>
                <w:sz w:val="20"/>
                <w:szCs w:val="20"/>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rPr>
                <w:rFonts w:ascii="Calibri" w:hAnsi="Calibri" w:cs="Calibri"/>
                <w:sz w:val="20"/>
                <w:szCs w:val="20"/>
              </w:rPr>
            </w:pPr>
            <w:r w:rsidRPr="00414862">
              <w:rPr>
                <w:rFonts w:ascii="Calibri" w:hAnsi="Calibri" w:cs="Calibri"/>
                <w:b/>
                <w:sz w:val="20"/>
                <w:szCs w:val="20"/>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24"/>
              <w:jc w:val="left"/>
              <w:rPr>
                <w:rFonts w:ascii="Calibri" w:hAnsi="Calibri" w:cs="Calibri"/>
                <w:sz w:val="20"/>
                <w:szCs w:val="20"/>
              </w:rPr>
            </w:pPr>
            <w:r w:rsidRPr="00414862">
              <w:rPr>
                <w:rFonts w:ascii="Calibri" w:hAnsi="Calibri" w:cs="Calibri"/>
                <w:b/>
                <w:sz w:val="20"/>
                <w:szCs w:val="20"/>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65"/>
              <w:jc w:val="left"/>
              <w:rPr>
                <w:rFonts w:ascii="Calibri" w:hAnsi="Calibri" w:cs="Calibri"/>
                <w:sz w:val="20"/>
                <w:szCs w:val="20"/>
              </w:rPr>
            </w:pPr>
            <w:r w:rsidRPr="00414862">
              <w:rPr>
                <w:rFonts w:ascii="Calibri" w:hAnsi="Calibri" w:cs="Calibri"/>
                <w:b/>
                <w:sz w:val="20"/>
                <w:szCs w:val="20"/>
              </w:rPr>
              <w:t xml:space="preserve">CUALES </w:t>
            </w:r>
          </w:p>
        </w:tc>
      </w:tr>
      <w:tr w:rsidR="00414862" w:rsidRPr="00414862" w:rsidTr="00E51A0B">
        <w:trPr>
          <w:trHeight w:val="982"/>
        </w:trPr>
        <w:tc>
          <w:tcPr>
            <w:tcW w:w="3231"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12"/>
              <w:jc w:val="center"/>
              <w:rPr>
                <w:rFonts w:ascii="Calibri" w:hAnsi="Calibri" w:cs="Calibri"/>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r>
      <w:tr w:rsidR="00414862" w:rsidRPr="00414862" w:rsidTr="00E51A0B">
        <w:trPr>
          <w:trHeight w:val="634"/>
        </w:trPr>
        <w:tc>
          <w:tcPr>
            <w:tcW w:w="3231" w:type="dxa"/>
            <w:vMerge w:val="restart"/>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left="74"/>
              <w:jc w:val="center"/>
              <w:rPr>
                <w:rFonts w:ascii="Calibri" w:hAnsi="Calibri" w:cs="Calibri"/>
                <w:sz w:val="20"/>
                <w:szCs w:val="20"/>
              </w:rPr>
            </w:pPr>
            <w:r w:rsidRPr="00414862">
              <w:rPr>
                <w:rFonts w:ascii="Calibri" w:hAnsi="Calibri" w:cs="Calibri"/>
                <w:b/>
                <w:sz w:val="20"/>
                <w:szCs w:val="20"/>
              </w:rPr>
              <w:t>DIP. MARIA ESPERANZA CHAPA GARCÍA</w:t>
            </w:r>
          </w:p>
          <w:p w:rsidR="00414862" w:rsidRPr="00414862" w:rsidRDefault="00414862" w:rsidP="00414862">
            <w:pPr>
              <w:jc w:val="center"/>
              <w:rPr>
                <w:rFonts w:ascii="Calibri" w:hAnsi="Calibri" w:cs="Calibri"/>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rFonts w:ascii="Calibri" w:hAnsi="Calibri" w:cs="Calibri"/>
                <w:sz w:val="20"/>
                <w:szCs w:val="20"/>
              </w:rPr>
            </w:pPr>
            <w:r w:rsidRPr="00414862">
              <w:rPr>
                <w:rFonts w:ascii="Calibri" w:hAnsi="Calibri" w:cs="Calibri"/>
                <w:b/>
                <w:sz w:val="20"/>
                <w:szCs w:val="20"/>
              </w:rPr>
              <w:t xml:space="preserve">A </w:t>
            </w:r>
          </w:p>
          <w:p w:rsidR="00414862" w:rsidRPr="00414862" w:rsidRDefault="00414862" w:rsidP="00414862">
            <w:pPr>
              <w:ind w:left="12"/>
              <w:rPr>
                <w:rFonts w:ascii="Calibri" w:hAnsi="Calibri" w:cs="Calibri"/>
                <w:sz w:val="20"/>
                <w:szCs w:val="20"/>
              </w:rPr>
            </w:pPr>
            <w:r w:rsidRPr="00414862">
              <w:rPr>
                <w:rFonts w:ascii="Calibri" w:hAnsi="Calibri" w:cs="Calibri"/>
                <w:b/>
                <w:sz w:val="20"/>
                <w:szCs w:val="20"/>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rFonts w:ascii="Calibri" w:hAnsi="Calibri" w:cs="Calibri"/>
                <w:sz w:val="20"/>
                <w:szCs w:val="20"/>
              </w:rPr>
            </w:pPr>
            <w:r w:rsidRPr="00414862">
              <w:rPr>
                <w:rFonts w:ascii="Calibri" w:hAnsi="Calibri" w:cs="Calibri"/>
                <w:b/>
                <w:sz w:val="20"/>
                <w:szCs w:val="20"/>
              </w:rPr>
              <w:t xml:space="preserve">EN </w:t>
            </w:r>
          </w:p>
          <w:p w:rsidR="00414862" w:rsidRPr="00414862" w:rsidRDefault="00414862" w:rsidP="00414862">
            <w:pPr>
              <w:ind w:left="22"/>
              <w:rPr>
                <w:rFonts w:ascii="Calibri" w:hAnsi="Calibri" w:cs="Calibri"/>
                <w:sz w:val="20"/>
                <w:szCs w:val="20"/>
              </w:rPr>
            </w:pPr>
            <w:r w:rsidRPr="00414862">
              <w:rPr>
                <w:rFonts w:ascii="Calibri" w:hAnsi="Calibri" w:cs="Calibri"/>
                <w:b/>
                <w:sz w:val="20"/>
                <w:szCs w:val="20"/>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rPr>
                <w:rFonts w:ascii="Calibri" w:hAnsi="Calibri" w:cs="Calibri"/>
                <w:sz w:val="20"/>
                <w:szCs w:val="20"/>
              </w:rPr>
            </w:pPr>
            <w:r w:rsidRPr="00414862">
              <w:rPr>
                <w:rFonts w:ascii="Calibri" w:hAnsi="Calibri" w:cs="Calibri"/>
                <w:b/>
                <w:sz w:val="20"/>
                <w:szCs w:val="20"/>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24"/>
              <w:jc w:val="left"/>
              <w:rPr>
                <w:rFonts w:ascii="Calibri" w:hAnsi="Calibri" w:cs="Calibri"/>
                <w:sz w:val="20"/>
                <w:szCs w:val="20"/>
              </w:rPr>
            </w:pPr>
            <w:r w:rsidRPr="00414862">
              <w:rPr>
                <w:rFonts w:ascii="Calibri" w:hAnsi="Calibri" w:cs="Calibri"/>
                <w:b/>
                <w:sz w:val="20"/>
                <w:szCs w:val="20"/>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65"/>
              <w:jc w:val="left"/>
              <w:rPr>
                <w:rFonts w:ascii="Calibri" w:hAnsi="Calibri" w:cs="Calibri"/>
                <w:sz w:val="20"/>
                <w:szCs w:val="20"/>
              </w:rPr>
            </w:pPr>
            <w:r w:rsidRPr="00414862">
              <w:rPr>
                <w:rFonts w:ascii="Calibri" w:hAnsi="Calibri" w:cs="Calibri"/>
                <w:b/>
                <w:sz w:val="20"/>
                <w:szCs w:val="20"/>
              </w:rPr>
              <w:t xml:space="preserve">CUALES </w:t>
            </w:r>
          </w:p>
        </w:tc>
      </w:tr>
      <w:tr w:rsidR="00414862" w:rsidRPr="00414862" w:rsidTr="00E51A0B">
        <w:trPr>
          <w:trHeight w:val="793"/>
        </w:trPr>
        <w:tc>
          <w:tcPr>
            <w:tcW w:w="0" w:type="auto"/>
            <w:vMerge/>
            <w:tcBorders>
              <w:top w:val="nil"/>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rFonts w:ascii="Calibri" w:hAnsi="Calibri" w:cs="Calibri"/>
                <w:sz w:val="20"/>
                <w:szCs w:val="20"/>
              </w:rPr>
            </w:pPr>
            <w:r w:rsidRPr="00414862">
              <w:rPr>
                <w:rFonts w:ascii="Calibri" w:hAnsi="Calibri" w:cs="Calibri"/>
                <w:sz w:val="20"/>
                <w:szCs w:val="20"/>
              </w:rPr>
              <w:t xml:space="preserve"> </w:t>
            </w:r>
          </w:p>
        </w:tc>
      </w:tr>
    </w:tbl>
    <w:p w:rsidR="00414862" w:rsidRPr="00414862" w:rsidRDefault="00414862" w:rsidP="00414862">
      <w:pPr>
        <w:spacing w:line="259" w:lineRule="auto"/>
        <w:rPr>
          <w:rFonts w:ascii="Calibri" w:hAnsi="Calibri" w:cs="Calibri"/>
        </w:rPr>
      </w:pPr>
      <w:r w:rsidRPr="00414862">
        <w:rPr>
          <w:rFonts w:ascii="Calibri" w:hAnsi="Calibri" w:cs="Calibri"/>
        </w:rPr>
        <w:t xml:space="preserve"> </w:t>
      </w:r>
    </w:p>
    <w:p w:rsidR="00414862" w:rsidRPr="00414862" w:rsidRDefault="00414862" w:rsidP="00414862">
      <w:pPr>
        <w:ind w:right="1"/>
        <w:jc w:val="center"/>
        <w:rPr>
          <w:rFonts w:cs="Arial"/>
          <w:b/>
          <w:bCs/>
          <w:sz w:val="24"/>
          <w:szCs w:val="28"/>
          <w:lang w:val="es-ES"/>
        </w:rPr>
      </w:pPr>
    </w:p>
    <w:p w:rsidR="00414862" w:rsidRDefault="00414862">
      <w:pPr>
        <w:jc w:val="left"/>
        <w:rPr>
          <w:rFonts w:cs="Arial"/>
          <w:b/>
          <w:snapToGrid w:val="0"/>
          <w:sz w:val="26"/>
          <w:szCs w:val="26"/>
        </w:rPr>
      </w:pPr>
      <w:r>
        <w:rPr>
          <w:rFonts w:cs="Arial"/>
          <w:b/>
          <w:snapToGrid w:val="0"/>
          <w:sz w:val="26"/>
          <w:szCs w:val="26"/>
        </w:rPr>
        <w:br w:type="page"/>
      </w:r>
    </w:p>
    <w:p w:rsidR="00414862" w:rsidRPr="00414862" w:rsidRDefault="00414862" w:rsidP="00414862">
      <w:pPr>
        <w:ind w:left="-15" w:right="-7"/>
        <w:rPr>
          <w:b/>
          <w:sz w:val="26"/>
          <w:szCs w:val="26"/>
        </w:rPr>
      </w:pPr>
      <w:r w:rsidRPr="00414862">
        <w:rPr>
          <w:b/>
          <w:sz w:val="26"/>
          <w:szCs w:val="26"/>
        </w:rPr>
        <w:lastRenderedPageBreak/>
        <w:t xml:space="preserve">ACUERDO DE LA COMISIÓN DE SEGURIDAD, RELATIVO A LA PROPOSICIÓN CON PUNTO DE ACUERDO PRESENTADA POR LA DIPUTADA CLAUDIA ISELA RAMIREZ PINEDA DE LA FRACCIÓN PARLAMENTARIA “ELVIA CARRILLO PUERTO” DEL PARTIDO DE LA REVOLUCIÓN DEMOCRÁTICA, EN EL QUE EXHORTAN A LA SECRETARÍA DE SEGURIDAD Y PROTECCIÓN CIUDADANA, A LA SECRETARÍA DE SEGURIDAD PÚBLICA DEL ESTADO DE COAHUILA Y A LOS 38 MUNICIPIOS DEL ESTADO DE COAHUILA, A REFORZAR DE MANERA COORDINADA LAS ACCIONES DE SEGURIDAD EN LA ENTIDAD, EN LOS TÉRMINOS QUE CONSIGNA EL DOCUMENTO QUE SE ACOMPAÑA A LA PRESENTE COMUNICACIÓN. </w:t>
      </w:r>
    </w:p>
    <w:p w:rsidR="00414862" w:rsidRPr="00414862" w:rsidRDefault="00414862" w:rsidP="00414862">
      <w:pPr>
        <w:spacing w:line="276" w:lineRule="auto"/>
        <w:jc w:val="left"/>
        <w:rPr>
          <w:sz w:val="26"/>
          <w:szCs w:val="26"/>
        </w:rPr>
      </w:pPr>
      <w:r w:rsidRPr="00414862">
        <w:rPr>
          <w:b/>
          <w:sz w:val="26"/>
          <w:szCs w:val="26"/>
        </w:rPr>
        <w:t xml:space="preserve"> </w:t>
      </w:r>
    </w:p>
    <w:p w:rsidR="00414862" w:rsidRPr="00414862" w:rsidRDefault="00414862" w:rsidP="00414862">
      <w:pPr>
        <w:spacing w:line="276" w:lineRule="auto"/>
        <w:ind w:left="-5"/>
        <w:rPr>
          <w:sz w:val="26"/>
          <w:szCs w:val="26"/>
        </w:rPr>
      </w:pPr>
      <w:r w:rsidRPr="00414862">
        <w:rPr>
          <w:sz w:val="26"/>
          <w:szCs w:val="26"/>
        </w:rPr>
        <w:t xml:space="preserve">La Comisión de Seguridad Pública, con fundamento en los artículos 106, 116, 117 y demás relativos de la Ley Orgánica del Congreso del Estado, Independiente, Libre y Soberano de Coahuila de Zaragoza, emite el presente acuerdo bajo las siguientes: </w:t>
      </w:r>
    </w:p>
    <w:p w:rsidR="00414862" w:rsidRPr="00414862" w:rsidRDefault="00414862" w:rsidP="00414862">
      <w:pPr>
        <w:spacing w:line="276" w:lineRule="auto"/>
        <w:ind w:left="64"/>
        <w:jc w:val="center"/>
        <w:rPr>
          <w:b/>
          <w:sz w:val="26"/>
          <w:szCs w:val="26"/>
        </w:rPr>
      </w:pPr>
      <w:r w:rsidRPr="00414862">
        <w:rPr>
          <w:b/>
          <w:sz w:val="26"/>
          <w:szCs w:val="26"/>
        </w:rPr>
        <w:t xml:space="preserve"> </w:t>
      </w:r>
    </w:p>
    <w:p w:rsidR="00414862" w:rsidRPr="00414862" w:rsidRDefault="00414862" w:rsidP="00414862">
      <w:pPr>
        <w:spacing w:line="276" w:lineRule="auto"/>
        <w:ind w:left="64"/>
        <w:jc w:val="center"/>
        <w:rPr>
          <w:b/>
          <w:sz w:val="26"/>
          <w:szCs w:val="26"/>
        </w:rPr>
      </w:pPr>
      <w:r w:rsidRPr="00414862">
        <w:rPr>
          <w:b/>
          <w:sz w:val="26"/>
          <w:szCs w:val="26"/>
        </w:rPr>
        <w:t xml:space="preserve">C O N S I D E R A C I O N E S </w:t>
      </w:r>
    </w:p>
    <w:p w:rsidR="00414862" w:rsidRPr="00414862" w:rsidRDefault="00414862" w:rsidP="00414862">
      <w:pPr>
        <w:spacing w:line="276" w:lineRule="auto"/>
        <w:jc w:val="left"/>
        <w:rPr>
          <w:sz w:val="26"/>
          <w:szCs w:val="26"/>
        </w:rPr>
      </w:pPr>
      <w:r w:rsidRPr="00414862">
        <w:rPr>
          <w:b/>
          <w:sz w:val="26"/>
          <w:szCs w:val="26"/>
        </w:rPr>
        <w:t xml:space="preserve"> </w:t>
      </w:r>
    </w:p>
    <w:p w:rsidR="00414862" w:rsidRPr="00414862" w:rsidRDefault="00414862" w:rsidP="00414862">
      <w:pPr>
        <w:spacing w:line="276" w:lineRule="auto"/>
        <w:ind w:left="-5"/>
        <w:rPr>
          <w:sz w:val="26"/>
          <w:szCs w:val="26"/>
        </w:rPr>
      </w:pPr>
      <w:r w:rsidRPr="00414862">
        <w:rPr>
          <w:b/>
          <w:sz w:val="26"/>
          <w:szCs w:val="26"/>
        </w:rPr>
        <w:t>PRIMERA.-</w:t>
      </w:r>
      <w:r w:rsidRPr="00414862">
        <w:rPr>
          <w:sz w:val="26"/>
          <w:szCs w:val="26"/>
        </w:rPr>
        <w:t xml:space="preserve"> Que en Sesión celebrada por el Pleno del Congreso,  en fecha 20 de marzo del año 2019, se dio lectura al Punto de Acuerdo mencionado en el proemio de éste acuerdo </w:t>
      </w:r>
    </w:p>
    <w:p w:rsidR="00414862" w:rsidRPr="00414862" w:rsidRDefault="00414862" w:rsidP="00414862">
      <w:pPr>
        <w:spacing w:line="276" w:lineRule="auto"/>
        <w:jc w:val="left"/>
        <w:rPr>
          <w:sz w:val="26"/>
          <w:szCs w:val="26"/>
        </w:rPr>
      </w:pPr>
      <w:r w:rsidRPr="00414862">
        <w:rPr>
          <w:sz w:val="26"/>
          <w:szCs w:val="26"/>
        </w:rPr>
        <w:t xml:space="preserve"> </w:t>
      </w:r>
    </w:p>
    <w:p w:rsidR="00414862" w:rsidRPr="00414862" w:rsidRDefault="00414862" w:rsidP="00414862">
      <w:pPr>
        <w:spacing w:line="276" w:lineRule="auto"/>
        <w:ind w:left="-5"/>
        <w:rPr>
          <w:sz w:val="26"/>
          <w:szCs w:val="26"/>
        </w:rPr>
      </w:pPr>
      <w:r w:rsidRPr="00414862">
        <w:rPr>
          <w:b/>
          <w:sz w:val="26"/>
          <w:szCs w:val="26"/>
        </w:rPr>
        <w:t>SEGUNDA.-</w:t>
      </w:r>
      <w:r w:rsidRPr="00414862">
        <w:rPr>
          <w:sz w:val="26"/>
          <w:szCs w:val="26"/>
        </w:rPr>
        <w:t xml:space="preserve"> Que en cumplimiento a dicho acuerdo, el punto de acuerdo fue remitido a ésta Comisión para efectos de estudio y dictamen el día 08 de abril de 2019.</w:t>
      </w:r>
    </w:p>
    <w:p w:rsidR="00414862" w:rsidRPr="00414862" w:rsidRDefault="00414862" w:rsidP="00414862">
      <w:pPr>
        <w:spacing w:line="276" w:lineRule="auto"/>
        <w:jc w:val="left"/>
        <w:rPr>
          <w:sz w:val="26"/>
          <w:szCs w:val="26"/>
        </w:rPr>
      </w:pPr>
      <w:r w:rsidRPr="00414862">
        <w:rPr>
          <w:sz w:val="26"/>
          <w:szCs w:val="26"/>
        </w:rPr>
        <w:t xml:space="preserve"> </w:t>
      </w:r>
    </w:p>
    <w:p w:rsidR="00414862" w:rsidRPr="00414862" w:rsidRDefault="00414862" w:rsidP="00414862">
      <w:pPr>
        <w:spacing w:line="276" w:lineRule="auto"/>
        <w:rPr>
          <w:sz w:val="26"/>
          <w:szCs w:val="26"/>
        </w:rPr>
      </w:pPr>
      <w:r w:rsidRPr="00414862">
        <w:rPr>
          <w:b/>
          <w:sz w:val="26"/>
          <w:szCs w:val="26"/>
        </w:rPr>
        <w:t>TERCERA.-</w:t>
      </w:r>
      <w:r w:rsidRPr="00414862">
        <w:rPr>
          <w:sz w:val="26"/>
          <w:szCs w:val="26"/>
        </w:rPr>
        <w:t xml:space="preserve"> </w:t>
      </w:r>
      <w:r w:rsidRPr="00414862">
        <w:rPr>
          <w:b/>
          <w:sz w:val="26"/>
          <w:szCs w:val="26"/>
        </w:rPr>
        <w:t xml:space="preserve"> </w:t>
      </w:r>
      <w:r w:rsidRPr="00414862">
        <w:rPr>
          <w:sz w:val="26"/>
          <w:szCs w:val="26"/>
        </w:rPr>
        <w:t>Que conforme a lo dispuesto en el Artículo 106 de la Ley Orgánica del Congreso del Estado Independiente, Libre y Soberano de Coahuila de Zaragoza esta Comisión es competente para acordar sobre dicha propuesta; y</w:t>
      </w:r>
    </w:p>
    <w:p w:rsidR="00414862" w:rsidRPr="00414862" w:rsidRDefault="00414862" w:rsidP="00414862">
      <w:pPr>
        <w:spacing w:line="276" w:lineRule="auto"/>
        <w:ind w:left="-5"/>
        <w:rPr>
          <w:sz w:val="26"/>
          <w:szCs w:val="26"/>
        </w:rPr>
      </w:pPr>
    </w:p>
    <w:p w:rsidR="00414862" w:rsidRPr="00414862" w:rsidRDefault="00414862" w:rsidP="00414862">
      <w:pPr>
        <w:spacing w:line="276" w:lineRule="auto"/>
        <w:ind w:left="-5"/>
        <w:rPr>
          <w:sz w:val="26"/>
          <w:szCs w:val="26"/>
        </w:rPr>
      </w:pPr>
      <w:r w:rsidRPr="00414862">
        <w:rPr>
          <w:b/>
          <w:sz w:val="26"/>
          <w:szCs w:val="26"/>
        </w:rPr>
        <w:t>CUARTA.-</w:t>
      </w:r>
      <w:r w:rsidRPr="00414862">
        <w:rPr>
          <w:sz w:val="26"/>
          <w:szCs w:val="26"/>
        </w:rPr>
        <w:t xml:space="preserve"> Que la propuesta del promovente se basa en reforzar de manera coordinada las acciones  de seguridad en la entidad, en los términos  que consigna el documento que se acompaña a la presente comunicación.</w:t>
      </w:r>
    </w:p>
    <w:p w:rsidR="00414862" w:rsidRPr="00414862" w:rsidRDefault="00414862" w:rsidP="00414862">
      <w:pPr>
        <w:spacing w:line="276" w:lineRule="auto"/>
        <w:ind w:left="-5"/>
        <w:rPr>
          <w:sz w:val="26"/>
          <w:szCs w:val="26"/>
        </w:rPr>
      </w:pPr>
    </w:p>
    <w:p w:rsidR="00414862" w:rsidRPr="00414862" w:rsidRDefault="00414862" w:rsidP="00414862">
      <w:pPr>
        <w:spacing w:line="276" w:lineRule="auto"/>
        <w:ind w:left="-5"/>
        <w:rPr>
          <w:sz w:val="26"/>
          <w:szCs w:val="26"/>
        </w:rPr>
      </w:pPr>
      <w:r w:rsidRPr="00414862">
        <w:rPr>
          <w:b/>
          <w:sz w:val="26"/>
          <w:szCs w:val="26"/>
        </w:rPr>
        <w:t>QUINTA.</w:t>
      </w:r>
      <w:r w:rsidRPr="00414862">
        <w:rPr>
          <w:sz w:val="26"/>
          <w:szCs w:val="26"/>
        </w:rPr>
        <w:t>- Que el punto de acuerdo mencionado se funda en las siguientes consideraciones:</w:t>
      </w:r>
    </w:p>
    <w:p w:rsidR="00414862" w:rsidRPr="00414862" w:rsidRDefault="00414862" w:rsidP="00414862">
      <w:pPr>
        <w:spacing w:line="276" w:lineRule="auto"/>
        <w:rPr>
          <w:sz w:val="26"/>
          <w:szCs w:val="26"/>
        </w:rPr>
      </w:pPr>
    </w:p>
    <w:p w:rsidR="00414862" w:rsidRPr="00414862" w:rsidRDefault="00414862" w:rsidP="00414862">
      <w:pPr>
        <w:numPr>
          <w:ilvl w:val="0"/>
          <w:numId w:val="20"/>
        </w:numPr>
        <w:spacing w:line="276" w:lineRule="auto"/>
        <w:ind w:right="1"/>
        <w:contextualSpacing/>
        <w:rPr>
          <w:rFonts w:eastAsia="Calibri" w:cs="Arial"/>
          <w:sz w:val="26"/>
          <w:szCs w:val="26"/>
          <w:lang w:val="es-ES"/>
        </w:rPr>
      </w:pPr>
      <w:r w:rsidRPr="00414862">
        <w:rPr>
          <w:rFonts w:eastAsia="Calibri" w:cs="Arial"/>
          <w:sz w:val="26"/>
          <w:szCs w:val="26"/>
          <w:lang w:val="es-ES"/>
        </w:rPr>
        <w:t>El día 8 de enero pasado el periódico El Siglo</w:t>
      </w:r>
      <w:r w:rsidRPr="00414862">
        <w:rPr>
          <w:rFonts w:eastAsia="Calibri" w:cs="Arial"/>
          <w:sz w:val="26"/>
          <w:szCs w:val="26"/>
          <w:vertAlign w:val="superscript"/>
          <w:lang w:val="es-ES"/>
        </w:rPr>
        <w:footnoteReference w:id="1"/>
      </w:r>
      <w:r w:rsidRPr="00414862">
        <w:rPr>
          <w:rFonts w:eastAsia="Calibri" w:cs="Arial"/>
          <w:sz w:val="26"/>
          <w:szCs w:val="26"/>
          <w:lang w:val="es-ES"/>
        </w:rPr>
        <w:t>, reportó la muerte violenta de tres personas en una vulcanizadora ubicada en la colonia Villas de Zaragoza en el municipio de Torreón. Según el informe periodístico los agresores llegaron hasta el lugar de los hechos y accionaron sus armas en contra de los presentes para posteriormente retirarse a bordo de un vehículo de color gris.</w:t>
      </w:r>
    </w:p>
    <w:p w:rsidR="00414862" w:rsidRPr="00414862" w:rsidRDefault="00414862" w:rsidP="00414862">
      <w:pPr>
        <w:spacing w:line="276" w:lineRule="auto"/>
        <w:rPr>
          <w:rFonts w:cs="Arial"/>
          <w:sz w:val="26"/>
          <w:szCs w:val="26"/>
        </w:rPr>
      </w:pPr>
    </w:p>
    <w:p w:rsidR="00414862" w:rsidRPr="00414862" w:rsidRDefault="00414862" w:rsidP="00414862">
      <w:pPr>
        <w:numPr>
          <w:ilvl w:val="0"/>
          <w:numId w:val="20"/>
        </w:numPr>
        <w:spacing w:line="276" w:lineRule="auto"/>
        <w:ind w:right="1"/>
        <w:contextualSpacing/>
        <w:rPr>
          <w:rFonts w:eastAsia="Calibri" w:cs="Arial"/>
          <w:sz w:val="26"/>
          <w:szCs w:val="26"/>
          <w:lang w:val="es-ES"/>
        </w:rPr>
      </w:pPr>
      <w:r w:rsidRPr="00414862">
        <w:rPr>
          <w:rFonts w:eastAsia="Calibri" w:cs="Arial"/>
          <w:sz w:val="26"/>
          <w:szCs w:val="26"/>
          <w:lang w:val="es-ES"/>
        </w:rPr>
        <w:t>Menos de una semana después, el día 15 de enero María Yesenia una adolescente de tan sólo 15 años de edad, salió de su casa en la colonia Parajes del Valle, en Ramos Arizpe, para recoger a sus hermanos de la escuela, pero nunca regresó. Casi 15 horas después, sus restos fueron encontrados con huellas de violencia y probable abuso sexual, en un lote ubicado entre las colonias Valle Poniente y Parajes del Valle. La causa de la muerte fue asfixia por estrangulamiento.</w:t>
      </w:r>
      <w:r w:rsidRPr="00414862">
        <w:rPr>
          <w:rFonts w:eastAsia="Calibri" w:cs="Arial"/>
          <w:sz w:val="26"/>
          <w:szCs w:val="26"/>
          <w:vertAlign w:val="superscript"/>
          <w:lang w:val="es-ES"/>
        </w:rPr>
        <w:footnoteReference w:id="2"/>
      </w:r>
    </w:p>
    <w:p w:rsidR="00414862" w:rsidRPr="00414862" w:rsidRDefault="00414862" w:rsidP="00414862">
      <w:pPr>
        <w:spacing w:line="276" w:lineRule="auto"/>
        <w:rPr>
          <w:rFonts w:cs="Arial"/>
          <w:sz w:val="26"/>
          <w:szCs w:val="26"/>
        </w:rPr>
      </w:pPr>
    </w:p>
    <w:p w:rsidR="00414862" w:rsidRPr="00414862" w:rsidRDefault="00414862" w:rsidP="00414862">
      <w:pPr>
        <w:numPr>
          <w:ilvl w:val="0"/>
          <w:numId w:val="20"/>
        </w:numPr>
        <w:spacing w:line="276" w:lineRule="auto"/>
        <w:ind w:right="1"/>
        <w:contextualSpacing/>
        <w:rPr>
          <w:rFonts w:eastAsia="Calibri" w:cs="Arial"/>
          <w:sz w:val="26"/>
          <w:szCs w:val="26"/>
          <w:lang w:val="es-ES"/>
        </w:rPr>
      </w:pPr>
      <w:r w:rsidRPr="00414862">
        <w:rPr>
          <w:rFonts w:eastAsia="Calibri" w:cs="Arial"/>
          <w:sz w:val="26"/>
          <w:szCs w:val="26"/>
          <w:lang w:val="es-ES"/>
        </w:rPr>
        <w:t xml:space="preserve">El día 28 de enero, se reportó una balacera y persecución de hombres armados en la ciudad de Piedras Negras, según medios locales, estos hechos iniciaron luego de que se encontrara el cuerpo de una persona decapitada y con señas de tortura. Algunos ciudadanos quedaron atrapados en medio de la balacera, grabando los hechos mediante sus celulares. </w:t>
      </w:r>
      <w:r w:rsidRPr="00414862">
        <w:rPr>
          <w:rFonts w:eastAsia="Calibri" w:cs="Arial"/>
          <w:sz w:val="26"/>
          <w:szCs w:val="26"/>
          <w:vertAlign w:val="superscript"/>
          <w:lang w:val="es-ES"/>
        </w:rPr>
        <w:footnoteReference w:id="3"/>
      </w:r>
    </w:p>
    <w:p w:rsidR="00414862" w:rsidRPr="00414862" w:rsidRDefault="00414862" w:rsidP="00414862">
      <w:pPr>
        <w:spacing w:line="276" w:lineRule="auto"/>
        <w:rPr>
          <w:rFonts w:cs="Arial"/>
          <w:sz w:val="26"/>
          <w:szCs w:val="26"/>
        </w:rPr>
      </w:pPr>
    </w:p>
    <w:p w:rsidR="00414862" w:rsidRPr="00414862" w:rsidRDefault="00414862" w:rsidP="00414862">
      <w:pPr>
        <w:numPr>
          <w:ilvl w:val="0"/>
          <w:numId w:val="20"/>
        </w:numPr>
        <w:spacing w:line="276" w:lineRule="auto"/>
        <w:ind w:right="1"/>
        <w:contextualSpacing/>
        <w:rPr>
          <w:rFonts w:eastAsia="Calibri" w:cs="Arial"/>
          <w:sz w:val="26"/>
          <w:szCs w:val="26"/>
          <w:lang w:val="es-ES"/>
        </w:rPr>
      </w:pPr>
      <w:r w:rsidRPr="00414862">
        <w:rPr>
          <w:rFonts w:eastAsia="Calibri" w:cs="Arial"/>
          <w:sz w:val="26"/>
          <w:szCs w:val="26"/>
          <w:lang w:val="es-ES"/>
        </w:rPr>
        <w:t>Igualmente, en la madrugada del 3 de febrero, en Saltillo se activó el código rojo luego de que una familia reportara ser víctima de acoso por parte de personas armadas y vestidas con uniformes policiales. Los hechos ocurrieron en la colonia Vista Hermosa y las víctimas reportaron que sujetos con armas largas y en camionetas blancas arribaron a su domicilio, tumbaron la puerta, rompieron las ventanas, e intentaron secuestrar a dos adultos mayores.</w:t>
      </w:r>
      <w:r w:rsidRPr="00414862">
        <w:rPr>
          <w:rFonts w:eastAsia="Calibri" w:cs="Arial"/>
          <w:sz w:val="26"/>
          <w:szCs w:val="26"/>
          <w:vertAlign w:val="superscript"/>
          <w:lang w:val="es-ES"/>
        </w:rPr>
        <w:footnoteReference w:id="4"/>
      </w:r>
    </w:p>
    <w:p w:rsidR="00414862" w:rsidRPr="00414862" w:rsidRDefault="00414862" w:rsidP="00414862">
      <w:pPr>
        <w:spacing w:line="276" w:lineRule="auto"/>
        <w:rPr>
          <w:rFonts w:cs="Arial"/>
          <w:sz w:val="26"/>
          <w:szCs w:val="26"/>
        </w:rPr>
      </w:pPr>
    </w:p>
    <w:p w:rsidR="00414862" w:rsidRPr="00414862" w:rsidRDefault="00414862" w:rsidP="00414862">
      <w:pPr>
        <w:numPr>
          <w:ilvl w:val="0"/>
          <w:numId w:val="20"/>
        </w:numPr>
        <w:spacing w:line="276" w:lineRule="auto"/>
        <w:ind w:right="1"/>
        <w:contextualSpacing/>
        <w:rPr>
          <w:rFonts w:eastAsia="Calibri" w:cs="Arial"/>
          <w:sz w:val="26"/>
          <w:szCs w:val="26"/>
          <w:lang w:val="es-ES"/>
        </w:rPr>
      </w:pPr>
      <w:r w:rsidRPr="00414862">
        <w:rPr>
          <w:rFonts w:eastAsia="Calibri" w:cs="Arial"/>
          <w:sz w:val="26"/>
          <w:szCs w:val="26"/>
          <w:lang w:val="es-ES"/>
        </w:rPr>
        <w:lastRenderedPageBreak/>
        <w:t>Finalmente, el día 28 de febrero, se reportó en medios locales que el director operativo de Seguridad Pública de Piedras Negras, Alejandro Macías sufrió un atentado mientras viajaba a bordo de una patrulla.  Según las fuentes citadas por los medios, trascendió la agresión fue realizada por hombres que viajaban en dos taxis a la altura de la colonia El Edén, en el municipio citado.</w:t>
      </w:r>
    </w:p>
    <w:p w:rsidR="00414862" w:rsidRPr="00414862" w:rsidRDefault="00414862" w:rsidP="00414862">
      <w:pPr>
        <w:spacing w:line="276" w:lineRule="auto"/>
        <w:rPr>
          <w:sz w:val="26"/>
          <w:szCs w:val="26"/>
        </w:rPr>
      </w:pPr>
    </w:p>
    <w:p w:rsidR="00414862" w:rsidRPr="00414862" w:rsidRDefault="00414862" w:rsidP="00414862">
      <w:pPr>
        <w:spacing w:line="276" w:lineRule="auto"/>
        <w:rPr>
          <w:sz w:val="26"/>
          <w:szCs w:val="26"/>
        </w:rPr>
      </w:pPr>
      <w:r w:rsidRPr="00414862">
        <w:rPr>
          <w:sz w:val="26"/>
          <w:szCs w:val="26"/>
        </w:rPr>
        <w:t xml:space="preserve">Estos hechos, afectan sin duda la tranquilidad de los coahuilenses, ya que uno de los principales retos de cualquier administración es precisamente la salvaguardia de sus ciudadanos.  De ahí que, las autoridades de seguridad pública de todos los niveles deban responder de forma eficaz, previniendo actos delictuosos a través del reforzamiento de la seguridad o bien realizando las investigaciones adecuadas y profesionales para sancionar a quienes hayan cometido algún delito. </w:t>
      </w:r>
    </w:p>
    <w:p w:rsidR="00414862" w:rsidRPr="00414862" w:rsidRDefault="00414862" w:rsidP="00414862">
      <w:pPr>
        <w:spacing w:line="276" w:lineRule="auto"/>
        <w:rPr>
          <w:sz w:val="26"/>
          <w:szCs w:val="26"/>
        </w:rPr>
      </w:pPr>
    </w:p>
    <w:p w:rsidR="00414862" w:rsidRPr="00414862" w:rsidRDefault="00414862" w:rsidP="00414862">
      <w:pPr>
        <w:spacing w:line="276" w:lineRule="auto"/>
        <w:rPr>
          <w:sz w:val="26"/>
          <w:szCs w:val="26"/>
        </w:rPr>
      </w:pPr>
      <w:r w:rsidRPr="00414862">
        <w:rPr>
          <w:b/>
          <w:sz w:val="26"/>
          <w:szCs w:val="26"/>
        </w:rPr>
        <w:t>SEXTA.-</w:t>
      </w:r>
      <w:r w:rsidRPr="00414862">
        <w:rPr>
          <w:sz w:val="26"/>
          <w:szCs w:val="26"/>
        </w:rPr>
        <w:t xml:space="preserve">  En virtud de todo lo expuesto los integrantes de esta Dictaminadora, emitimos el siguiente:</w:t>
      </w:r>
    </w:p>
    <w:p w:rsidR="00414862" w:rsidRPr="00414862" w:rsidRDefault="00414862" w:rsidP="00414862">
      <w:pPr>
        <w:spacing w:line="276" w:lineRule="auto"/>
        <w:rPr>
          <w:sz w:val="26"/>
          <w:szCs w:val="26"/>
        </w:rPr>
      </w:pPr>
      <w:r w:rsidRPr="00414862">
        <w:rPr>
          <w:sz w:val="26"/>
          <w:szCs w:val="26"/>
        </w:rPr>
        <w:t xml:space="preserve"> </w:t>
      </w:r>
    </w:p>
    <w:p w:rsidR="00414862" w:rsidRPr="00414862" w:rsidRDefault="00414862" w:rsidP="00414862">
      <w:pPr>
        <w:spacing w:line="276" w:lineRule="auto"/>
        <w:jc w:val="center"/>
        <w:rPr>
          <w:b/>
          <w:sz w:val="26"/>
          <w:szCs w:val="26"/>
        </w:rPr>
      </w:pPr>
      <w:r w:rsidRPr="00414862">
        <w:rPr>
          <w:b/>
          <w:sz w:val="26"/>
          <w:szCs w:val="26"/>
        </w:rPr>
        <w:t>A C U E R D O</w:t>
      </w:r>
    </w:p>
    <w:p w:rsidR="00414862" w:rsidRPr="00414862" w:rsidRDefault="00414862" w:rsidP="00414862">
      <w:pPr>
        <w:spacing w:line="276" w:lineRule="auto"/>
        <w:jc w:val="center"/>
        <w:rPr>
          <w:b/>
          <w:sz w:val="26"/>
          <w:szCs w:val="26"/>
        </w:rPr>
      </w:pPr>
    </w:p>
    <w:p w:rsidR="00414862" w:rsidRPr="00414862" w:rsidRDefault="00414862" w:rsidP="00414862">
      <w:pPr>
        <w:rPr>
          <w:sz w:val="26"/>
          <w:szCs w:val="26"/>
        </w:rPr>
      </w:pPr>
      <w:r w:rsidRPr="00414862">
        <w:rPr>
          <w:b/>
          <w:sz w:val="26"/>
          <w:szCs w:val="26"/>
        </w:rPr>
        <w:t>ÚNICO.-</w:t>
      </w:r>
      <w:r w:rsidRPr="00414862">
        <w:rPr>
          <w:sz w:val="26"/>
          <w:szCs w:val="26"/>
        </w:rPr>
        <w:t xml:space="preserve"> Se acuerda que la Oficialía Mayor gire los oficios correspondientes a la Secretaría de Seguridad y Protección Ciudadana, a la Secretaría de Seguridad Pública del Estado de Coahuila y a los 38 municipios del Estado, a fin de que lleven a cabo las acciones coordinadas necesarias para reforzar la seguridad de los ciudadanos de la Entidad.</w:t>
      </w:r>
    </w:p>
    <w:p w:rsidR="00414862" w:rsidRPr="00414862" w:rsidRDefault="00414862" w:rsidP="00414862">
      <w:pPr>
        <w:rPr>
          <w:sz w:val="26"/>
          <w:szCs w:val="26"/>
        </w:rPr>
      </w:pPr>
    </w:p>
    <w:p w:rsidR="00414862" w:rsidRPr="00414862" w:rsidRDefault="00414862" w:rsidP="00414862">
      <w:pPr>
        <w:keepNext/>
        <w:keepLines/>
        <w:ind w:right="4"/>
        <w:outlineLvl w:val="0"/>
        <w:rPr>
          <w:rFonts w:eastAsia="Arial" w:cs="Arial"/>
          <w:color w:val="000000"/>
          <w:sz w:val="26"/>
          <w:szCs w:val="26"/>
          <w:lang w:eastAsia="es-MX"/>
        </w:rPr>
      </w:pPr>
      <w:r w:rsidRPr="00414862">
        <w:rPr>
          <w:rFonts w:eastAsia="Arial" w:cs="Arial"/>
          <w:color w:val="000000"/>
          <w:sz w:val="26"/>
          <w:szCs w:val="26"/>
          <w:lang w:eastAsia="es-MX"/>
        </w:rPr>
        <w:t>Así lo acuerdan los Diputados integrantes de la Comisión de Seguridad Pública, de la Sexagésima Primera Legislatura del Congreso del Estado, Independiente, Libre y Soberano de Coahuila de Zaragoza, a los 21 días del mes de Mayo de 2019.</w:t>
      </w:r>
    </w:p>
    <w:p w:rsidR="00414862" w:rsidRPr="00414862" w:rsidRDefault="00414862" w:rsidP="00414862">
      <w:pPr>
        <w:ind w:right="6"/>
        <w:jc w:val="center"/>
        <w:rPr>
          <w:b/>
          <w:sz w:val="24"/>
          <w:szCs w:val="24"/>
        </w:rPr>
      </w:pPr>
    </w:p>
    <w:p w:rsidR="00414862" w:rsidRPr="00414862" w:rsidRDefault="00414862" w:rsidP="00414862">
      <w:pPr>
        <w:ind w:right="6"/>
        <w:jc w:val="center"/>
        <w:rPr>
          <w:sz w:val="24"/>
          <w:szCs w:val="24"/>
        </w:rPr>
      </w:pPr>
      <w:r w:rsidRPr="00414862">
        <w:rPr>
          <w:b/>
          <w:sz w:val="24"/>
          <w:szCs w:val="24"/>
        </w:rPr>
        <w:t>COMISIÓN DE SEGURIDAD PÚBLICA</w:t>
      </w:r>
    </w:p>
    <w:p w:rsidR="00414862" w:rsidRPr="00414862" w:rsidRDefault="00414862" w:rsidP="00414862">
      <w:pPr>
        <w:jc w:val="left"/>
        <w:rPr>
          <w:szCs w:val="24"/>
        </w:rPr>
      </w:pPr>
      <w:r w:rsidRPr="00414862">
        <w:rPr>
          <w:szCs w:val="24"/>
        </w:rPr>
        <w:t xml:space="preserve"> </w:t>
      </w:r>
    </w:p>
    <w:tbl>
      <w:tblPr>
        <w:tblStyle w:val="TableGrid1"/>
        <w:tblW w:w="9400" w:type="dxa"/>
        <w:tblInd w:w="288" w:type="dxa"/>
        <w:tblCellMar>
          <w:top w:w="7" w:type="dxa"/>
          <w:left w:w="108" w:type="dxa"/>
        </w:tblCellMar>
        <w:tblLook w:val="04A0" w:firstRow="1" w:lastRow="0" w:firstColumn="1" w:lastColumn="0" w:noHBand="0" w:noVBand="1"/>
      </w:tblPr>
      <w:tblGrid>
        <w:gridCol w:w="3231"/>
        <w:gridCol w:w="1094"/>
        <w:gridCol w:w="1299"/>
        <w:gridCol w:w="1964"/>
        <w:gridCol w:w="492"/>
        <w:gridCol w:w="1320"/>
      </w:tblGrid>
      <w:tr w:rsidR="00414862" w:rsidRPr="00414862" w:rsidTr="00E51A0B">
        <w:trPr>
          <w:trHeight w:val="838"/>
        </w:trPr>
        <w:tc>
          <w:tcPr>
            <w:tcW w:w="3231"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13"/>
              <w:jc w:val="center"/>
              <w:rPr>
                <w:sz w:val="20"/>
                <w:szCs w:val="24"/>
              </w:rPr>
            </w:pPr>
            <w:r w:rsidRPr="00414862">
              <w:rPr>
                <w:b/>
                <w:sz w:val="20"/>
                <w:szCs w:val="24"/>
              </w:rPr>
              <w:t xml:space="preserve">NOMBRE Y FIRMA </w:t>
            </w:r>
          </w:p>
        </w:tc>
        <w:tc>
          <w:tcPr>
            <w:tcW w:w="1094" w:type="dxa"/>
            <w:tcBorders>
              <w:top w:val="single" w:sz="4" w:space="0" w:color="000000"/>
              <w:left w:val="single" w:sz="4" w:space="0" w:color="000000"/>
              <w:bottom w:val="single" w:sz="4" w:space="0" w:color="000000"/>
              <w:right w:val="nil"/>
            </w:tcBorders>
          </w:tcPr>
          <w:p w:rsidR="00414862" w:rsidRPr="00414862" w:rsidRDefault="00414862" w:rsidP="00414862">
            <w:pPr>
              <w:jc w:val="left"/>
              <w:rPr>
                <w:sz w:val="20"/>
                <w:szCs w:val="24"/>
              </w:rPr>
            </w:pPr>
          </w:p>
        </w:tc>
        <w:tc>
          <w:tcPr>
            <w:tcW w:w="3263" w:type="dxa"/>
            <w:gridSpan w:val="2"/>
            <w:tcBorders>
              <w:top w:val="single" w:sz="4" w:space="0" w:color="000000"/>
              <w:left w:val="nil"/>
              <w:bottom w:val="single" w:sz="4" w:space="0" w:color="000000"/>
              <w:right w:val="single" w:sz="4" w:space="0" w:color="000000"/>
            </w:tcBorders>
          </w:tcPr>
          <w:p w:rsidR="00414862" w:rsidRPr="00414862" w:rsidRDefault="00414862" w:rsidP="00414862">
            <w:pPr>
              <w:ind w:left="622"/>
              <w:jc w:val="left"/>
              <w:rPr>
                <w:sz w:val="20"/>
                <w:szCs w:val="24"/>
              </w:rPr>
            </w:pPr>
            <w:r w:rsidRPr="00414862">
              <w:rPr>
                <w:b/>
                <w:sz w:val="20"/>
                <w:szCs w:val="24"/>
              </w:rPr>
              <w:t>VOTO</w:t>
            </w:r>
            <w:r w:rsidRPr="00414862">
              <w:rPr>
                <w:sz w:val="20"/>
                <w:szCs w:val="24"/>
              </w:rPr>
              <w:t xml:space="preserve"> </w:t>
            </w:r>
          </w:p>
        </w:tc>
        <w:tc>
          <w:tcPr>
            <w:tcW w:w="1812" w:type="dxa"/>
            <w:gridSpan w:val="2"/>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left="26"/>
              <w:rPr>
                <w:sz w:val="20"/>
                <w:szCs w:val="24"/>
              </w:rPr>
            </w:pPr>
            <w:r w:rsidRPr="00414862">
              <w:rPr>
                <w:b/>
                <w:sz w:val="20"/>
                <w:szCs w:val="24"/>
              </w:rPr>
              <w:t xml:space="preserve">RESERVA DE </w:t>
            </w:r>
          </w:p>
          <w:p w:rsidR="00414862" w:rsidRPr="00414862" w:rsidRDefault="00414862" w:rsidP="00414862">
            <w:pPr>
              <w:ind w:left="84"/>
              <w:jc w:val="left"/>
              <w:rPr>
                <w:sz w:val="20"/>
                <w:szCs w:val="24"/>
              </w:rPr>
            </w:pPr>
            <w:r w:rsidRPr="00414862">
              <w:rPr>
                <w:b/>
                <w:sz w:val="20"/>
                <w:szCs w:val="24"/>
              </w:rPr>
              <w:t xml:space="preserve">ARTÍCULOS </w:t>
            </w:r>
          </w:p>
        </w:tc>
      </w:tr>
      <w:tr w:rsidR="00414862" w:rsidRPr="00414862" w:rsidTr="00E51A0B">
        <w:trPr>
          <w:trHeight w:val="562"/>
        </w:trPr>
        <w:tc>
          <w:tcPr>
            <w:tcW w:w="3231" w:type="dxa"/>
            <w:vMerge w:val="restart"/>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left="29" w:right="-3"/>
              <w:jc w:val="center"/>
              <w:rPr>
                <w:sz w:val="20"/>
                <w:szCs w:val="24"/>
              </w:rPr>
            </w:pPr>
            <w:r w:rsidRPr="00414862">
              <w:rPr>
                <w:b/>
                <w:sz w:val="20"/>
                <w:szCs w:val="24"/>
              </w:rPr>
              <w:t>DIP. JUAN CARLOS GUERRA LÓPEZ NEGRETE</w:t>
            </w:r>
          </w:p>
          <w:p w:rsidR="00414862" w:rsidRPr="00414862" w:rsidRDefault="00414862" w:rsidP="00414862">
            <w:pPr>
              <w:ind w:left="29"/>
              <w:jc w:val="center"/>
              <w:rPr>
                <w:sz w:val="20"/>
                <w:szCs w:val="24"/>
              </w:rPr>
            </w:pPr>
            <w:r w:rsidRPr="00414862">
              <w:rPr>
                <w:b/>
                <w:sz w:val="20"/>
                <w:szCs w:val="24"/>
              </w:rPr>
              <w:lastRenderedPageBreak/>
              <w:t>(COORDINADOR)</w:t>
            </w: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sz w:val="20"/>
                <w:szCs w:val="24"/>
              </w:rPr>
            </w:pPr>
            <w:r w:rsidRPr="00414862">
              <w:rPr>
                <w:b/>
                <w:sz w:val="20"/>
                <w:szCs w:val="24"/>
              </w:rPr>
              <w:lastRenderedPageBreak/>
              <w:t xml:space="preserve">A </w:t>
            </w:r>
          </w:p>
          <w:p w:rsidR="00414862" w:rsidRPr="00414862" w:rsidRDefault="00414862" w:rsidP="00414862">
            <w:pPr>
              <w:ind w:left="12"/>
              <w:rPr>
                <w:sz w:val="20"/>
                <w:szCs w:val="24"/>
              </w:rPr>
            </w:pPr>
            <w:r w:rsidRPr="00414862">
              <w:rPr>
                <w:b/>
                <w:sz w:val="20"/>
                <w:szCs w:val="24"/>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sz w:val="20"/>
                <w:szCs w:val="24"/>
              </w:rPr>
            </w:pPr>
            <w:r w:rsidRPr="00414862">
              <w:rPr>
                <w:b/>
                <w:sz w:val="20"/>
                <w:szCs w:val="24"/>
              </w:rPr>
              <w:t xml:space="preserve">EN </w:t>
            </w:r>
          </w:p>
          <w:p w:rsidR="00414862" w:rsidRPr="00414862" w:rsidRDefault="00414862" w:rsidP="00414862">
            <w:pPr>
              <w:ind w:left="22"/>
              <w:rPr>
                <w:sz w:val="20"/>
                <w:szCs w:val="24"/>
              </w:rPr>
            </w:pPr>
            <w:r w:rsidRPr="00414862">
              <w:rPr>
                <w:b/>
                <w:sz w:val="20"/>
                <w:szCs w:val="24"/>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rPr>
                <w:sz w:val="20"/>
                <w:szCs w:val="24"/>
              </w:rPr>
            </w:pPr>
            <w:r w:rsidRPr="00414862">
              <w:rPr>
                <w:b/>
                <w:sz w:val="20"/>
                <w:szCs w:val="24"/>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24"/>
              <w:jc w:val="left"/>
              <w:rPr>
                <w:sz w:val="20"/>
                <w:szCs w:val="24"/>
              </w:rPr>
            </w:pPr>
            <w:r w:rsidRPr="00414862">
              <w:rPr>
                <w:b/>
                <w:sz w:val="20"/>
                <w:szCs w:val="24"/>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65"/>
              <w:jc w:val="left"/>
              <w:rPr>
                <w:sz w:val="20"/>
                <w:szCs w:val="24"/>
              </w:rPr>
            </w:pPr>
            <w:r w:rsidRPr="00414862">
              <w:rPr>
                <w:b/>
                <w:sz w:val="20"/>
                <w:szCs w:val="24"/>
              </w:rPr>
              <w:t xml:space="preserve">CUALES </w:t>
            </w:r>
          </w:p>
        </w:tc>
      </w:tr>
      <w:tr w:rsidR="00414862" w:rsidRPr="00414862" w:rsidTr="00E51A0B">
        <w:trPr>
          <w:trHeight w:val="895"/>
        </w:trPr>
        <w:tc>
          <w:tcPr>
            <w:tcW w:w="0" w:type="auto"/>
            <w:vMerge/>
            <w:tcBorders>
              <w:top w:val="nil"/>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p w:rsidR="00414862" w:rsidRPr="00414862" w:rsidRDefault="00414862" w:rsidP="00414862">
            <w:pPr>
              <w:jc w:val="left"/>
              <w:rPr>
                <w:sz w:val="20"/>
                <w:szCs w:val="24"/>
              </w:rPr>
            </w:pPr>
            <w:r w:rsidRPr="00414862">
              <w:rPr>
                <w:sz w:val="20"/>
                <w:szCs w:val="24"/>
              </w:rPr>
              <w:t xml:space="preserve"> </w:t>
            </w:r>
          </w:p>
          <w:p w:rsidR="00414862" w:rsidRPr="00414862" w:rsidRDefault="00414862" w:rsidP="00414862">
            <w:pPr>
              <w:jc w:val="left"/>
              <w:rPr>
                <w:sz w:val="20"/>
                <w:szCs w:val="24"/>
              </w:rPr>
            </w:pPr>
            <w:r w:rsidRPr="00414862">
              <w:rPr>
                <w:sz w:val="20"/>
                <w:szCs w:val="24"/>
              </w:rPr>
              <w:t xml:space="preserve"> </w:t>
            </w:r>
          </w:p>
          <w:p w:rsidR="00414862" w:rsidRPr="00414862" w:rsidRDefault="00414862" w:rsidP="00414862">
            <w:pPr>
              <w:jc w:val="left"/>
              <w:rPr>
                <w:sz w:val="20"/>
                <w:szCs w:val="24"/>
              </w:rPr>
            </w:pPr>
            <w:r w:rsidRPr="00414862">
              <w:rPr>
                <w:sz w:val="20"/>
                <w:szCs w:val="24"/>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r>
      <w:tr w:rsidR="00414862" w:rsidRPr="00414862" w:rsidTr="00E51A0B">
        <w:trPr>
          <w:trHeight w:val="562"/>
        </w:trPr>
        <w:tc>
          <w:tcPr>
            <w:tcW w:w="3231" w:type="dxa"/>
            <w:vMerge w:val="restart"/>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left="96"/>
              <w:jc w:val="center"/>
              <w:rPr>
                <w:sz w:val="20"/>
                <w:szCs w:val="24"/>
              </w:rPr>
            </w:pPr>
            <w:r w:rsidRPr="00414862">
              <w:rPr>
                <w:b/>
                <w:sz w:val="20"/>
                <w:szCs w:val="24"/>
              </w:rPr>
              <w:lastRenderedPageBreak/>
              <w:t>DIP. JESÚS BERINO GRANADOS</w:t>
            </w:r>
          </w:p>
          <w:p w:rsidR="00414862" w:rsidRPr="00414862" w:rsidRDefault="00414862" w:rsidP="00414862">
            <w:pPr>
              <w:ind w:left="30"/>
              <w:jc w:val="center"/>
              <w:rPr>
                <w:sz w:val="20"/>
                <w:szCs w:val="24"/>
              </w:rPr>
            </w:pPr>
            <w:r w:rsidRPr="00414862">
              <w:rPr>
                <w:b/>
                <w:sz w:val="20"/>
                <w:szCs w:val="24"/>
              </w:rPr>
              <w:t>(SECRETARIO)</w:t>
            </w:r>
          </w:p>
          <w:p w:rsidR="00414862" w:rsidRPr="00414862" w:rsidRDefault="00414862" w:rsidP="00414862">
            <w:pPr>
              <w:tabs>
                <w:tab w:val="center" w:pos="1561"/>
              </w:tabs>
              <w:jc w:val="left"/>
              <w:rPr>
                <w:sz w:val="20"/>
                <w:szCs w:val="24"/>
              </w:rPr>
            </w:pP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sz w:val="20"/>
                <w:szCs w:val="24"/>
              </w:rPr>
            </w:pPr>
            <w:r w:rsidRPr="00414862">
              <w:rPr>
                <w:b/>
                <w:sz w:val="20"/>
                <w:szCs w:val="24"/>
              </w:rPr>
              <w:t xml:space="preserve">A </w:t>
            </w:r>
          </w:p>
          <w:p w:rsidR="00414862" w:rsidRPr="00414862" w:rsidRDefault="00414862" w:rsidP="00414862">
            <w:pPr>
              <w:ind w:left="12"/>
              <w:rPr>
                <w:sz w:val="20"/>
                <w:szCs w:val="24"/>
              </w:rPr>
            </w:pPr>
            <w:r w:rsidRPr="00414862">
              <w:rPr>
                <w:b/>
                <w:sz w:val="20"/>
                <w:szCs w:val="24"/>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sz w:val="20"/>
                <w:szCs w:val="24"/>
              </w:rPr>
            </w:pPr>
            <w:r w:rsidRPr="00414862">
              <w:rPr>
                <w:b/>
                <w:sz w:val="20"/>
                <w:szCs w:val="24"/>
              </w:rPr>
              <w:t xml:space="preserve">EN </w:t>
            </w:r>
          </w:p>
          <w:p w:rsidR="00414862" w:rsidRPr="00414862" w:rsidRDefault="00414862" w:rsidP="00414862">
            <w:pPr>
              <w:ind w:left="22"/>
              <w:rPr>
                <w:sz w:val="20"/>
                <w:szCs w:val="24"/>
              </w:rPr>
            </w:pPr>
            <w:r w:rsidRPr="00414862">
              <w:rPr>
                <w:b/>
                <w:sz w:val="20"/>
                <w:szCs w:val="24"/>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rPr>
                <w:sz w:val="20"/>
                <w:szCs w:val="24"/>
              </w:rPr>
            </w:pPr>
            <w:r w:rsidRPr="00414862">
              <w:rPr>
                <w:b/>
                <w:sz w:val="20"/>
                <w:szCs w:val="24"/>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24"/>
              <w:jc w:val="left"/>
              <w:rPr>
                <w:sz w:val="20"/>
                <w:szCs w:val="24"/>
              </w:rPr>
            </w:pPr>
            <w:r w:rsidRPr="00414862">
              <w:rPr>
                <w:b/>
                <w:sz w:val="20"/>
                <w:szCs w:val="24"/>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65"/>
              <w:jc w:val="left"/>
              <w:rPr>
                <w:sz w:val="20"/>
                <w:szCs w:val="24"/>
              </w:rPr>
            </w:pPr>
            <w:r w:rsidRPr="00414862">
              <w:rPr>
                <w:b/>
                <w:sz w:val="20"/>
                <w:szCs w:val="24"/>
              </w:rPr>
              <w:t xml:space="preserve">CUALES </w:t>
            </w:r>
          </w:p>
        </w:tc>
      </w:tr>
      <w:tr w:rsidR="00414862" w:rsidRPr="00414862" w:rsidTr="00E51A0B">
        <w:trPr>
          <w:trHeight w:val="947"/>
        </w:trPr>
        <w:tc>
          <w:tcPr>
            <w:tcW w:w="0" w:type="auto"/>
            <w:vMerge/>
            <w:tcBorders>
              <w:top w:val="nil"/>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r>
      <w:tr w:rsidR="00414862" w:rsidRPr="00414862" w:rsidTr="00E51A0B">
        <w:trPr>
          <w:trHeight w:val="634"/>
        </w:trPr>
        <w:tc>
          <w:tcPr>
            <w:tcW w:w="3231" w:type="dxa"/>
            <w:vMerge w:val="restart"/>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left="30"/>
              <w:jc w:val="center"/>
              <w:rPr>
                <w:sz w:val="20"/>
                <w:szCs w:val="24"/>
              </w:rPr>
            </w:pPr>
            <w:r w:rsidRPr="00414862">
              <w:rPr>
                <w:b/>
                <w:sz w:val="20"/>
                <w:szCs w:val="24"/>
              </w:rPr>
              <w:t>DIP. EDGAR GERARDO SÁNCHEZ GARZA</w:t>
            </w:r>
          </w:p>
          <w:p w:rsidR="00414862" w:rsidRPr="00414862" w:rsidRDefault="00414862" w:rsidP="00414862">
            <w:pPr>
              <w:jc w:val="left"/>
              <w:rPr>
                <w:sz w:val="20"/>
                <w:szCs w:val="24"/>
              </w:rPr>
            </w:pPr>
            <w:r w:rsidRPr="00414862">
              <w:rPr>
                <w:sz w:val="20"/>
                <w:szCs w:val="2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sz w:val="20"/>
                <w:szCs w:val="24"/>
              </w:rPr>
            </w:pPr>
            <w:r w:rsidRPr="00414862">
              <w:rPr>
                <w:b/>
                <w:sz w:val="20"/>
                <w:szCs w:val="24"/>
              </w:rPr>
              <w:t xml:space="preserve">A </w:t>
            </w:r>
          </w:p>
          <w:p w:rsidR="00414862" w:rsidRPr="00414862" w:rsidRDefault="00414862" w:rsidP="00414862">
            <w:pPr>
              <w:ind w:left="12"/>
              <w:rPr>
                <w:sz w:val="20"/>
                <w:szCs w:val="24"/>
              </w:rPr>
            </w:pPr>
            <w:r w:rsidRPr="00414862">
              <w:rPr>
                <w:b/>
                <w:sz w:val="20"/>
                <w:szCs w:val="24"/>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sz w:val="20"/>
                <w:szCs w:val="24"/>
              </w:rPr>
            </w:pPr>
            <w:r w:rsidRPr="00414862">
              <w:rPr>
                <w:b/>
                <w:sz w:val="20"/>
                <w:szCs w:val="24"/>
              </w:rPr>
              <w:t xml:space="preserve">EN </w:t>
            </w:r>
          </w:p>
          <w:p w:rsidR="00414862" w:rsidRPr="00414862" w:rsidRDefault="00414862" w:rsidP="00414862">
            <w:pPr>
              <w:ind w:left="22"/>
              <w:rPr>
                <w:sz w:val="20"/>
                <w:szCs w:val="24"/>
              </w:rPr>
            </w:pPr>
            <w:r w:rsidRPr="00414862">
              <w:rPr>
                <w:b/>
                <w:sz w:val="20"/>
                <w:szCs w:val="24"/>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rPr>
                <w:sz w:val="20"/>
                <w:szCs w:val="24"/>
              </w:rPr>
            </w:pPr>
            <w:r w:rsidRPr="00414862">
              <w:rPr>
                <w:b/>
                <w:sz w:val="20"/>
                <w:szCs w:val="24"/>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24"/>
              <w:jc w:val="left"/>
              <w:rPr>
                <w:sz w:val="20"/>
                <w:szCs w:val="24"/>
              </w:rPr>
            </w:pPr>
            <w:r w:rsidRPr="00414862">
              <w:rPr>
                <w:b/>
                <w:sz w:val="20"/>
                <w:szCs w:val="24"/>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65"/>
              <w:jc w:val="left"/>
              <w:rPr>
                <w:sz w:val="20"/>
                <w:szCs w:val="24"/>
              </w:rPr>
            </w:pPr>
            <w:r w:rsidRPr="00414862">
              <w:rPr>
                <w:b/>
                <w:sz w:val="20"/>
                <w:szCs w:val="24"/>
              </w:rPr>
              <w:t xml:space="preserve">CUALES </w:t>
            </w:r>
          </w:p>
        </w:tc>
      </w:tr>
      <w:tr w:rsidR="00414862" w:rsidRPr="00414862" w:rsidTr="00E51A0B">
        <w:trPr>
          <w:trHeight w:val="1183"/>
        </w:trPr>
        <w:tc>
          <w:tcPr>
            <w:tcW w:w="0" w:type="auto"/>
            <w:vMerge/>
            <w:tcBorders>
              <w:top w:val="nil"/>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r>
      <w:tr w:rsidR="00414862" w:rsidRPr="00414862" w:rsidTr="00E51A0B">
        <w:trPr>
          <w:trHeight w:val="636"/>
        </w:trPr>
        <w:tc>
          <w:tcPr>
            <w:tcW w:w="3231"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45"/>
              <w:jc w:val="center"/>
              <w:rPr>
                <w:sz w:val="20"/>
                <w:szCs w:val="24"/>
              </w:rPr>
            </w:pPr>
            <w:r w:rsidRPr="00414862">
              <w:rPr>
                <w:b/>
                <w:sz w:val="20"/>
                <w:szCs w:val="24"/>
              </w:rPr>
              <w:t>DIP. CLAUDIA ISELA RAMÍREZ PINEDA</w:t>
            </w: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sz w:val="20"/>
                <w:szCs w:val="24"/>
              </w:rPr>
            </w:pPr>
            <w:r w:rsidRPr="00414862">
              <w:rPr>
                <w:b/>
                <w:sz w:val="20"/>
                <w:szCs w:val="24"/>
              </w:rPr>
              <w:t xml:space="preserve">A </w:t>
            </w:r>
          </w:p>
          <w:p w:rsidR="00414862" w:rsidRPr="00414862" w:rsidRDefault="00414862" w:rsidP="00414862">
            <w:pPr>
              <w:ind w:left="12"/>
              <w:rPr>
                <w:sz w:val="20"/>
                <w:szCs w:val="24"/>
              </w:rPr>
            </w:pPr>
            <w:r w:rsidRPr="00414862">
              <w:rPr>
                <w:b/>
                <w:sz w:val="20"/>
                <w:szCs w:val="24"/>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sz w:val="20"/>
                <w:szCs w:val="24"/>
              </w:rPr>
            </w:pPr>
            <w:r w:rsidRPr="00414862">
              <w:rPr>
                <w:b/>
                <w:sz w:val="20"/>
                <w:szCs w:val="24"/>
              </w:rPr>
              <w:t xml:space="preserve">EN </w:t>
            </w:r>
          </w:p>
          <w:p w:rsidR="00414862" w:rsidRPr="00414862" w:rsidRDefault="00414862" w:rsidP="00414862">
            <w:pPr>
              <w:ind w:left="22"/>
              <w:rPr>
                <w:sz w:val="20"/>
                <w:szCs w:val="24"/>
              </w:rPr>
            </w:pPr>
            <w:r w:rsidRPr="00414862">
              <w:rPr>
                <w:b/>
                <w:sz w:val="20"/>
                <w:szCs w:val="24"/>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rPr>
                <w:sz w:val="20"/>
                <w:szCs w:val="24"/>
              </w:rPr>
            </w:pPr>
            <w:r w:rsidRPr="00414862">
              <w:rPr>
                <w:b/>
                <w:sz w:val="20"/>
                <w:szCs w:val="24"/>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24"/>
              <w:jc w:val="left"/>
              <w:rPr>
                <w:sz w:val="20"/>
                <w:szCs w:val="24"/>
              </w:rPr>
            </w:pPr>
            <w:r w:rsidRPr="00414862">
              <w:rPr>
                <w:b/>
                <w:sz w:val="20"/>
                <w:szCs w:val="24"/>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65"/>
              <w:jc w:val="left"/>
              <w:rPr>
                <w:sz w:val="20"/>
                <w:szCs w:val="24"/>
              </w:rPr>
            </w:pPr>
            <w:r w:rsidRPr="00414862">
              <w:rPr>
                <w:b/>
                <w:sz w:val="20"/>
                <w:szCs w:val="24"/>
              </w:rPr>
              <w:t xml:space="preserve">CUALES </w:t>
            </w:r>
          </w:p>
        </w:tc>
      </w:tr>
      <w:tr w:rsidR="00414862" w:rsidRPr="00414862" w:rsidTr="00E51A0B">
        <w:trPr>
          <w:trHeight w:val="982"/>
        </w:trPr>
        <w:tc>
          <w:tcPr>
            <w:tcW w:w="3231"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12"/>
              <w:jc w:val="center"/>
              <w:rPr>
                <w:sz w:val="20"/>
                <w:szCs w:val="24"/>
              </w:rPr>
            </w:pP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r>
      <w:tr w:rsidR="00414862" w:rsidRPr="00414862" w:rsidTr="00E51A0B">
        <w:trPr>
          <w:trHeight w:val="634"/>
        </w:trPr>
        <w:tc>
          <w:tcPr>
            <w:tcW w:w="3231" w:type="dxa"/>
            <w:vMerge w:val="restart"/>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left="74"/>
              <w:jc w:val="center"/>
              <w:rPr>
                <w:sz w:val="20"/>
                <w:szCs w:val="24"/>
              </w:rPr>
            </w:pPr>
            <w:r w:rsidRPr="00414862">
              <w:rPr>
                <w:b/>
                <w:sz w:val="20"/>
                <w:szCs w:val="24"/>
              </w:rPr>
              <w:t>DIP. MARIA ESPERANZA CHAPA GARCÍA</w:t>
            </w:r>
          </w:p>
          <w:p w:rsidR="00414862" w:rsidRPr="00414862" w:rsidRDefault="00414862" w:rsidP="00414862">
            <w:pPr>
              <w:jc w:val="center"/>
              <w:rPr>
                <w:sz w:val="20"/>
                <w:szCs w:val="24"/>
              </w:rPr>
            </w:pP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sz w:val="20"/>
                <w:szCs w:val="24"/>
              </w:rPr>
            </w:pPr>
            <w:r w:rsidRPr="00414862">
              <w:rPr>
                <w:b/>
                <w:sz w:val="20"/>
                <w:szCs w:val="24"/>
              </w:rPr>
              <w:t xml:space="preserve">A </w:t>
            </w:r>
          </w:p>
          <w:p w:rsidR="00414862" w:rsidRPr="00414862" w:rsidRDefault="00414862" w:rsidP="00414862">
            <w:pPr>
              <w:ind w:left="12"/>
              <w:rPr>
                <w:sz w:val="20"/>
                <w:szCs w:val="24"/>
              </w:rPr>
            </w:pPr>
            <w:r w:rsidRPr="00414862">
              <w:rPr>
                <w:b/>
                <w:sz w:val="20"/>
                <w:szCs w:val="24"/>
              </w:rPr>
              <w:t xml:space="preserve">FAVOR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ind w:right="107"/>
              <w:jc w:val="center"/>
              <w:rPr>
                <w:sz w:val="20"/>
                <w:szCs w:val="24"/>
              </w:rPr>
            </w:pPr>
            <w:r w:rsidRPr="00414862">
              <w:rPr>
                <w:b/>
                <w:sz w:val="20"/>
                <w:szCs w:val="24"/>
              </w:rPr>
              <w:t xml:space="preserve">EN </w:t>
            </w:r>
          </w:p>
          <w:p w:rsidR="00414862" w:rsidRPr="00414862" w:rsidRDefault="00414862" w:rsidP="00414862">
            <w:pPr>
              <w:ind w:left="22"/>
              <w:rPr>
                <w:sz w:val="20"/>
                <w:szCs w:val="24"/>
              </w:rPr>
            </w:pPr>
            <w:r w:rsidRPr="00414862">
              <w:rPr>
                <w:b/>
                <w:sz w:val="20"/>
                <w:szCs w:val="24"/>
              </w:rPr>
              <w:t xml:space="preserve">CONTRA </w:t>
            </w:r>
          </w:p>
        </w:tc>
        <w:tc>
          <w:tcPr>
            <w:tcW w:w="1964"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rPr>
                <w:sz w:val="20"/>
                <w:szCs w:val="24"/>
              </w:rPr>
            </w:pPr>
            <w:r w:rsidRPr="00414862">
              <w:rPr>
                <w:b/>
                <w:sz w:val="20"/>
                <w:szCs w:val="24"/>
              </w:rPr>
              <w:t xml:space="preserve">ABSETENCIÓN </w:t>
            </w:r>
          </w:p>
        </w:tc>
        <w:tc>
          <w:tcPr>
            <w:tcW w:w="492"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24"/>
              <w:jc w:val="left"/>
              <w:rPr>
                <w:sz w:val="20"/>
                <w:szCs w:val="24"/>
              </w:rPr>
            </w:pPr>
            <w:r w:rsidRPr="00414862">
              <w:rPr>
                <w:b/>
                <w:sz w:val="20"/>
                <w:szCs w:val="24"/>
              </w:rPr>
              <w:t xml:space="preserve">SI </w:t>
            </w:r>
          </w:p>
        </w:tc>
        <w:tc>
          <w:tcPr>
            <w:tcW w:w="1320" w:type="dxa"/>
            <w:tcBorders>
              <w:top w:val="single" w:sz="4" w:space="0" w:color="000000"/>
              <w:left w:val="single" w:sz="4" w:space="0" w:color="000000"/>
              <w:bottom w:val="single" w:sz="4" w:space="0" w:color="000000"/>
              <w:right w:val="single" w:sz="4" w:space="0" w:color="000000"/>
            </w:tcBorders>
            <w:vAlign w:val="center"/>
          </w:tcPr>
          <w:p w:rsidR="00414862" w:rsidRPr="00414862" w:rsidRDefault="00414862" w:rsidP="00414862">
            <w:pPr>
              <w:ind w:left="65"/>
              <w:jc w:val="left"/>
              <w:rPr>
                <w:sz w:val="20"/>
                <w:szCs w:val="24"/>
              </w:rPr>
            </w:pPr>
            <w:r w:rsidRPr="00414862">
              <w:rPr>
                <w:b/>
                <w:sz w:val="20"/>
                <w:szCs w:val="24"/>
              </w:rPr>
              <w:t xml:space="preserve">CUALES </w:t>
            </w:r>
          </w:p>
        </w:tc>
      </w:tr>
      <w:tr w:rsidR="00414862" w:rsidRPr="00414862" w:rsidTr="00E51A0B">
        <w:trPr>
          <w:trHeight w:val="793"/>
        </w:trPr>
        <w:tc>
          <w:tcPr>
            <w:tcW w:w="0" w:type="auto"/>
            <w:vMerge/>
            <w:tcBorders>
              <w:top w:val="nil"/>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p>
        </w:tc>
        <w:tc>
          <w:tcPr>
            <w:tcW w:w="109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p w:rsidR="00414862" w:rsidRPr="00414862" w:rsidRDefault="00414862" w:rsidP="00414862">
            <w:pPr>
              <w:jc w:val="left"/>
              <w:rPr>
                <w:sz w:val="20"/>
                <w:szCs w:val="24"/>
              </w:rPr>
            </w:pPr>
            <w:r w:rsidRPr="00414862">
              <w:rPr>
                <w:sz w:val="20"/>
                <w:szCs w:val="24"/>
              </w:rPr>
              <w:t xml:space="preserve"> </w:t>
            </w:r>
          </w:p>
          <w:p w:rsidR="00414862" w:rsidRPr="00414862" w:rsidRDefault="00414862" w:rsidP="00414862">
            <w:pPr>
              <w:jc w:val="left"/>
              <w:rPr>
                <w:sz w:val="20"/>
                <w:szCs w:val="24"/>
              </w:rPr>
            </w:pPr>
            <w:r w:rsidRPr="00414862">
              <w:rPr>
                <w:sz w:val="20"/>
                <w:szCs w:val="24"/>
              </w:rPr>
              <w:t xml:space="preserve"> </w:t>
            </w:r>
          </w:p>
          <w:p w:rsidR="00414862" w:rsidRPr="00414862" w:rsidRDefault="00414862" w:rsidP="00414862">
            <w:pPr>
              <w:jc w:val="left"/>
              <w:rPr>
                <w:sz w:val="20"/>
                <w:szCs w:val="24"/>
              </w:rPr>
            </w:pPr>
            <w:r w:rsidRPr="00414862">
              <w:rPr>
                <w:sz w:val="20"/>
                <w:szCs w:val="24"/>
              </w:rPr>
              <w:t xml:space="preserve"> </w:t>
            </w:r>
          </w:p>
          <w:p w:rsidR="00414862" w:rsidRPr="00414862" w:rsidRDefault="00414862" w:rsidP="00414862">
            <w:pPr>
              <w:jc w:val="left"/>
              <w:rPr>
                <w:sz w:val="20"/>
                <w:szCs w:val="24"/>
              </w:rPr>
            </w:pPr>
            <w:r w:rsidRPr="00414862">
              <w:rPr>
                <w:sz w:val="20"/>
                <w:szCs w:val="24"/>
              </w:rPr>
              <w:t xml:space="preserve"> </w:t>
            </w:r>
          </w:p>
          <w:p w:rsidR="00414862" w:rsidRPr="00414862" w:rsidRDefault="00414862" w:rsidP="00414862">
            <w:pPr>
              <w:jc w:val="left"/>
              <w:rPr>
                <w:sz w:val="20"/>
                <w:szCs w:val="24"/>
              </w:rPr>
            </w:pPr>
            <w:r w:rsidRPr="00414862">
              <w:rPr>
                <w:sz w:val="20"/>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rsidR="00414862" w:rsidRPr="00414862" w:rsidRDefault="00414862" w:rsidP="00414862">
            <w:pPr>
              <w:jc w:val="left"/>
              <w:rPr>
                <w:sz w:val="20"/>
                <w:szCs w:val="24"/>
              </w:rPr>
            </w:pPr>
            <w:r w:rsidRPr="00414862">
              <w:rPr>
                <w:sz w:val="20"/>
                <w:szCs w:val="24"/>
              </w:rPr>
              <w:t xml:space="preserve"> </w:t>
            </w:r>
          </w:p>
        </w:tc>
      </w:tr>
    </w:tbl>
    <w:p w:rsidR="00414862" w:rsidRPr="00414862" w:rsidRDefault="00414862" w:rsidP="00414862">
      <w:pPr>
        <w:rPr>
          <w:szCs w:val="24"/>
        </w:rPr>
      </w:pPr>
      <w:r w:rsidRPr="00414862">
        <w:rPr>
          <w:szCs w:val="24"/>
        </w:rPr>
        <w:t xml:space="preserve"> </w:t>
      </w:r>
    </w:p>
    <w:p w:rsidR="001827C4" w:rsidRPr="001827C4" w:rsidRDefault="001827C4" w:rsidP="007943F4">
      <w:pPr>
        <w:spacing w:line="276" w:lineRule="auto"/>
        <w:ind w:right="50"/>
        <w:rPr>
          <w:rFonts w:ascii="Calibri" w:hAnsi="Calibri" w:cs="Arial"/>
          <w:b/>
          <w:noProof/>
          <w:sz w:val="26"/>
          <w:szCs w:val="26"/>
          <w:lang w:eastAsia="es-MX"/>
        </w:rPr>
      </w:pPr>
      <w:bookmarkStart w:id="4" w:name="_GoBack"/>
      <w:bookmarkEnd w:id="4"/>
    </w:p>
    <w:sectPr w:rsidR="001827C4" w:rsidRPr="001827C4" w:rsidSect="007943F4">
      <w:headerReference w:type="even" r:id="rId8"/>
      <w:headerReference w:type="default" r:id="rId9"/>
      <w:footerReference w:type="even" r:id="rId10"/>
      <w:footerReference w:type="default" r:id="rId11"/>
      <w:headerReference w:type="first" r:id="rId12"/>
      <w:footerReference w:type="first" r:id="rId13"/>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8C" w:rsidRDefault="0006648C">
      <w:r>
        <w:separator/>
      </w:r>
    </w:p>
  </w:endnote>
  <w:endnote w:type="continuationSeparator" w:id="0">
    <w:p w:rsidR="0006648C" w:rsidRDefault="0006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68" w:rsidRDefault="00896A6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68" w:rsidRDefault="00896A6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68" w:rsidRDefault="00896A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8C" w:rsidRDefault="0006648C">
      <w:r>
        <w:separator/>
      </w:r>
    </w:p>
  </w:footnote>
  <w:footnote w:type="continuationSeparator" w:id="0">
    <w:p w:rsidR="0006648C" w:rsidRDefault="0006648C">
      <w:r>
        <w:continuationSeparator/>
      </w:r>
    </w:p>
  </w:footnote>
  <w:footnote w:id="1">
    <w:p w:rsidR="00896A68" w:rsidRPr="009D6E8A" w:rsidRDefault="00896A68" w:rsidP="00414862">
      <w:pPr>
        <w:rPr>
          <w:sz w:val="16"/>
        </w:rPr>
      </w:pPr>
      <w:r w:rsidRPr="009D6E8A">
        <w:rPr>
          <w:sz w:val="16"/>
        </w:rPr>
        <w:t xml:space="preserve"> aquí: https://www.elsiglodetorreon.com.mx/noticia/1420995.matan-a-tres-en-vulcanizadora-de-torreon.html</w:t>
      </w:r>
    </w:p>
  </w:footnote>
  <w:footnote w:id="2">
    <w:p w:rsidR="00896A68" w:rsidRPr="009D6E8A" w:rsidRDefault="00896A68" w:rsidP="00414862">
      <w:pPr>
        <w:rPr>
          <w:sz w:val="16"/>
        </w:rPr>
      </w:pPr>
      <w:r w:rsidRPr="009D6E8A">
        <w:rPr>
          <w:sz w:val="16"/>
        </w:rPr>
        <w:footnoteRef/>
      </w:r>
      <w:r w:rsidRPr="009D6E8A">
        <w:rPr>
          <w:sz w:val="16"/>
        </w:rPr>
        <w:t xml:space="preserve"> Ver: https://www.sdpnoticias.com/local/coahuila/2019/01/20/matan-y-abandonan-a-adolescente-en-ramos-arizpe</w:t>
      </w:r>
    </w:p>
  </w:footnote>
  <w:footnote w:id="3">
    <w:p w:rsidR="00896A68" w:rsidRPr="009D6E8A" w:rsidRDefault="00896A68" w:rsidP="00414862">
      <w:pPr>
        <w:rPr>
          <w:sz w:val="16"/>
        </w:rPr>
      </w:pPr>
      <w:r w:rsidRPr="009D6E8A">
        <w:rPr>
          <w:sz w:val="16"/>
        </w:rPr>
        <w:footnoteRef/>
      </w:r>
      <w:r w:rsidRPr="009D6E8A">
        <w:rPr>
          <w:sz w:val="16"/>
        </w:rPr>
        <w:t xml:space="preserve"> Ver: https://vanguardia.com.mx/articulo/panico-en-piedras-negras-coahuila-por-balacera-ciudadanos-quedan-atrapados-y-lo-graban</w:t>
      </w:r>
    </w:p>
  </w:footnote>
  <w:footnote w:id="4">
    <w:p w:rsidR="00896A68" w:rsidRPr="009D6E8A" w:rsidRDefault="00896A68" w:rsidP="00414862">
      <w:pPr>
        <w:rPr>
          <w:sz w:val="16"/>
        </w:rPr>
      </w:pPr>
      <w:r w:rsidRPr="009D6E8A">
        <w:rPr>
          <w:sz w:val="16"/>
        </w:rPr>
        <w:footnoteRef/>
      </w:r>
      <w:r w:rsidRPr="009D6E8A">
        <w:rPr>
          <w:sz w:val="16"/>
        </w:rPr>
        <w:t xml:space="preserve"> Ver: https://vanguardia.com.mx/articulo/familia-huye-de-su-domicilio-en-saltillo-acosada-por-hombres-de-negro-intentan-sustraer-dos</w:t>
      </w:r>
    </w:p>
    <w:p w:rsidR="00896A68" w:rsidRDefault="00896A68" w:rsidP="0041486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68" w:rsidRDefault="00896A6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96A68" w:rsidRPr="00D775E4" w:rsidTr="00105CF9">
      <w:trPr>
        <w:jc w:val="center"/>
      </w:trPr>
      <w:tc>
        <w:tcPr>
          <w:tcW w:w="1253" w:type="dxa"/>
        </w:tcPr>
        <w:p w:rsidR="00896A68" w:rsidRPr="00D775E4" w:rsidRDefault="00896A68" w:rsidP="001827C4">
          <w:pPr>
            <w:jc w:val="center"/>
            <w:rPr>
              <w:b/>
              <w:bCs/>
              <w:sz w:val="12"/>
            </w:rPr>
          </w:pPr>
        </w:p>
        <w:p w:rsidR="00896A68" w:rsidRPr="00D775E4" w:rsidRDefault="00896A68" w:rsidP="001827C4">
          <w:pPr>
            <w:jc w:val="center"/>
            <w:rPr>
              <w:b/>
              <w:bCs/>
              <w:sz w:val="12"/>
            </w:rPr>
          </w:pPr>
        </w:p>
        <w:p w:rsidR="00896A68" w:rsidRPr="00D775E4" w:rsidRDefault="00896A68" w:rsidP="001827C4">
          <w:pPr>
            <w:jc w:val="center"/>
            <w:rPr>
              <w:b/>
              <w:bCs/>
              <w:sz w:val="12"/>
            </w:rPr>
          </w:pPr>
        </w:p>
        <w:p w:rsidR="00896A68" w:rsidRPr="00D775E4" w:rsidRDefault="00896A68" w:rsidP="001827C4">
          <w:pPr>
            <w:jc w:val="center"/>
            <w:rPr>
              <w:b/>
              <w:bCs/>
              <w:sz w:val="12"/>
            </w:rPr>
          </w:pPr>
        </w:p>
        <w:p w:rsidR="00896A68" w:rsidRPr="00D775E4" w:rsidRDefault="00896A68" w:rsidP="001827C4">
          <w:pPr>
            <w:jc w:val="center"/>
            <w:rPr>
              <w:b/>
              <w:bCs/>
              <w:sz w:val="12"/>
            </w:rPr>
          </w:pPr>
        </w:p>
        <w:p w:rsidR="00896A68" w:rsidRPr="00D775E4" w:rsidRDefault="00896A68" w:rsidP="001827C4">
          <w:pPr>
            <w:jc w:val="center"/>
            <w:rPr>
              <w:b/>
              <w:bCs/>
              <w:sz w:val="12"/>
            </w:rPr>
          </w:pPr>
        </w:p>
        <w:p w:rsidR="00896A68" w:rsidRPr="00D775E4" w:rsidRDefault="00896A68" w:rsidP="001827C4">
          <w:pPr>
            <w:jc w:val="center"/>
            <w:rPr>
              <w:b/>
              <w:bCs/>
              <w:sz w:val="12"/>
            </w:rPr>
          </w:pPr>
        </w:p>
        <w:p w:rsidR="00896A68" w:rsidRPr="00D775E4" w:rsidRDefault="00896A68" w:rsidP="001827C4">
          <w:pPr>
            <w:jc w:val="center"/>
            <w:rPr>
              <w:b/>
              <w:bCs/>
              <w:sz w:val="12"/>
            </w:rPr>
          </w:pPr>
        </w:p>
        <w:p w:rsidR="00896A68" w:rsidRPr="00D775E4" w:rsidRDefault="00896A68" w:rsidP="001827C4">
          <w:pPr>
            <w:jc w:val="center"/>
            <w:rPr>
              <w:b/>
              <w:bCs/>
              <w:sz w:val="12"/>
            </w:rPr>
          </w:pPr>
        </w:p>
        <w:p w:rsidR="00896A68" w:rsidRPr="00D775E4" w:rsidRDefault="00896A68" w:rsidP="001827C4">
          <w:pPr>
            <w:jc w:val="center"/>
            <w:rPr>
              <w:b/>
              <w:bCs/>
              <w:sz w:val="12"/>
            </w:rPr>
          </w:pPr>
        </w:p>
        <w:p w:rsidR="00896A68" w:rsidRPr="00D775E4" w:rsidRDefault="00896A68" w:rsidP="001827C4">
          <w:pPr>
            <w:jc w:val="center"/>
            <w:rPr>
              <w:b/>
              <w:bCs/>
              <w:sz w:val="12"/>
            </w:rPr>
          </w:pPr>
        </w:p>
        <w:p w:rsidR="00896A68" w:rsidRPr="00D775E4" w:rsidRDefault="00896A68" w:rsidP="001827C4">
          <w:pPr>
            <w:jc w:val="center"/>
            <w:rPr>
              <w:b/>
              <w:bCs/>
              <w:sz w:val="12"/>
            </w:rPr>
          </w:pPr>
        </w:p>
      </w:tc>
      <w:tc>
        <w:tcPr>
          <w:tcW w:w="8623" w:type="dxa"/>
        </w:tcPr>
        <w:p w:rsidR="00896A68" w:rsidRPr="00815938" w:rsidRDefault="00896A68" w:rsidP="001827C4">
          <w:pPr>
            <w:jc w:val="center"/>
            <w:rPr>
              <w:b/>
              <w:bCs/>
              <w:sz w:val="24"/>
            </w:rPr>
          </w:pPr>
          <w:r>
            <w:rPr>
              <w:b/>
              <w:bCs/>
              <w:noProof/>
              <w:sz w:val="12"/>
              <w:lang w:eastAsia="es-MX"/>
            </w:rPr>
            <w:drawing>
              <wp:anchor distT="0" distB="0" distL="114300" distR="114300" simplePos="0" relativeHeight="251713536" behindDoc="0" locked="0" layoutInCell="1" allowOverlap="1" wp14:anchorId="5A69CDFB" wp14:editId="280FFEA3">
                <wp:simplePos x="0" y="0"/>
                <wp:positionH relativeFrom="column">
                  <wp:posOffset>4979670</wp:posOffset>
                </wp:positionH>
                <wp:positionV relativeFrom="paragraph">
                  <wp:posOffset>67310</wp:posOffset>
                </wp:positionV>
                <wp:extent cx="1180929" cy="877824"/>
                <wp:effectExtent l="0" t="0" r="635" b="0"/>
                <wp:wrapNone/>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712512" behindDoc="0" locked="0" layoutInCell="1" allowOverlap="1" wp14:anchorId="08A86EA3" wp14:editId="40A91844">
                <wp:simplePos x="0" y="0"/>
                <wp:positionH relativeFrom="column">
                  <wp:posOffset>-700405</wp:posOffset>
                </wp:positionH>
                <wp:positionV relativeFrom="paragraph">
                  <wp:posOffset>54610</wp:posOffset>
                </wp:positionV>
                <wp:extent cx="902335" cy="886460"/>
                <wp:effectExtent l="0" t="0" r="0" b="0"/>
                <wp:wrapNone/>
                <wp:docPr id="16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A68" w:rsidRPr="002E1219" w:rsidRDefault="00896A68" w:rsidP="001827C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896A68" w:rsidRDefault="00896A68" w:rsidP="001827C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896A68" w:rsidRPr="00530EA8" w:rsidRDefault="00896A68" w:rsidP="001827C4">
          <w:pPr>
            <w:pStyle w:val="Encabezado"/>
            <w:tabs>
              <w:tab w:val="clear" w:pos="4252"/>
              <w:tab w:val="left" w:pos="-1528"/>
              <w:tab w:val="center" w:pos="-1386"/>
            </w:tabs>
            <w:jc w:val="center"/>
            <w:rPr>
              <w:rFonts w:cs="Arial"/>
              <w:bCs/>
              <w:smallCaps/>
              <w:spacing w:val="20"/>
              <w:sz w:val="16"/>
              <w:szCs w:val="32"/>
            </w:rPr>
          </w:pPr>
        </w:p>
        <w:p w:rsidR="00896A68" w:rsidRPr="00C1674F" w:rsidRDefault="00896A68" w:rsidP="001827C4">
          <w:pPr>
            <w:jc w:val="center"/>
            <w:rPr>
              <w:rFonts w:ascii="Arial Narrow" w:hAnsi="Arial Narrow" w:cs="Arial"/>
              <w:sz w:val="18"/>
            </w:rPr>
          </w:pPr>
          <w:r w:rsidRPr="00C1674F">
            <w:rPr>
              <w:rFonts w:ascii="Arial Narrow" w:hAnsi="Arial Narrow" w:cs="Arial"/>
              <w:sz w:val="18"/>
            </w:rPr>
            <w:t>“</w:t>
          </w:r>
          <w:r w:rsidRPr="00C1674F">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C1674F">
            <w:rPr>
              <w:rFonts w:ascii="Arial Narrow" w:hAnsi="Arial Narrow" w:cs="Arial"/>
              <w:sz w:val="18"/>
            </w:rPr>
            <w:t>”</w:t>
          </w:r>
        </w:p>
        <w:p w:rsidR="00896A68" w:rsidRPr="00D775E4" w:rsidRDefault="00896A68" w:rsidP="001827C4">
          <w:pPr>
            <w:ind w:left="-434" w:right="-672"/>
            <w:jc w:val="center"/>
            <w:rPr>
              <w:b/>
              <w:bCs/>
              <w:sz w:val="12"/>
            </w:rPr>
          </w:pPr>
        </w:p>
      </w:tc>
      <w:tc>
        <w:tcPr>
          <w:tcW w:w="1181" w:type="dxa"/>
        </w:tcPr>
        <w:p w:rsidR="00896A68" w:rsidRDefault="00896A68" w:rsidP="001827C4">
          <w:pPr>
            <w:jc w:val="center"/>
            <w:rPr>
              <w:b/>
              <w:bCs/>
              <w:sz w:val="12"/>
            </w:rPr>
          </w:pPr>
        </w:p>
        <w:p w:rsidR="00896A68" w:rsidRDefault="00896A68" w:rsidP="001827C4">
          <w:pPr>
            <w:jc w:val="center"/>
            <w:rPr>
              <w:b/>
              <w:bCs/>
              <w:sz w:val="12"/>
            </w:rPr>
          </w:pPr>
        </w:p>
        <w:p w:rsidR="00896A68" w:rsidRPr="00D775E4" w:rsidRDefault="00896A68" w:rsidP="001827C4">
          <w:pPr>
            <w:jc w:val="center"/>
            <w:rPr>
              <w:b/>
              <w:bCs/>
              <w:sz w:val="12"/>
            </w:rPr>
          </w:pPr>
        </w:p>
      </w:tc>
    </w:tr>
  </w:tbl>
  <w:p w:rsidR="00896A68" w:rsidRDefault="00896A6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68" w:rsidRDefault="00896A6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B5B49"/>
    <w:multiLevelType w:val="hybridMultilevel"/>
    <w:tmpl w:val="799A8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D22B3E"/>
    <w:multiLevelType w:val="hybridMultilevel"/>
    <w:tmpl w:val="803287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B66301"/>
    <w:multiLevelType w:val="multilevel"/>
    <w:tmpl w:val="B8E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9E074B"/>
    <w:multiLevelType w:val="hybridMultilevel"/>
    <w:tmpl w:val="D2C437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6"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463AED"/>
    <w:multiLevelType w:val="hybridMultilevel"/>
    <w:tmpl w:val="93A00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3"/>
  </w:num>
  <w:num w:numId="5">
    <w:abstractNumId w:val="1"/>
  </w:num>
  <w:num w:numId="6">
    <w:abstractNumId w:val="5"/>
  </w:num>
  <w:num w:numId="7">
    <w:abstractNumId w:val="15"/>
  </w:num>
  <w:num w:numId="8">
    <w:abstractNumId w:val="14"/>
  </w:num>
  <w:num w:numId="9">
    <w:abstractNumId w:val="18"/>
  </w:num>
  <w:num w:numId="10">
    <w:abstractNumId w:val="23"/>
  </w:num>
  <w:num w:numId="11">
    <w:abstractNumId w:val="9"/>
  </w:num>
  <w:num w:numId="12">
    <w:abstractNumId w:val="7"/>
  </w:num>
  <w:num w:numId="13">
    <w:abstractNumId w:val="11"/>
  </w:num>
  <w:num w:numId="14">
    <w:abstractNumId w:val="17"/>
  </w:num>
  <w:num w:numId="15">
    <w:abstractNumId w:val="19"/>
  </w:num>
  <w:num w:numId="16">
    <w:abstractNumId w:val="16"/>
  </w:num>
  <w:num w:numId="17">
    <w:abstractNumId w:val="13"/>
  </w:num>
  <w:num w:numId="18">
    <w:abstractNumId w:val="21"/>
  </w:num>
  <w:num w:numId="19">
    <w:abstractNumId w:val="20"/>
  </w:num>
  <w:num w:numId="20">
    <w:abstractNumId w:val="12"/>
  </w:num>
  <w:num w:numId="21">
    <w:abstractNumId w:val="22"/>
  </w:num>
  <w:num w:numId="22">
    <w:abstractNumId w:val="10"/>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6648C"/>
    <w:rsid w:val="00070BB7"/>
    <w:rsid w:val="00071282"/>
    <w:rsid w:val="0007359A"/>
    <w:rsid w:val="0007413E"/>
    <w:rsid w:val="00074CC4"/>
    <w:rsid w:val="00075F81"/>
    <w:rsid w:val="000768B7"/>
    <w:rsid w:val="00077BE3"/>
    <w:rsid w:val="00081BDC"/>
    <w:rsid w:val="0008220F"/>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5CF9"/>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5F2C"/>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27C4"/>
    <w:rsid w:val="00183A98"/>
    <w:rsid w:val="00184619"/>
    <w:rsid w:val="00186366"/>
    <w:rsid w:val="0018760D"/>
    <w:rsid w:val="00187AAA"/>
    <w:rsid w:val="0019114E"/>
    <w:rsid w:val="00191417"/>
    <w:rsid w:val="00191A00"/>
    <w:rsid w:val="00193BF9"/>
    <w:rsid w:val="00194B67"/>
    <w:rsid w:val="001956D2"/>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5E5"/>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E722A"/>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290"/>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85E"/>
    <w:rsid w:val="003F0B94"/>
    <w:rsid w:val="003F6971"/>
    <w:rsid w:val="003F6F7A"/>
    <w:rsid w:val="00401403"/>
    <w:rsid w:val="004018CA"/>
    <w:rsid w:val="00403884"/>
    <w:rsid w:val="00403A46"/>
    <w:rsid w:val="00403E3B"/>
    <w:rsid w:val="00404EFA"/>
    <w:rsid w:val="00412488"/>
    <w:rsid w:val="00412939"/>
    <w:rsid w:val="0041391D"/>
    <w:rsid w:val="00414862"/>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4AF4"/>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31CE"/>
    <w:rsid w:val="005746CF"/>
    <w:rsid w:val="00575D92"/>
    <w:rsid w:val="00576AF4"/>
    <w:rsid w:val="00580F03"/>
    <w:rsid w:val="00582951"/>
    <w:rsid w:val="005829F0"/>
    <w:rsid w:val="00582A74"/>
    <w:rsid w:val="005831B4"/>
    <w:rsid w:val="00585B84"/>
    <w:rsid w:val="005876B4"/>
    <w:rsid w:val="00595CB8"/>
    <w:rsid w:val="005A2816"/>
    <w:rsid w:val="005A3CA5"/>
    <w:rsid w:val="005A3D60"/>
    <w:rsid w:val="005A4340"/>
    <w:rsid w:val="005A4B73"/>
    <w:rsid w:val="005A53BE"/>
    <w:rsid w:val="005A6971"/>
    <w:rsid w:val="005B0C59"/>
    <w:rsid w:val="005B1011"/>
    <w:rsid w:val="005B42A0"/>
    <w:rsid w:val="005B4EF0"/>
    <w:rsid w:val="005B5D3D"/>
    <w:rsid w:val="005B5F10"/>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2E4E"/>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3F4"/>
    <w:rsid w:val="00794761"/>
    <w:rsid w:val="007950F4"/>
    <w:rsid w:val="0079787C"/>
    <w:rsid w:val="007A10F4"/>
    <w:rsid w:val="007A2493"/>
    <w:rsid w:val="007A2693"/>
    <w:rsid w:val="007A6E78"/>
    <w:rsid w:val="007A749E"/>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96A68"/>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6DCD"/>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22C9"/>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E6B4A"/>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7F6"/>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1924"/>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17619"/>
    <w:rsid w:val="00E20336"/>
    <w:rsid w:val="00E204AA"/>
    <w:rsid w:val="00E20C93"/>
    <w:rsid w:val="00E21086"/>
    <w:rsid w:val="00E226B3"/>
    <w:rsid w:val="00E23592"/>
    <w:rsid w:val="00E23E14"/>
    <w:rsid w:val="00E2404E"/>
    <w:rsid w:val="00E249CB"/>
    <w:rsid w:val="00E2658E"/>
    <w:rsid w:val="00E27D81"/>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1A0B"/>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2A15"/>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1401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4148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semiHidden/>
    <w:unhideWhenUsed/>
    <w:qFormat/>
    <w:rsid w:val="00E51A0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table" w:customStyle="1" w:styleId="TableGrid">
    <w:name w:val="TableGrid"/>
    <w:rsid w:val="00414862"/>
    <w:rPr>
      <w:rFonts w:ascii="Calibri" w:hAnsi="Calibri"/>
      <w:sz w:val="22"/>
      <w:szCs w:val="22"/>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414862"/>
    <w:rPr>
      <w:rFonts w:asciiTheme="majorHAnsi" w:eastAsiaTheme="majorEastAsia" w:hAnsiTheme="majorHAnsi" w:cstheme="majorBidi"/>
      <w:color w:val="2F5496" w:themeColor="accent1" w:themeShade="BF"/>
      <w:sz w:val="32"/>
      <w:szCs w:val="32"/>
      <w:lang w:eastAsia="es-ES"/>
    </w:rPr>
  </w:style>
  <w:style w:type="table" w:customStyle="1" w:styleId="TableGrid1">
    <w:name w:val="TableGrid1"/>
    <w:rsid w:val="00414862"/>
    <w:rPr>
      <w:rFonts w:ascii="Calibri" w:hAnsi="Calibr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57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73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86290"/>
  </w:style>
  <w:style w:type="character" w:customStyle="1" w:styleId="TextonotapieCar">
    <w:name w:val="Texto nota pie Car"/>
    <w:basedOn w:val="Fuentedeprrafopredeter"/>
    <w:link w:val="Textonotapie"/>
    <w:uiPriority w:val="99"/>
    <w:semiHidden/>
    <w:rsid w:val="00386290"/>
    <w:rPr>
      <w:rFonts w:ascii="Arial" w:hAnsi="Arial"/>
      <w:lang w:eastAsia="es-ES"/>
    </w:rPr>
  </w:style>
  <w:style w:type="character" w:styleId="Refdenotaalpie">
    <w:name w:val="footnote reference"/>
    <w:basedOn w:val="Fuentedeprrafopredeter"/>
    <w:uiPriority w:val="99"/>
    <w:unhideWhenUsed/>
    <w:rsid w:val="00386290"/>
    <w:rPr>
      <w:vertAlign w:val="superscript"/>
    </w:rPr>
  </w:style>
  <w:style w:type="table" w:customStyle="1" w:styleId="Tablaconcuadrcula3">
    <w:name w:val="Tabla con cuadrícula3"/>
    <w:basedOn w:val="Tablanormal"/>
    <w:next w:val="Tablaconcuadrcula"/>
    <w:uiPriority w:val="39"/>
    <w:rsid w:val="00E5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E51A0B"/>
    <w:rPr>
      <w:rFonts w:asciiTheme="majorHAnsi" w:eastAsiaTheme="majorEastAsia" w:hAnsiTheme="majorHAnsi" w:cstheme="majorBidi"/>
      <w:color w:val="1F3763" w:themeColor="accent1" w:themeShade="7F"/>
      <w:sz w:val="24"/>
      <w:szCs w:val="24"/>
      <w:lang w:eastAsia="es-ES"/>
    </w:rPr>
  </w:style>
  <w:style w:type="table" w:customStyle="1" w:styleId="Tablaconcuadrcula4">
    <w:name w:val="Tabla con cuadrícula4"/>
    <w:basedOn w:val="Tablanormal"/>
    <w:next w:val="Tablaconcuadrcula"/>
    <w:uiPriority w:val="39"/>
    <w:rsid w:val="009A6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182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1827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827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3F085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4D0D-ECBD-4BC1-899B-C8B0DA27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1984</Words>
  <Characters>10916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2019-08-19T17:28:00Z</cp:lastPrinted>
  <dcterms:created xsi:type="dcterms:W3CDTF">2019-09-20T17:55:00Z</dcterms:created>
  <dcterms:modified xsi:type="dcterms:W3CDTF">2019-09-20T17:56:00Z</dcterms:modified>
</cp:coreProperties>
</file>