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E4" w:rsidRPr="000F4A2C" w:rsidRDefault="000816AA" w:rsidP="00A67EE4">
      <w:pPr>
        <w:widowControl w:val="0"/>
        <w:rPr>
          <w:rFonts w:cs="Arial"/>
          <w:b/>
          <w:snapToGrid w:val="0"/>
          <w:sz w:val="26"/>
          <w:szCs w:val="26"/>
          <w:lang w:val="es-ES"/>
        </w:rPr>
      </w:pPr>
      <w:r>
        <w:rPr>
          <w:rFonts w:cs="Arial"/>
          <w:b/>
          <w:snapToGrid w:val="0"/>
          <w:sz w:val="26"/>
          <w:szCs w:val="26"/>
          <w:lang w:val="es-ES"/>
        </w:rPr>
        <w:t>Dictámenes y Acuerdos correspondientes a la T</w:t>
      </w:r>
      <w:r w:rsidR="00A67EE4" w:rsidRPr="000F4A2C">
        <w:rPr>
          <w:rFonts w:cs="Arial"/>
          <w:b/>
          <w:snapToGrid w:val="0"/>
          <w:sz w:val="26"/>
          <w:szCs w:val="26"/>
          <w:lang w:val="es-ES"/>
        </w:rPr>
        <w:t>ercera Sesión del Segundo Período Ordinario de Sesiones, del Segundo Año de Ejercicio Constitucional de la Sexagésima Primera Legislatura del Congreso del Estado Independiente, Libre y Soberano de Coahuila de Zaragoza.</w:t>
      </w:r>
    </w:p>
    <w:p w:rsidR="00A67EE4" w:rsidRPr="000F4A2C" w:rsidRDefault="00A67EE4" w:rsidP="00A67EE4">
      <w:pPr>
        <w:widowControl w:val="0"/>
        <w:rPr>
          <w:rFonts w:cs="Arial"/>
          <w:b/>
          <w:snapToGrid w:val="0"/>
          <w:sz w:val="26"/>
          <w:szCs w:val="26"/>
          <w:lang w:val="es-ES"/>
        </w:rPr>
      </w:pPr>
    </w:p>
    <w:p w:rsidR="00A67EE4" w:rsidRPr="000F4A2C" w:rsidRDefault="00A67EE4" w:rsidP="00A67EE4">
      <w:pPr>
        <w:widowControl w:val="0"/>
        <w:jc w:val="center"/>
        <w:rPr>
          <w:rFonts w:cs="Arial"/>
          <w:b/>
          <w:snapToGrid w:val="0"/>
          <w:sz w:val="26"/>
          <w:szCs w:val="26"/>
          <w:lang w:val="es-ES"/>
        </w:rPr>
      </w:pPr>
      <w:r w:rsidRPr="000F4A2C">
        <w:rPr>
          <w:rFonts w:cs="Arial"/>
          <w:b/>
          <w:snapToGrid w:val="0"/>
          <w:sz w:val="26"/>
          <w:szCs w:val="26"/>
          <w:lang w:val="es-ES"/>
        </w:rPr>
        <w:t>18 septiembre del año 2019.</w:t>
      </w:r>
    </w:p>
    <w:p w:rsidR="00A67EE4" w:rsidRPr="000F4A2C" w:rsidRDefault="00A67EE4" w:rsidP="00A67EE4">
      <w:pPr>
        <w:widowControl w:val="0"/>
        <w:rPr>
          <w:rFonts w:cs="Arial"/>
          <w:b/>
          <w:snapToGrid w:val="0"/>
          <w:sz w:val="26"/>
          <w:szCs w:val="26"/>
          <w:lang w:val="es-ES"/>
        </w:rPr>
      </w:pPr>
    </w:p>
    <w:p w:rsidR="00A67EE4" w:rsidRPr="000F4A2C" w:rsidRDefault="00A67EE4" w:rsidP="000816AA">
      <w:pPr>
        <w:rPr>
          <w:rFonts w:cs="Arial"/>
          <w:sz w:val="26"/>
          <w:szCs w:val="26"/>
          <w:lang w:val="es-ES"/>
        </w:rPr>
      </w:pPr>
      <w:r w:rsidRPr="000F4A2C">
        <w:rPr>
          <w:rFonts w:cs="Arial"/>
          <w:sz w:val="26"/>
          <w:szCs w:val="26"/>
          <w:lang w:val="es-ES"/>
        </w:rPr>
        <w:t>Lectura, discusión y, en su caso, aprobación de Dictámenes en cartera:</w:t>
      </w:r>
      <w:r w:rsidRPr="000F4A2C">
        <w:rPr>
          <w:rFonts w:eastAsia="Calibri" w:cs="Arial"/>
          <w:color w:val="000000"/>
          <w:sz w:val="26"/>
          <w:szCs w:val="26"/>
        </w:rPr>
        <w:t xml:space="preserve"> </w:t>
      </w:r>
    </w:p>
    <w:p w:rsidR="00A67EE4" w:rsidRPr="000F4A2C" w:rsidRDefault="00A67EE4" w:rsidP="00A67EE4">
      <w:pPr>
        <w:widowControl w:val="0"/>
        <w:rPr>
          <w:rFonts w:cs="Arial"/>
          <w:sz w:val="26"/>
          <w:szCs w:val="26"/>
          <w:lang w:val="es-ES"/>
        </w:rPr>
      </w:pPr>
    </w:p>
    <w:p w:rsidR="00A67EE4" w:rsidRPr="000F4A2C" w:rsidRDefault="00A67EE4" w:rsidP="00A67EE4">
      <w:pPr>
        <w:widowControl w:val="0"/>
        <w:rPr>
          <w:rFonts w:cs="Arial"/>
          <w:snapToGrid w:val="0"/>
          <w:sz w:val="26"/>
          <w:szCs w:val="26"/>
        </w:rPr>
      </w:pPr>
      <w:r w:rsidRPr="000F4A2C">
        <w:rPr>
          <w:rFonts w:cs="Arial"/>
          <w:snapToGrid w:val="0"/>
          <w:sz w:val="26"/>
          <w:szCs w:val="26"/>
        </w:rPr>
        <w:t>Dictamen presentado por la Comisión de Desarrollo Económico, Competitividad y turismo, con relación a la Iniciativa de Decreto planteada por el Diputado Fernando Izaguirre Valdés, conjuntamente con las Diputadas y Diputados del Partido A</w:t>
      </w:r>
      <w:r w:rsidR="00673A14">
        <w:rPr>
          <w:rFonts w:cs="Arial"/>
          <w:snapToGrid w:val="0"/>
          <w:sz w:val="26"/>
          <w:szCs w:val="26"/>
        </w:rPr>
        <w:t>cci</w:t>
      </w:r>
      <w:r w:rsidRPr="000F4A2C">
        <w:rPr>
          <w:rFonts w:cs="Arial"/>
          <w:snapToGrid w:val="0"/>
          <w:sz w:val="26"/>
          <w:szCs w:val="26"/>
        </w:rPr>
        <w:t>ón Nacional, por el que  se modifican y adecuan diversas disposiciones legales de la  Ley para el Impulso y Desarrollo de la actividad  vitivinícola del Estado de Coahuila.</w:t>
      </w:r>
    </w:p>
    <w:p w:rsidR="00A67EE4" w:rsidRPr="000F4A2C" w:rsidRDefault="00A67EE4" w:rsidP="00A67EE4">
      <w:pPr>
        <w:widowControl w:val="0"/>
        <w:rPr>
          <w:rFonts w:cs="Arial"/>
          <w:snapToGrid w:val="0"/>
          <w:sz w:val="26"/>
          <w:szCs w:val="26"/>
        </w:rPr>
      </w:pPr>
    </w:p>
    <w:p w:rsidR="00651D87" w:rsidRDefault="00651D87">
      <w:pPr>
        <w:jc w:val="left"/>
        <w:rPr>
          <w:rFonts w:eastAsia="Calibri" w:cs="Arial"/>
          <w:b/>
          <w:sz w:val="24"/>
          <w:szCs w:val="24"/>
          <w:lang w:eastAsia="en-US"/>
        </w:rPr>
      </w:pPr>
      <w:r>
        <w:rPr>
          <w:rFonts w:eastAsia="Calibri" w:cs="Arial"/>
          <w:b/>
          <w:sz w:val="24"/>
          <w:szCs w:val="24"/>
          <w:lang w:eastAsia="en-US"/>
        </w:rPr>
        <w:br w:type="page"/>
      </w:r>
    </w:p>
    <w:p w:rsidR="00F34C1B" w:rsidRPr="00F34C1B" w:rsidRDefault="00F34C1B" w:rsidP="00F34C1B">
      <w:pPr>
        <w:rPr>
          <w:rFonts w:eastAsia="Calibri" w:cs="Arial"/>
          <w:b/>
          <w:sz w:val="24"/>
          <w:szCs w:val="24"/>
          <w:lang w:eastAsia="en-US"/>
        </w:rPr>
      </w:pPr>
      <w:r w:rsidRPr="00F34C1B">
        <w:rPr>
          <w:rFonts w:cs="Arial"/>
          <w:b/>
          <w:bCs/>
          <w:noProof/>
          <w:sz w:val="24"/>
          <w:szCs w:val="24"/>
          <w:lang w:val="es-ES"/>
        </w:rPr>
        <w:lastRenderedPageBreak/>
        <w:t>DICTAMEN DE LA COMISIÓN DE DESARROLLO ECONÓMICO, COMPETITIVIDAD Y TURISMO DE LA LXI LEGISLATURA DEL CONGRESO DEL ESTADO INDEPENDIENTE, LIBRE Y SOBERANO DE COAHUILA DE ZARAGOZA, RESPECTO A LA INICIATIVA CON PROYECTO DE DECRETO PRESENTADA POR EL DIPUTADO FERNANDO IZAGUIRRE VALDÉS, EN CONJUNTO CON LAS Y LOS DIPUTADOS INTEGRANTES DEL GRUPO PARLAMENTARIO DEL PARTIDO ACCIÓN NACIONAL, POR EL QUE SE MODIFICAN Y ADECÚAN DIVERSAS DISPOSICIONES LEGALES DE LA LEY PARA EL IMPULSO Y DESARROLLO DE LA ACTIVIDAD VITIVINÍCOLA DEL ESTADO DE COAHUILA DE ZARAGOZA</w:t>
      </w:r>
      <w:r w:rsidRPr="00F34C1B">
        <w:rPr>
          <w:rFonts w:eastAsia="Calibri" w:cs="Arial"/>
          <w:b/>
          <w:sz w:val="24"/>
          <w:szCs w:val="24"/>
          <w:lang w:eastAsia="en-US"/>
        </w:rPr>
        <w:t>.</w:t>
      </w:r>
    </w:p>
    <w:p w:rsidR="00F34C1B" w:rsidRPr="00F34C1B" w:rsidRDefault="00F34C1B" w:rsidP="00F34C1B">
      <w:pPr>
        <w:rPr>
          <w:rFonts w:eastAsia="Calibri" w:cs="Arial"/>
          <w:b/>
          <w:sz w:val="24"/>
          <w:szCs w:val="24"/>
          <w:lang w:eastAsia="en-US"/>
        </w:rPr>
      </w:pPr>
    </w:p>
    <w:p w:rsidR="00F34C1B" w:rsidRPr="00F34C1B" w:rsidRDefault="00F34C1B" w:rsidP="00F34C1B">
      <w:pPr>
        <w:jc w:val="center"/>
        <w:rPr>
          <w:rFonts w:eastAsia="Calibri" w:cs="Arial"/>
          <w:b/>
          <w:sz w:val="24"/>
          <w:szCs w:val="24"/>
          <w:lang w:val="es-ES" w:eastAsia="en-US"/>
        </w:rPr>
      </w:pPr>
      <w:r w:rsidRPr="00F34C1B">
        <w:rPr>
          <w:rFonts w:eastAsia="Calibri" w:cs="Arial"/>
          <w:b/>
          <w:sz w:val="24"/>
          <w:szCs w:val="24"/>
          <w:lang w:val="es-ES" w:eastAsia="en-US"/>
        </w:rPr>
        <w:t xml:space="preserve">R E S U L T A N D O </w:t>
      </w:r>
    </w:p>
    <w:p w:rsidR="00F34C1B" w:rsidRPr="00F34C1B" w:rsidRDefault="00F34C1B" w:rsidP="00F34C1B">
      <w:pPr>
        <w:rPr>
          <w:rFonts w:eastAsia="Calibri" w:cs="Arial"/>
          <w:b/>
          <w:sz w:val="24"/>
          <w:szCs w:val="24"/>
          <w:lang w:val="es-ES" w:eastAsia="en-US"/>
        </w:rPr>
      </w:pPr>
    </w:p>
    <w:p w:rsidR="00F34C1B" w:rsidRPr="00F34C1B" w:rsidRDefault="00F34C1B" w:rsidP="00F34C1B">
      <w:pPr>
        <w:rPr>
          <w:rFonts w:eastAsia="Calibri" w:cs="Arial"/>
          <w:sz w:val="24"/>
          <w:szCs w:val="24"/>
          <w:lang w:val="es-ES" w:eastAsia="en-US"/>
        </w:rPr>
      </w:pPr>
      <w:r w:rsidRPr="00F34C1B">
        <w:rPr>
          <w:rFonts w:eastAsia="Calibri" w:cs="Arial"/>
          <w:b/>
          <w:sz w:val="24"/>
          <w:szCs w:val="24"/>
          <w:lang w:val="es-ES" w:eastAsia="en-US"/>
        </w:rPr>
        <w:t xml:space="preserve">PRIMERO.– </w:t>
      </w:r>
      <w:r w:rsidRPr="00F34C1B">
        <w:rPr>
          <w:rFonts w:eastAsia="Calibri" w:cs="Arial"/>
          <w:sz w:val="24"/>
          <w:szCs w:val="24"/>
          <w:lang w:val="es-ES" w:eastAsia="en-US"/>
        </w:rPr>
        <w:t>Que en la Décima Reunión del Primer Periodo Ordinario del Segundo Año de Ejercicio Constitucional de la LXI Legislatura del Congreso del Estado Independiente, Libre y Soberano de Coahuila de Zaragoza, celebrada el día 26 de abril de 2019, se presentó la presente Iniciativa con Proyecto de Decreto.</w:t>
      </w:r>
    </w:p>
    <w:p w:rsidR="00F34C1B" w:rsidRPr="00F34C1B" w:rsidRDefault="00F34C1B" w:rsidP="00F34C1B">
      <w:pPr>
        <w:rPr>
          <w:rFonts w:eastAsia="Calibri" w:cs="Arial"/>
          <w:sz w:val="24"/>
          <w:szCs w:val="24"/>
          <w:lang w:val="es-ES" w:eastAsia="en-US"/>
        </w:rPr>
      </w:pPr>
    </w:p>
    <w:p w:rsidR="00F34C1B" w:rsidRPr="00F34C1B" w:rsidRDefault="00F34C1B" w:rsidP="00F34C1B">
      <w:pPr>
        <w:rPr>
          <w:rFonts w:eastAsia="Calibri" w:cs="Arial"/>
          <w:sz w:val="24"/>
          <w:szCs w:val="24"/>
          <w:lang w:val="es-ES" w:eastAsia="en-US"/>
        </w:rPr>
      </w:pPr>
      <w:r w:rsidRPr="00F34C1B">
        <w:rPr>
          <w:rFonts w:eastAsia="Calibri" w:cs="Arial"/>
          <w:b/>
          <w:sz w:val="24"/>
          <w:szCs w:val="24"/>
          <w:lang w:val="es-ES" w:eastAsia="en-US"/>
        </w:rPr>
        <w:t>SEGUNDO.-</w:t>
      </w:r>
      <w:r w:rsidRPr="00F34C1B">
        <w:rPr>
          <w:rFonts w:eastAsia="Calibri" w:cs="Arial"/>
          <w:sz w:val="24"/>
          <w:szCs w:val="24"/>
          <w:lang w:val="es-ES" w:eastAsia="en-US"/>
        </w:rPr>
        <w:t xml:space="preserve"> Que, en la citada sesión, la Iniciativa planteada se turnó a la Comisión de Desarrollo Económico, Competitividad y Turismo, para efectos de hacer el estudio correspondiente y proceder, en su caso, a la realización del dictamen respectivo.</w:t>
      </w:r>
    </w:p>
    <w:p w:rsidR="00F34C1B" w:rsidRPr="00F34C1B" w:rsidRDefault="00F34C1B" w:rsidP="00F34C1B">
      <w:pPr>
        <w:rPr>
          <w:rFonts w:eastAsia="Calibri" w:cs="Arial"/>
          <w:sz w:val="24"/>
          <w:szCs w:val="24"/>
          <w:lang w:val="es-ES" w:eastAsia="en-US"/>
        </w:rPr>
      </w:pPr>
    </w:p>
    <w:p w:rsidR="00F34C1B" w:rsidRPr="00F34C1B" w:rsidRDefault="00F34C1B" w:rsidP="00F34C1B">
      <w:pPr>
        <w:jc w:val="center"/>
        <w:rPr>
          <w:rFonts w:eastAsia="Calibri" w:cs="Arial"/>
          <w:b/>
          <w:sz w:val="24"/>
          <w:szCs w:val="24"/>
          <w:lang w:val="es-ES" w:eastAsia="en-US"/>
        </w:rPr>
      </w:pPr>
      <w:r w:rsidRPr="00F34C1B">
        <w:rPr>
          <w:rFonts w:eastAsia="Calibri" w:cs="Arial"/>
          <w:b/>
          <w:sz w:val="24"/>
          <w:szCs w:val="24"/>
          <w:lang w:val="es-ES" w:eastAsia="en-US"/>
        </w:rPr>
        <w:t>C O N S I D E R A N D O</w:t>
      </w:r>
    </w:p>
    <w:p w:rsidR="00F34C1B" w:rsidRPr="00F34C1B" w:rsidRDefault="00F34C1B" w:rsidP="00F34C1B">
      <w:pPr>
        <w:rPr>
          <w:rFonts w:eastAsia="Calibri" w:cs="Arial"/>
          <w:b/>
          <w:sz w:val="24"/>
          <w:szCs w:val="24"/>
          <w:lang w:val="es-ES" w:eastAsia="en-US"/>
        </w:rPr>
      </w:pPr>
    </w:p>
    <w:p w:rsidR="00F34C1B" w:rsidRPr="00F34C1B" w:rsidRDefault="00F34C1B" w:rsidP="00F34C1B">
      <w:pPr>
        <w:rPr>
          <w:rFonts w:eastAsia="Calibri" w:cs="Arial"/>
          <w:sz w:val="24"/>
          <w:szCs w:val="24"/>
          <w:lang w:val="es-ES" w:eastAsia="en-US"/>
        </w:rPr>
      </w:pPr>
      <w:r w:rsidRPr="00F34C1B">
        <w:rPr>
          <w:rFonts w:eastAsia="Calibri" w:cs="Arial"/>
          <w:b/>
          <w:sz w:val="24"/>
          <w:szCs w:val="24"/>
          <w:lang w:val="es-ES" w:eastAsia="en-US"/>
        </w:rPr>
        <w:t xml:space="preserve">PRIMERO.- </w:t>
      </w:r>
      <w:r w:rsidRPr="00F34C1B">
        <w:rPr>
          <w:rFonts w:eastAsia="Calibri" w:cs="Arial"/>
          <w:sz w:val="24"/>
          <w:szCs w:val="24"/>
          <w:lang w:val="es-ES" w:eastAsia="en-US"/>
        </w:rPr>
        <w:t>Que esta Comisión de Desarrollo Económico, Competitividad y Turismo, con fundamento en los artículos 83, 95 y demás relativos de la Ley Orgánica del Congreso del Estado Independiente, Libre y Soberano de Coahuila de Zaragoza, es competente para emitir el presente Dictamen.</w:t>
      </w:r>
    </w:p>
    <w:p w:rsidR="00F34C1B" w:rsidRPr="00F34C1B" w:rsidRDefault="00F34C1B" w:rsidP="00F34C1B">
      <w:pPr>
        <w:rPr>
          <w:rFonts w:eastAsia="Calibri" w:cs="Arial"/>
          <w:sz w:val="24"/>
          <w:szCs w:val="24"/>
          <w:lang w:val="es-ES" w:eastAsia="en-US"/>
        </w:rPr>
      </w:pPr>
    </w:p>
    <w:p w:rsidR="00F34C1B" w:rsidRPr="00F34C1B" w:rsidRDefault="00F34C1B" w:rsidP="00F34C1B">
      <w:pPr>
        <w:rPr>
          <w:rFonts w:eastAsia="Calibri" w:cs="Arial"/>
          <w:sz w:val="24"/>
          <w:szCs w:val="24"/>
          <w:lang w:val="es-ES" w:eastAsia="en-US"/>
        </w:rPr>
      </w:pPr>
      <w:r w:rsidRPr="00F34C1B">
        <w:rPr>
          <w:rFonts w:eastAsia="Calibri" w:cs="Arial"/>
          <w:b/>
          <w:sz w:val="24"/>
          <w:szCs w:val="24"/>
          <w:lang w:val="es-ES" w:eastAsia="en-US"/>
        </w:rPr>
        <w:t xml:space="preserve">SEGUNDO.- </w:t>
      </w:r>
      <w:r w:rsidRPr="00F34C1B">
        <w:rPr>
          <w:rFonts w:eastAsia="Calibri" w:cs="Arial"/>
          <w:sz w:val="24"/>
          <w:szCs w:val="24"/>
          <w:lang w:val="es-ES" w:eastAsia="en-US"/>
        </w:rPr>
        <w:t>Que la Iniciativa con Proyecto de Decreto por la que se modifican y adecúan diversas disposiciones legales de la Ley para el Impulso y Desarrollo de la Actividad Vitivinícola del estado de Coahuila de Zaragoza, se realizó bajo lo siguiente</w:t>
      </w:r>
    </w:p>
    <w:p w:rsidR="00F34C1B" w:rsidRPr="00F34C1B" w:rsidRDefault="00F34C1B" w:rsidP="00F34C1B">
      <w:pPr>
        <w:rPr>
          <w:rFonts w:eastAsia="Calibri" w:cs="Arial"/>
          <w:sz w:val="24"/>
          <w:szCs w:val="24"/>
          <w:lang w:val="es-ES" w:eastAsia="en-US"/>
        </w:rPr>
      </w:pPr>
    </w:p>
    <w:p w:rsidR="00F34C1B" w:rsidRPr="00F34C1B" w:rsidRDefault="00F34C1B" w:rsidP="00F34C1B">
      <w:pPr>
        <w:spacing w:after="200" w:line="276" w:lineRule="auto"/>
        <w:jc w:val="center"/>
        <w:rPr>
          <w:rFonts w:eastAsia="Arial" w:cs="Arial"/>
          <w:b/>
          <w:sz w:val="24"/>
          <w:szCs w:val="24"/>
          <w:lang w:eastAsia="en-US"/>
        </w:rPr>
      </w:pPr>
      <w:r w:rsidRPr="00F34C1B">
        <w:rPr>
          <w:rFonts w:eastAsia="Arial" w:cs="Arial"/>
          <w:b/>
          <w:sz w:val="24"/>
          <w:szCs w:val="24"/>
          <w:lang w:eastAsia="en-US"/>
        </w:rPr>
        <w:t>C O N S I D E R A N D O</w:t>
      </w:r>
    </w:p>
    <w:p w:rsidR="00F34C1B" w:rsidRPr="00F34C1B" w:rsidRDefault="00F34C1B" w:rsidP="00F34C1B">
      <w:pPr>
        <w:spacing w:after="200" w:line="276" w:lineRule="auto"/>
        <w:rPr>
          <w:rFonts w:eastAsia="Arial" w:cs="Arial"/>
          <w:sz w:val="24"/>
          <w:szCs w:val="24"/>
          <w:lang w:eastAsia="en-US"/>
        </w:rPr>
      </w:pPr>
      <w:bookmarkStart w:id="0" w:name="_gjdgxs"/>
      <w:bookmarkStart w:id="1" w:name="_3znysh7"/>
      <w:bookmarkStart w:id="2" w:name="_2et92p0"/>
      <w:bookmarkEnd w:id="0"/>
      <w:bookmarkEnd w:id="1"/>
      <w:bookmarkEnd w:id="2"/>
      <w:r w:rsidRPr="00F34C1B">
        <w:rPr>
          <w:rFonts w:eastAsia="Arial" w:cs="Arial"/>
          <w:sz w:val="24"/>
          <w:szCs w:val="24"/>
          <w:lang w:eastAsia="en-US"/>
        </w:rPr>
        <w:t>Que en la actividad vitivinícola intervienen personas especialistas desde el ampeólogo hasta el catador de vinos.</w:t>
      </w:r>
    </w:p>
    <w:p w:rsidR="00F34C1B" w:rsidRPr="00F34C1B" w:rsidRDefault="00F34C1B" w:rsidP="00F34C1B">
      <w:pPr>
        <w:spacing w:after="200" w:line="276" w:lineRule="auto"/>
        <w:rPr>
          <w:rFonts w:eastAsia="Arial" w:cs="Arial"/>
          <w:sz w:val="24"/>
          <w:szCs w:val="24"/>
          <w:lang w:eastAsia="en-US"/>
        </w:rPr>
      </w:pPr>
      <w:r w:rsidRPr="00F34C1B">
        <w:rPr>
          <w:rFonts w:eastAsia="Arial" w:cs="Arial"/>
          <w:sz w:val="24"/>
          <w:szCs w:val="24"/>
          <w:lang w:eastAsia="en-US"/>
        </w:rPr>
        <w:t xml:space="preserve">Que la industria vitivinícola atrae a cualquier entidad federativa actividad económica, turismo local y extranjero por ello, es importante generar los acuerdos necesarios para que los diversos actores, desde los empresariales hasta los políticos, establezcan acciones en lo concerniente al desarrollo vitivinícola y proyectar esta actividad como un detonante económico para Coahuila. </w:t>
      </w:r>
    </w:p>
    <w:p w:rsidR="00F34C1B" w:rsidRPr="00F34C1B" w:rsidRDefault="00F34C1B" w:rsidP="00F34C1B">
      <w:pPr>
        <w:spacing w:after="200" w:line="276" w:lineRule="auto"/>
        <w:rPr>
          <w:rFonts w:eastAsia="Arial" w:cs="Arial"/>
          <w:sz w:val="24"/>
          <w:szCs w:val="24"/>
          <w:lang w:eastAsia="en-US"/>
        </w:rPr>
      </w:pPr>
    </w:p>
    <w:p w:rsidR="00F34C1B" w:rsidRPr="00F34C1B" w:rsidRDefault="00F34C1B" w:rsidP="00F34C1B">
      <w:pPr>
        <w:spacing w:after="200" w:line="276" w:lineRule="auto"/>
        <w:rPr>
          <w:rFonts w:eastAsia="Arial" w:cs="Arial"/>
          <w:sz w:val="24"/>
          <w:szCs w:val="24"/>
          <w:lang w:eastAsia="en-US"/>
        </w:rPr>
      </w:pPr>
      <w:r w:rsidRPr="00F34C1B">
        <w:rPr>
          <w:rFonts w:eastAsia="Arial" w:cs="Arial"/>
          <w:sz w:val="24"/>
          <w:szCs w:val="24"/>
          <w:lang w:eastAsia="en-US"/>
        </w:rPr>
        <w:lastRenderedPageBreak/>
        <w:t xml:space="preserve">Que las políticas públicas deben estar encaminadas al Desarrollo Económico de la entidad, a fin de generar oportunidades de empleo a los coahuilenses y atractivo para aquellos que deseen invertir o crecer en nuestro Estado.  </w:t>
      </w:r>
    </w:p>
    <w:p w:rsidR="00F34C1B" w:rsidRPr="00F34C1B" w:rsidRDefault="00F34C1B" w:rsidP="00F34C1B">
      <w:pPr>
        <w:spacing w:after="200" w:line="276" w:lineRule="auto"/>
        <w:rPr>
          <w:rFonts w:eastAsia="Arial" w:cs="Arial"/>
          <w:sz w:val="24"/>
          <w:szCs w:val="24"/>
          <w:lang w:eastAsia="en-US"/>
        </w:rPr>
      </w:pPr>
      <w:r w:rsidRPr="00F34C1B">
        <w:rPr>
          <w:rFonts w:eastAsia="Arial" w:cs="Arial"/>
          <w:sz w:val="24"/>
          <w:szCs w:val="24"/>
          <w:lang w:eastAsia="en-US"/>
        </w:rPr>
        <w:t xml:space="preserve">Es por lo anterior que someto ante esta Honorable Soberanía la siguiente: </w:t>
      </w:r>
    </w:p>
    <w:p w:rsidR="00F34C1B" w:rsidRPr="00F34C1B" w:rsidRDefault="00F34C1B" w:rsidP="00F34C1B">
      <w:pPr>
        <w:spacing w:after="200" w:line="276" w:lineRule="auto"/>
        <w:jc w:val="center"/>
        <w:rPr>
          <w:rFonts w:eastAsia="Arial" w:cs="Arial"/>
          <w:sz w:val="24"/>
          <w:szCs w:val="24"/>
          <w:lang w:eastAsia="en-US"/>
        </w:rPr>
      </w:pPr>
      <w:r w:rsidRPr="00F34C1B">
        <w:rPr>
          <w:rFonts w:eastAsia="Arial" w:cs="Arial"/>
          <w:b/>
          <w:sz w:val="24"/>
          <w:szCs w:val="24"/>
          <w:lang w:eastAsia="en-US"/>
        </w:rPr>
        <w:t>EXPOSICIÓN DE MOTIVOS</w:t>
      </w:r>
    </w:p>
    <w:p w:rsidR="00F34C1B" w:rsidRPr="00F34C1B" w:rsidRDefault="00F34C1B" w:rsidP="00F34C1B">
      <w:pPr>
        <w:rPr>
          <w:rFonts w:eastAsia="Arial" w:cs="Arial"/>
          <w:sz w:val="24"/>
          <w:szCs w:val="24"/>
          <w:lang w:eastAsia="en-US"/>
        </w:rPr>
      </w:pPr>
      <w:bookmarkStart w:id="3" w:name="_tyjcwt"/>
      <w:bookmarkStart w:id="4" w:name="_3dy6vkm"/>
      <w:bookmarkEnd w:id="3"/>
      <w:bookmarkEnd w:id="4"/>
      <w:r w:rsidRPr="00F34C1B">
        <w:rPr>
          <w:rFonts w:eastAsia="Arial" w:cs="Arial"/>
          <w:sz w:val="24"/>
          <w:szCs w:val="24"/>
          <w:lang w:eastAsia="en-US"/>
        </w:rPr>
        <w:t>En el arte de la producción del vino, participan personas con distintos talentos que, en su conjunto, logran un producto final excepcional, entre ellas están:</w:t>
      </w:r>
    </w:p>
    <w:p w:rsidR="00F34C1B" w:rsidRPr="00F34C1B" w:rsidRDefault="00F34C1B" w:rsidP="00F34C1B">
      <w:pPr>
        <w:rPr>
          <w:rFonts w:eastAsia="Arial" w:cs="Arial"/>
          <w:sz w:val="24"/>
          <w:szCs w:val="24"/>
          <w:lang w:eastAsia="en-US"/>
        </w:rPr>
      </w:pP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 xml:space="preserve">El Ampeólogo, quien es el biólogo cuya función es estudiar la vid y cultivarla, de él depende en gran medida que la uva, a partir de la cual se elaborará el vino, cumpla con los criterios de calidad y tenga las propiedades deseadas; </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 xml:space="preserve">El Viverista, es la persona que produce en su vivero simientes y cepas madre para su posterior comercialización; </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 xml:space="preserve">El Agrónomo, es un científico que asesora al viticultor para mejorar la productividad del suelo en el que se cultivan las vides, cuya intervención es imprescindible para obtener un producto final de calidad; </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 xml:space="preserve">El Viticultor, desempeña una función clave en todo el proceso de elaboración de vino, se dedica fundamentalmente a estudiar y supervisar la propagación de las vides durante el proceso de cultivo; </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 xml:space="preserve">El Bodeguero, quien normalmente es el propietario de una bodega de vinos o es el que está encargado de la misma; </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El Enólogo es un profesional con la titulación y formación específica que le acredita para supervisar y controlar el proceso completo de la producción del vino;</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 xml:space="preserve">El Recolector, que aunque la mecanización en la agricultura se ha extendido en gran manera, la obtención de la uva de manera manual, garantiza que el producto final sea de calidad; </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 xml:space="preserve">El Tonelero, es el encargado de la confección de las barricas de madera en donde se almacenará después el vino, siendo los principales materiales madera de roble americano y roble francés; </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El Sommelier es la persona que está dedicada a recomendar y asesorar al cliente en cuestión de vinos; y</w:t>
      </w:r>
    </w:p>
    <w:p w:rsidR="00F34C1B" w:rsidRPr="00F34C1B" w:rsidRDefault="00F34C1B" w:rsidP="00F34C1B">
      <w:pPr>
        <w:numPr>
          <w:ilvl w:val="0"/>
          <w:numId w:val="20"/>
        </w:numPr>
        <w:spacing w:after="200" w:line="276" w:lineRule="auto"/>
        <w:contextualSpacing/>
        <w:jc w:val="left"/>
        <w:rPr>
          <w:rFonts w:eastAsia="Arial" w:cs="Arial"/>
          <w:sz w:val="24"/>
          <w:szCs w:val="24"/>
          <w:lang w:eastAsia="en-US"/>
        </w:rPr>
      </w:pPr>
      <w:r w:rsidRPr="00F34C1B">
        <w:rPr>
          <w:rFonts w:eastAsia="Arial" w:cs="Arial"/>
          <w:sz w:val="24"/>
          <w:szCs w:val="24"/>
          <w:lang w:eastAsia="en-US"/>
        </w:rPr>
        <w:t xml:space="preserve">El Catador, que tiene como oficio informar la calidad y sazón del vino, suelen calificarlos con puntuaciones y redactar sus apreciaciones. </w:t>
      </w:r>
    </w:p>
    <w:p w:rsidR="00F34C1B" w:rsidRPr="00F34C1B" w:rsidRDefault="00F34C1B" w:rsidP="00F34C1B">
      <w:pPr>
        <w:rPr>
          <w:rFonts w:eastAsia="Arial" w:cs="Arial"/>
          <w:sz w:val="24"/>
          <w:szCs w:val="24"/>
          <w:lang w:eastAsia="en-US"/>
        </w:rPr>
      </w:pPr>
    </w:p>
    <w:p w:rsidR="00F34C1B" w:rsidRPr="00F34C1B" w:rsidRDefault="00F34C1B" w:rsidP="00F34C1B">
      <w:pPr>
        <w:rPr>
          <w:rFonts w:eastAsia="Arial" w:cs="Arial"/>
          <w:sz w:val="24"/>
          <w:szCs w:val="24"/>
          <w:lang w:eastAsia="en-US"/>
        </w:rPr>
      </w:pPr>
      <w:r w:rsidRPr="00F34C1B">
        <w:rPr>
          <w:rFonts w:eastAsia="Arial" w:cs="Arial"/>
          <w:sz w:val="24"/>
          <w:szCs w:val="24"/>
          <w:lang w:eastAsia="en-US"/>
        </w:rPr>
        <w:lastRenderedPageBreak/>
        <w:t>Cada uno de los especialistas mencionados anteriormente representa un empleo, donde cada uno percibe remuneración por su trabajo, contribuyendo a una economía activa en el Estado.</w:t>
      </w:r>
    </w:p>
    <w:p w:rsidR="00F34C1B" w:rsidRPr="00F34C1B" w:rsidRDefault="00F34C1B" w:rsidP="00F34C1B">
      <w:pPr>
        <w:rPr>
          <w:rFonts w:eastAsia="Arial" w:cs="Arial"/>
          <w:sz w:val="24"/>
          <w:szCs w:val="24"/>
          <w:lang w:eastAsia="en-US"/>
        </w:rPr>
      </w:pPr>
    </w:p>
    <w:p w:rsidR="00F34C1B" w:rsidRPr="00F34C1B" w:rsidRDefault="00F34C1B" w:rsidP="00F34C1B">
      <w:pPr>
        <w:rPr>
          <w:rFonts w:eastAsia="Arial" w:cs="Arial"/>
          <w:sz w:val="24"/>
          <w:szCs w:val="24"/>
          <w:lang w:eastAsia="en-US"/>
        </w:rPr>
      </w:pPr>
      <w:r w:rsidRPr="00F34C1B">
        <w:rPr>
          <w:rFonts w:eastAsia="Arial" w:cs="Arial"/>
          <w:sz w:val="24"/>
          <w:szCs w:val="24"/>
          <w:lang w:eastAsia="en-US"/>
        </w:rPr>
        <w:t>Como ya se ha mencionado en distintas ocasiones, la Ruta del Vino debe ser el parteaguas para el desarrollo de nuestro Estado, por ello es que las distintas autoridades deben involucrarse para encauzar las acciones para impulsar la industria y actividad vitivinícola.</w:t>
      </w:r>
    </w:p>
    <w:p w:rsidR="00F34C1B" w:rsidRPr="00F34C1B" w:rsidRDefault="00F34C1B" w:rsidP="00F34C1B">
      <w:pPr>
        <w:rPr>
          <w:rFonts w:eastAsia="Arial" w:cs="Arial"/>
          <w:sz w:val="24"/>
          <w:szCs w:val="24"/>
          <w:lang w:eastAsia="en-US"/>
        </w:rPr>
      </w:pPr>
    </w:p>
    <w:p w:rsidR="00F34C1B" w:rsidRPr="00F34C1B" w:rsidRDefault="00F34C1B" w:rsidP="00F34C1B">
      <w:pPr>
        <w:rPr>
          <w:rFonts w:eastAsia="Arial" w:cs="Arial"/>
          <w:sz w:val="24"/>
          <w:szCs w:val="24"/>
          <w:lang w:eastAsia="en-US"/>
        </w:rPr>
      </w:pPr>
      <w:r w:rsidRPr="00F34C1B">
        <w:rPr>
          <w:rFonts w:eastAsia="Arial" w:cs="Arial"/>
          <w:sz w:val="24"/>
          <w:szCs w:val="24"/>
          <w:lang w:eastAsia="en-US"/>
        </w:rPr>
        <w:t>Uno de los actores políticos que deben integrarse a la Comisión Interinstitucional para el Impulso y Desarrollo Vitivinícola del Estado de Coahuila de Zaragoza, es  el Coordinador de la Comisión de Desarrollo Económico, Competitividad y Turismo del Congreso de Coahuila, ya que, por medio de éste, se establecerán bases en cuanto al tema legislativo y la asignación de presupuesto para el desarrollo de esta actividad.</w:t>
      </w:r>
    </w:p>
    <w:p w:rsidR="00F34C1B" w:rsidRPr="00F34C1B" w:rsidRDefault="00F34C1B" w:rsidP="00F34C1B">
      <w:pPr>
        <w:rPr>
          <w:rFonts w:eastAsia="Arial" w:cs="Arial"/>
          <w:sz w:val="24"/>
          <w:szCs w:val="24"/>
          <w:lang w:eastAsia="en-US"/>
        </w:rPr>
      </w:pPr>
    </w:p>
    <w:p w:rsidR="00F34C1B" w:rsidRPr="00F34C1B" w:rsidRDefault="00F34C1B" w:rsidP="00F34C1B">
      <w:pPr>
        <w:rPr>
          <w:rFonts w:eastAsia="Arial" w:cs="Arial"/>
          <w:sz w:val="24"/>
          <w:szCs w:val="24"/>
          <w:lang w:eastAsia="en-US"/>
        </w:rPr>
      </w:pPr>
      <w:r w:rsidRPr="00F34C1B">
        <w:rPr>
          <w:rFonts w:eastAsia="Arial" w:cs="Arial"/>
          <w:sz w:val="24"/>
          <w:szCs w:val="24"/>
          <w:lang w:eastAsia="en-US"/>
        </w:rPr>
        <w:t>Según lo establecido en la Ley Orgánica del Congreso local, en su artículo 95, la o el Diputado Coordinador de la Comisión de Desarrollo Económico le competen los asuntos relacionados con: Desarrollo económico del Estado; Plan Estatal de Desarrollo y Planes de Desarrollo Municipal; Ejecución de las políticas y programas de Estado, generales, regionales y sectoriales, en materia de desarrollo, promoción y fomento económico; información geográfica, estadística, socioeconómica, recursos y características de las actividades económicas de la Entidad; Industria, comercio y de servicios; Micro, pequeña y mediana industria del Estado; Regulación para normar la actividad turística; Planeación y programación de la actividad turística estatal; Incremento y mejora de las actividades y servicios turísticos; Bases normativas para concesionar los servicios turísticos; Desarrollo de la infraestructura turística; y promoción y difusión de los centros turísticos del Estado.</w:t>
      </w:r>
    </w:p>
    <w:p w:rsidR="00F34C1B" w:rsidRPr="00F34C1B" w:rsidRDefault="00F34C1B" w:rsidP="00F34C1B">
      <w:pPr>
        <w:rPr>
          <w:rFonts w:eastAsia="Arial" w:cs="Arial"/>
          <w:sz w:val="24"/>
          <w:szCs w:val="24"/>
          <w:lang w:eastAsia="en-US"/>
        </w:rPr>
      </w:pPr>
    </w:p>
    <w:p w:rsidR="00F34C1B" w:rsidRPr="00F34C1B" w:rsidRDefault="00F34C1B" w:rsidP="00F34C1B">
      <w:pPr>
        <w:rPr>
          <w:rFonts w:eastAsia="Arial" w:cs="Arial"/>
          <w:sz w:val="24"/>
          <w:szCs w:val="24"/>
          <w:lang w:eastAsia="en-US"/>
        </w:rPr>
      </w:pPr>
      <w:r w:rsidRPr="00F34C1B">
        <w:rPr>
          <w:rFonts w:eastAsia="Arial" w:cs="Arial"/>
          <w:sz w:val="24"/>
          <w:szCs w:val="24"/>
          <w:lang w:eastAsia="en-US"/>
        </w:rPr>
        <w:t>Las atribuciones mencionadas en el párrafo anterior tienen relación directa e indirecta con el Desarrollo Económico del Estado, así como la promoción y difusión de los centros turísticos, es decir, que no solo es el tema legislativo, que es lo que le compete al Diputado en general, sino que, en la actividad vitivinícola, el Coordinador de la Comisión de Desarrollo Económico actuaría como un apoyo a los integrantes de la Comisión Interinstitucional para el Impulso y Desarrollo Vitivinícola del Estado de Coahuila de Zaragoza.</w:t>
      </w:r>
    </w:p>
    <w:p w:rsidR="00F34C1B" w:rsidRPr="00F34C1B" w:rsidRDefault="00F34C1B" w:rsidP="00F34C1B">
      <w:pPr>
        <w:rPr>
          <w:rFonts w:eastAsia="Arial" w:cs="Arial"/>
          <w:sz w:val="24"/>
          <w:szCs w:val="24"/>
          <w:lang w:eastAsia="en-US"/>
        </w:rPr>
      </w:pPr>
    </w:p>
    <w:p w:rsidR="00F34C1B" w:rsidRPr="00F34C1B" w:rsidRDefault="00F34C1B" w:rsidP="00F34C1B">
      <w:pPr>
        <w:rPr>
          <w:rFonts w:eastAsia="Arial" w:cs="Arial"/>
          <w:sz w:val="24"/>
          <w:szCs w:val="24"/>
          <w:lang w:eastAsia="en-US"/>
        </w:rPr>
      </w:pPr>
      <w:r w:rsidRPr="00F34C1B">
        <w:rPr>
          <w:rFonts w:eastAsia="Arial" w:cs="Arial"/>
          <w:sz w:val="24"/>
          <w:szCs w:val="24"/>
          <w:lang w:eastAsia="en-US"/>
        </w:rPr>
        <w:t>Las acciones deben estar encaminadas hacia el Desarrollo Económico del Estado, mediante políticas públicas que incrementen la industria vitivinícola, fomenten el comercio de los productos relacionados con la vid y el vino y que establezcan actividades y servicios turísticos de calidad, por ello, en el Grupo Parlamentario del Partido acción Nacional, trabajamos para establecer las acciones legislativas necesarias y así, provocar que la Ruta del Vino en Coahuila sea una experiencia única e inolvidable.</w:t>
      </w:r>
    </w:p>
    <w:p w:rsidR="00F34C1B" w:rsidRPr="00F34C1B" w:rsidRDefault="00F34C1B" w:rsidP="00F34C1B">
      <w:pPr>
        <w:rPr>
          <w:rFonts w:eastAsia="Calibri" w:cs="Arial"/>
          <w:sz w:val="24"/>
          <w:szCs w:val="24"/>
          <w:lang w:eastAsia="en-US"/>
        </w:rPr>
      </w:pPr>
    </w:p>
    <w:p w:rsidR="00F34C1B" w:rsidRPr="00F34C1B" w:rsidRDefault="00F34C1B" w:rsidP="00F34C1B">
      <w:pPr>
        <w:rPr>
          <w:rFonts w:eastAsia="Arial" w:cs="Arial"/>
          <w:sz w:val="24"/>
          <w:szCs w:val="24"/>
          <w:lang w:eastAsia="en-US"/>
        </w:rPr>
      </w:pPr>
      <w:r w:rsidRPr="00F34C1B">
        <w:rPr>
          <w:rFonts w:eastAsia="Calibri" w:cs="Arial"/>
          <w:b/>
          <w:sz w:val="24"/>
          <w:szCs w:val="24"/>
          <w:lang w:eastAsia="en-US"/>
        </w:rPr>
        <w:t>TERCERO. –</w:t>
      </w:r>
      <w:r w:rsidRPr="00F34C1B">
        <w:rPr>
          <w:rFonts w:eastAsia="Calibri" w:cs="Arial"/>
          <w:sz w:val="24"/>
          <w:szCs w:val="24"/>
          <w:lang w:eastAsia="en-US"/>
        </w:rPr>
        <w:t xml:space="preserve"> Tras un estudio exhaustivo, esta Comisión determinó realizar algunos cambios a la propuesta original del diputado Izaguirre, ya que si bien es cierto que u</w:t>
      </w:r>
      <w:r w:rsidRPr="00F34C1B">
        <w:rPr>
          <w:rFonts w:eastAsia="Arial" w:cs="Arial"/>
          <w:sz w:val="24"/>
          <w:szCs w:val="24"/>
          <w:lang w:eastAsia="en-US"/>
        </w:rPr>
        <w:t xml:space="preserve">no </w:t>
      </w:r>
      <w:r w:rsidRPr="00F34C1B">
        <w:rPr>
          <w:rFonts w:eastAsia="Arial" w:cs="Arial"/>
          <w:sz w:val="24"/>
          <w:szCs w:val="24"/>
          <w:lang w:eastAsia="en-US"/>
        </w:rPr>
        <w:lastRenderedPageBreak/>
        <w:t>de los actores políticos que deben integrarse a la Comisión Interinstitucional para el Impulso y Desarrollo Vitivinícola del Estado de Coahuila de Zaragoza, es  el Coordinador de la Comisión de Desarrollo Económico, Competitividad y Turismo del Congreso de Coahuila, este debe hacerlo con voz pero sin voto, para no interferir en las decisiones del Ejecutivo a través de dicha Comisión.</w:t>
      </w:r>
    </w:p>
    <w:p w:rsidR="00F34C1B" w:rsidRPr="00F34C1B" w:rsidRDefault="00F34C1B" w:rsidP="00F34C1B">
      <w:pPr>
        <w:rPr>
          <w:rFonts w:eastAsia="Arial" w:cs="Arial"/>
          <w:sz w:val="24"/>
          <w:szCs w:val="24"/>
          <w:lang w:eastAsia="en-US"/>
        </w:rPr>
      </w:pPr>
      <w:r w:rsidRPr="00F34C1B">
        <w:rPr>
          <w:rFonts w:eastAsia="Arial" w:cs="Arial"/>
          <w:sz w:val="24"/>
          <w:szCs w:val="24"/>
          <w:lang w:eastAsia="en-US"/>
        </w:rPr>
        <w:t xml:space="preserve">Además, se realizaron otros cambios al respecto de la Iniciativa presentada, tras el estudio y análisis realizados por los integrantes de esta Comisión. </w:t>
      </w:r>
    </w:p>
    <w:p w:rsidR="00F34C1B" w:rsidRPr="00F34C1B" w:rsidRDefault="00F34C1B" w:rsidP="00F34C1B">
      <w:pPr>
        <w:rPr>
          <w:rFonts w:eastAsia="Calibri" w:cs="Arial"/>
          <w:sz w:val="24"/>
          <w:szCs w:val="24"/>
          <w:lang w:eastAsia="en-US"/>
        </w:rPr>
      </w:pPr>
    </w:p>
    <w:p w:rsidR="00F34C1B" w:rsidRPr="00F34C1B" w:rsidRDefault="00F34C1B" w:rsidP="00F34C1B">
      <w:pPr>
        <w:rPr>
          <w:rFonts w:eastAsia="Calibri" w:cs="Arial"/>
          <w:sz w:val="24"/>
          <w:szCs w:val="24"/>
          <w:lang w:val="es-ES" w:eastAsia="en-US"/>
        </w:rPr>
      </w:pPr>
      <w:r w:rsidRPr="00F34C1B">
        <w:rPr>
          <w:rFonts w:eastAsia="Calibri" w:cs="Arial"/>
          <w:b/>
          <w:sz w:val="24"/>
          <w:szCs w:val="24"/>
          <w:lang w:val="es-ES" w:eastAsia="en-US"/>
        </w:rPr>
        <w:t xml:space="preserve">CUARTO. – </w:t>
      </w:r>
      <w:r w:rsidRPr="00F34C1B">
        <w:rPr>
          <w:rFonts w:eastAsia="Calibri" w:cs="Arial"/>
          <w:sz w:val="24"/>
          <w:szCs w:val="24"/>
          <w:lang w:val="es-ES" w:eastAsia="en-US"/>
        </w:rPr>
        <w:t>Que, en virtud de todo lo anteriormente expuesto, los integrantes de esta Comisión de Desarrollo Económico, Competitividad y Turismo, estiman pertinente emitir el siguiente proyecto de:</w:t>
      </w:r>
    </w:p>
    <w:p w:rsidR="00F34C1B" w:rsidRPr="00F34C1B" w:rsidRDefault="00F34C1B" w:rsidP="00F34C1B">
      <w:pPr>
        <w:rPr>
          <w:rFonts w:eastAsia="Calibri" w:cs="Arial"/>
          <w:sz w:val="24"/>
          <w:szCs w:val="24"/>
          <w:lang w:val="es-ES" w:eastAsia="en-US"/>
        </w:rPr>
      </w:pPr>
    </w:p>
    <w:p w:rsidR="00F34C1B" w:rsidRPr="00F34C1B" w:rsidRDefault="00F34C1B" w:rsidP="00F34C1B">
      <w:pPr>
        <w:jc w:val="center"/>
        <w:rPr>
          <w:rFonts w:eastAsia="Calibri" w:cs="Arial"/>
          <w:b/>
          <w:sz w:val="24"/>
          <w:szCs w:val="24"/>
          <w:lang w:val="es-ES" w:eastAsia="en-US"/>
        </w:rPr>
      </w:pPr>
    </w:p>
    <w:p w:rsidR="00F34C1B" w:rsidRPr="00F34C1B" w:rsidRDefault="00F34C1B" w:rsidP="00F34C1B">
      <w:pPr>
        <w:jc w:val="center"/>
        <w:rPr>
          <w:rFonts w:eastAsia="Calibri" w:cs="Arial"/>
          <w:b/>
          <w:sz w:val="24"/>
          <w:szCs w:val="24"/>
          <w:lang w:val="es-ES" w:eastAsia="en-US"/>
        </w:rPr>
      </w:pPr>
      <w:r w:rsidRPr="00F34C1B">
        <w:rPr>
          <w:rFonts w:eastAsia="Calibri" w:cs="Arial"/>
          <w:b/>
          <w:sz w:val="24"/>
          <w:szCs w:val="24"/>
          <w:lang w:val="es-ES" w:eastAsia="en-US"/>
        </w:rPr>
        <w:t xml:space="preserve">D E C R E T O </w:t>
      </w:r>
    </w:p>
    <w:p w:rsidR="00F34C1B" w:rsidRPr="00F34C1B" w:rsidRDefault="00F34C1B" w:rsidP="00F34C1B">
      <w:pPr>
        <w:rPr>
          <w:rFonts w:eastAsia="Calibri" w:cs="Arial"/>
          <w:b/>
          <w:sz w:val="24"/>
          <w:szCs w:val="24"/>
          <w:lang w:eastAsia="en-US"/>
        </w:rPr>
      </w:pPr>
    </w:p>
    <w:p w:rsidR="00F34C1B" w:rsidRPr="00F34C1B" w:rsidRDefault="00F34C1B" w:rsidP="00F34C1B">
      <w:pPr>
        <w:spacing w:after="200" w:line="276" w:lineRule="auto"/>
        <w:rPr>
          <w:rFonts w:eastAsia="Calibri" w:cs="Arial"/>
          <w:b/>
          <w:bCs/>
          <w:sz w:val="24"/>
          <w:szCs w:val="24"/>
          <w:lang w:eastAsia="en-US"/>
        </w:rPr>
      </w:pPr>
      <w:r w:rsidRPr="00F34C1B">
        <w:rPr>
          <w:rFonts w:eastAsia="Calibri" w:cs="Arial"/>
          <w:b/>
          <w:sz w:val="24"/>
          <w:szCs w:val="24"/>
          <w:lang w:eastAsia="en-US"/>
        </w:rPr>
        <w:t xml:space="preserve">ARTÍCULO ÚNICO.- </w:t>
      </w:r>
      <w:r w:rsidRPr="00F34C1B">
        <w:rPr>
          <w:rFonts w:eastAsia="Calibri" w:cs="Arial"/>
          <w:b/>
          <w:bCs/>
          <w:sz w:val="24"/>
          <w:szCs w:val="24"/>
          <w:lang w:eastAsia="en-US"/>
        </w:rPr>
        <w:t>SE REFORMAN</w:t>
      </w:r>
      <w:r w:rsidRPr="00F34C1B">
        <w:rPr>
          <w:rFonts w:eastAsia="Calibri" w:cs="Arial"/>
          <w:bCs/>
          <w:sz w:val="24"/>
          <w:szCs w:val="24"/>
          <w:lang w:eastAsia="en-US"/>
        </w:rPr>
        <w:t xml:space="preserve"> el artículo 2°, el primer párrafo del artículo 10°, el primer párrafo del artículo 14, las fracciones II, VI, párrafos tercero y cuarto del artículo 18; y el artículo 36; y </w:t>
      </w:r>
      <w:r w:rsidRPr="00F34C1B">
        <w:rPr>
          <w:rFonts w:eastAsia="Calibri" w:cs="Arial"/>
          <w:b/>
          <w:bCs/>
          <w:sz w:val="24"/>
          <w:szCs w:val="24"/>
          <w:lang w:eastAsia="en-US"/>
        </w:rPr>
        <w:t>SE ADICIONAN</w:t>
      </w:r>
      <w:r w:rsidRPr="00F34C1B">
        <w:rPr>
          <w:rFonts w:eastAsia="Calibri" w:cs="Arial"/>
          <w:bCs/>
          <w:sz w:val="24"/>
          <w:szCs w:val="24"/>
          <w:lang w:eastAsia="en-US"/>
        </w:rPr>
        <w:t xml:space="preserve"> el artículo 14 BIS y la fracción VII al artículo 18, todos de la</w:t>
      </w:r>
      <w:r w:rsidRPr="00F34C1B">
        <w:rPr>
          <w:rFonts w:eastAsia="Calibri" w:cs="Arial"/>
          <w:sz w:val="24"/>
          <w:szCs w:val="24"/>
          <w:lang w:eastAsia="en-US"/>
        </w:rPr>
        <w:t xml:space="preserve"> Ley para el Impulso y Desarrollo de la Actividad Vitivinícola del Estado de Coahuila de Zaragoza,</w:t>
      </w:r>
      <w:r w:rsidRPr="00F34C1B">
        <w:rPr>
          <w:rFonts w:eastAsia="Calibri" w:cs="Arial"/>
          <w:bCs/>
          <w:sz w:val="24"/>
          <w:szCs w:val="24"/>
          <w:lang w:eastAsia="en-US"/>
        </w:rPr>
        <w:t xml:space="preserve"> </w:t>
      </w:r>
      <w:r w:rsidRPr="00F34C1B">
        <w:rPr>
          <w:rFonts w:eastAsia="Arial" w:cs="Arial"/>
          <w:sz w:val="24"/>
          <w:szCs w:val="24"/>
          <w:lang w:val="es-ES" w:eastAsia="en-US"/>
        </w:rPr>
        <w:t>para quedar como sigue:</w:t>
      </w:r>
      <w:r w:rsidRPr="00F34C1B">
        <w:rPr>
          <w:rFonts w:eastAsia="Arial" w:cs="Arial"/>
          <w:b/>
          <w:sz w:val="24"/>
          <w:szCs w:val="24"/>
          <w:lang w:val="es-ES" w:eastAsia="en-US"/>
        </w:rPr>
        <w:t xml:space="preserve">     </w:t>
      </w:r>
    </w:p>
    <w:p w:rsidR="00F34C1B" w:rsidRPr="00F34C1B" w:rsidRDefault="00F34C1B" w:rsidP="00F34C1B">
      <w:pPr>
        <w:spacing w:after="200" w:line="276" w:lineRule="auto"/>
        <w:ind w:left="708"/>
        <w:rPr>
          <w:rFonts w:eastAsia="Calibri" w:cs="Arial"/>
          <w:b/>
          <w:i/>
          <w:sz w:val="24"/>
          <w:szCs w:val="24"/>
          <w:lang w:eastAsia="en-US"/>
        </w:rPr>
      </w:pPr>
      <w:r w:rsidRPr="00F34C1B">
        <w:rPr>
          <w:rFonts w:eastAsia="Calibri" w:cs="Arial"/>
          <w:b/>
          <w:i/>
          <w:sz w:val="24"/>
          <w:szCs w:val="24"/>
          <w:lang w:eastAsia="en-US"/>
        </w:rPr>
        <w:t xml:space="preserve">Artículo 2.- </w:t>
      </w:r>
      <w:r w:rsidRPr="00F34C1B">
        <w:rPr>
          <w:rFonts w:eastAsia="Calibri" w:cs="Arial"/>
          <w:i/>
          <w:sz w:val="24"/>
          <w:szCs w:val="24"/>
          <w:lang w:eastAsia="en-US"/>
        </w:rPr>
        <w:t xml:space="preserve">Corresponde la aplicación de esta ley al Poder Ejecutivo del Estado de Coahuila de Zaragoza, por conducto de la </w:t>
      </w:r>
      <w:r w:rsidRPr="00F34C1B">
        <w:rPr>
          <w:rFonts w:eastAsia="Calibri" w:cs="Arial"/>
          <w:b/>
          <w:i/>
          <w:sz w:val="24"/>
          <w:szCs w:val="24"/>
          <w:lang w:eastAsia="en-US"/>
        </w:rPr>
        <w:t>Secretaría de Economía</w:t>
      </w:r>
      <w:r w:rsidRPr="00F34C1B">
        <w:rPr>
          <w:rFonts w:eastAsia="Calibri" w:cs="Arial"/>
          <w:i/>
          <w:sz w:val="24"/>
          <w:szCs w:val="24"/>
          <w:lang w:eastAsia="en-US"/>
        </w:rPr>
        <w:t xml:space="preserve"> y de las demás dependencias de la administración pública estatal en el ámbito de sus atribuciones, así como a los municipios en su esfera de competencia. </w:t>
      </w:r>
    </w:p>
    <w:p w:rsidR="00F34C1B" w:rsidRPr="00F34C1B" w:rsidRDefault="00F34C1B" w:rsidP="00F34C1B">
      <w:pPr>
        <w:spacing w:after="200" w:line="276" w:lineRule="auto"/>
        <w:ind w:left="708"/>
        <w:rPr>
          <w:rFonts w:eastAsia="Calibri" w:cs="Arial"/>
          <w:b/>
          <w:i/>
          <w:sz w:val="24"/>
          <w:szCs w:val="24"/>
          <w:lang w:eastAsia="en-US"/>
        </w:rPr>
      </w:pPr>
      <w:r w:rsidRPr="00F34C1B">
        <w:rPr>
          <w:rFonts w:eastAsia="Calibri" w:cs="Arial"/>
          <w:b/>
          <w:i/>
          <w:sz w:val="24"/>
          <w:szCs w:val="24"/>
          <w:lang w:eastAsia="en-US"/>
        </w:rPr>
        <w:t xml:space="preserve">Artículo 10.- </w:t>
      </w:r>
      <w:r w:rsidRPr="00F34C1B">
        <w:rPr>
          <w:rFonts w:eastAsia="Calibri" w:cs="Arial"/>
          <w:i/>
          <w:sz w:val="24"/>
          <w:szCs w:val="24"/>
          <w:lang w:eastAsia="en-US"/>
        </w:rPr>
        <w:t xml:space="preserve">La persona titular de la </w:t>
      </w:r>
      <w:r w:rsidRPr="00F34C1B">
        <w:rPr>
          <w:rFonts w:eastAsia="Calibri" w:cs="Arial"/>
          <w:b/>
          <w:i/>
          <w:sz w:val="24"/>
          <w:szCs w:val="24"/>
          <w:lang w:eastAsia="en-US"/>
        </w:rPr>
        <w:t>Secretaría de Economía</w:t>
      </w:r>
      <w:r w:rsidRPr="00F34C1B">
        <w:rPr>
          <w:rFonts w:eastAsia="Calibri" w:cs="Arial"/>
          <w:i/>
          <w:sz w:val="24"/>
          <w:szCs w:val="24"/>
          <w:lang w:eastAsia="en-US"/>
        </w:rPr>
        <w:t>, tendrá las siguientes facultades:</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I a IV …</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b/>
          <w:i/>
          <w:sz w:val="24"/>
          <w:szCs w:val="24"/>
          <w:lang w:eastAsia="en-US"/>
        </w:rPr>
        <w:t xml:space="preserve">Artículo 14.- </w:t>
      </w:r>
      <w:r w:rsidRPr="00F34C1B">
        <w:rPr>
          <w:rFonts w:eastAsia="Calibri" w:cs="Arial"/>
          <w:i/>
          <w:sz w:val="24"/>
          <w:szCs w:val="24"/>
          <w:lang w:eastAsia="en-US"/>
        </w:rPr>
        <w:t xml:space="preserve">La persona titular de la </w:t>
      </w:r>
      <w:r w:rsidRPr="00F34C1B">
        <w:rPr>
          <w:rFonts w:eastAsia="Calibri" w:cs="Arial"/>
          <w:b/>
          <w:i/>
          <w:sz w:val="24"/>
          <w:szCs w:val="24"/>
          <w:lang w:eastAsia="en-US"/>
        </w:rPr>
        <w:t>Secretaría de Medio Ambiente</w:t>
      </w:r>
      <w:r w:rsidRPr="00F34C1B">
        <w:rPr>
          <w:rFonts w:eastAsia="Calibri" w:cs="Arial"/>
          <w:i/>
          <w:sz w:val="24"/>
          <w:szCs w:val="24"/>
          <w:lang w:eastAsia="en-US"/>
        </w:rPr>
        <w:t>, tendrá las siguientes facultades:</w:t>
      </w:r>
    </w:p>
    <w:p w:rsidR="00F34C1B" w:rsidRPr="00F34C1B" w:rsidRDefault="00F34C1B" w:rsidP="00F34C1B">
      <w:pPr>
        <w:spacing w:after="200" w:line="276" w:lineRule="auto"/>
        <w:ind w:left="708"/>
        <w:rPr>
          <w:rFonts w:eastAsia="Calibri" w:cs="Arial"/>
          <w:b/>
          <w:i/>
          <w:sz w:val="24"/>
          <w:szCs w:val="24"/>
          <w:lang w:eastAsia="en-US"/>
        </w:rPr>
      </w:pPr>
      <w:r w:rsidRPr="00F34C1B">
        <w:rPr>
          <w:rFonts w:eastAsia="Calibri" w:cs="Arial"/>
          <w:b/>
          <w:i/>
          <w:sz w:val="24"/>
          <w:szCs w:val="24"/>
          <w:lang w:eastAsia="en-US"/>
        </w:rPr>
        <w:t>I a IV …</w:t>
      </w:r>
    </w:p>
    <w:p w:rsidR="00F34C1B" w:rsidRPr="00F34C1B" w:rsidRDefault="00F34C1B" w:rsidP="00F34C1B">
      <w:pPr>
        <w:spacing w:after="200" w:line="276" w:lineRule="auto"/>
        <w:ind w:left="708"/>
        <w:rPr>
          <w:rFonts w:eastAsia="Calibri" w:cs="Arial"/>
          <w:b/>
          <w:i/>
          <w:sz w:val="24"/>
          <w:szCs w:val="24"/>
          <w:lang w:eastAsia="en-US"/>
        </w:rPr>
      </w:pPr>
      <w:r w:rsidRPr="00F34C1B">
        <w:rPr>
          <w:rFonts w:eastAsia="Calibri" w:cs="Arial"/>
          <w:b/>
          <w:i/>
          <w:sz w:val="24"/>
          <w:szCs w:val="24"/>
          <w:lang w:eastAsia="en-US"/>
        </w:rPr>
        <w:t>Artículo 14 BIS.- La persona titular de la Secretaría de Turismo y Desarrollo de Pueblos Mágicos, tendrá las siguientes facultades:</w:t>
      </w:r>
    </w:p>
    <w:p w:rsidR="00F34C1B" w:rsidRPr="00F34C1B" w:rsidRDefault="00F34C1B" w:rsidP="00F34C1B">
      <w:pPr>
        <w:numPr>
          <w:ilvl w:val="0"/>
          <w:numId w:val="22"/>
        </w:numPr>
        <w:spacing w:after="160" w:line="259" w:lineRule="auto"/>
        <w:contextualSpacing/>
        <w:jc w:val="left"/>
        <w:rPr>
          <w:rFonts w:eastAsia="Calibri" w:cs="Arial"/>
          <w:b/>
          <w:i/>
          <w:sz w:val="24"/>
          <w:szCs w:val="24"/>
          <w:lang w:eastAsia="en-US"/>
        </w:rPr>
      </w:pPr>
      <w:r w:rsidRPr="00F34C1B">
        <w:rPr>
          <w:rFonts w:eastAsia="Calibri" w:cs="Arial"/>
          <w:b/>
          <w:i/>
          <w:sz w:val="24"/>
          <w:szCs w:val="24"/>
          <w:lang w:eastAsia="en-US"/>
        </w:rPr>
        <w:t>Formar parte de la Comisión;</w:t>
      </w:r>
    </w:p>
    <w:p w:rsidR="00F34C1B" w:rsidRPr="00F34C1B" w:rsidRDefault="00F34C1B" w:rsidP="00F34C1B">
      <w:pPr>
        <w:numPr>
          <w:ilvl w:val="0"/>
          <w:numId w:val="22"/>
        </w:numPr>
        <w:spacing w:after="160" w:line="259" w:lineRule="auto"/>
        <w:contextualSpacing/>
        <w:jc w:val="left"/>
        <w:rPr>
          <w:rFonts w:eastAsia="Calibri" w:cs="Arial"/>
          <w:b/>
          <w:i/>
          <w:sz w:val="24"/>
          <w:szCs w:val="24"/>
          <w:lang w:eastAsia="en-US"/>
        </w:rPr>
      </w:pPr>
      <w:r w:rsidRPr="00F34C1B">
        <w:rPr>
          <w:rFonts w:eastAsia="Calibri" w:cs="Arial"/>
          <w:b/>
          <w:i/>
          <w:sz w:val="24"/>
          <w:szCs w:val="24"/>
          <w:lang w:eastAsia="en-US"/>
        </w:rPr>
        <w:t xml:space="preserve">Ejecutar los acuerdos de la Comisión que le correspondan en el ámbito de sus atribuciones; </w:t>
      </w:r>
    </w:p>
    <w:p w:rsidR="00F34C1B" w:rsidRPr="00F34C1B" w:rsidRDefault="00F34C1B" w:rsidP="00F34C1B">
      <w:pPr>
        <w:numPr>
          <w:ilvl w:val="0"/>
          <w:numId w:val="21"/>
        </w:numPr>
        <w:spacing w:after="200" w:line="276" w:lineRule="auto"/>
        <w:ind w:left="1788"/>
        <w:contextualSpacing/>
        <w:jc w:val="left"/>
        <w:rPr>
          <w:rFonts w:eastAsia="Calibri" w:cs="Arial"/>
          <w:b/>
          <w:i/>
          <w:sz w:val="24"/>
          <w:szCs w:val="24"/>
          <w:lang w:eastAsia="en-US"/>
        </w:rPr>
      </w:pPr>
      <w:r w:rsidRPr="00F34C1B">
        <w:rPr>
          <w:rFonts w:eastAsia="Calibri" w:cs="Arial"/>
          <w:b/>
          <w:i/>
          <w:sz w:val="24"/>
          <w:szCs w:val="24"/>
          <w:lang w:eastAsia="en-US"/>
        </w:rPr>
        <w:lastRenderedPageBreak/>
        <w:t>Proponer acciones para la promoción y difusión de la industria vitivinícola;</w:t>
      </w:r>
    </w:p>
    <w:p w:rsidR="00F34C1B" w:rsidRPr="00F34C1B" w:rsidRDefault="00F34C1B" w:rsidP="00F34C1B">
      <w:pPr>
        <w:numPr>
          <w:ilvl w:val="0"/>
          <w:numId w:val="21"/>
        </w:numPr>
        <w:spacing w:after="200" w:line="276" w:lineRule="auto"/>
        <w:ind w:left="1788"/>
        <w:contextualSpacing/>
        <w:jc w:val="left"/>
        <w:rPr>
          <w:rFonts w:eastAsia="Calibri" w:cs="Arial"/>
          <w:b/>
          <w:i/>
          <w:sz w:val="24"/>
          <w:szCs w:val="24"/>
          <w:lang w:eastAsia="en-US"/>
        </w:rPr>
      </w:pPr>
      <w:r w:rsidRPr="00F34C1B">
        <w:rPr>
          <w:rFonts w:eastAsia="Calibri" w:cs="Arial"/>
          <w:b/>
          <w:i/>
          <w:sz w:val="24"/>
          <w:szCs w:val="24"/>
          <w:lang w:eastAsia="en-US"/>
        </w:rPr>
        <w:t>Las demás que le sean conferidas en esta ley y otros ordenamientos aplicables.</w:t>
      </w:r>
    </w:p>
    <w:p w:rsidR="00F34C1B" w:rsidRPr="00F34C1B" w:rsidRDefault="00F34C1B" w:rsidP="00F34C1B">
      <w:pPr>
        <w:spacing w:line="276" w:lineRule="auto"/>
        <w:ind w:left="708"/>
        <w:rPr>
          <w:rFonts w:eastAsia="Calibri" w:cs="Arial"/>
          <w:b/>
          <w:i/>
          <w:sz w:val="24"/>
          <w:szCs w:val="24"/>
          <w:lang w:eastAsia="en-US"/>
        </w:rPr>
      </w:pP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b/>
          <w:i/>
          <w:sz w:val="24"/>
          <w:szCs w:val="24"/>
          <w:lang w:eastAsia="en-US"/>
        </w:rPr>
        <w:t xml:space="preserve">Artículo 18.- </w:t>
      </w:r>
      <w:r w:rsidRPr="00F34C1B">
        <w:rPr>
          <w:rFonts w:eastAsia="Calibri" w:cs="Arial"/>
          <w:i/>
          <w:sz w:val="24"/>
          <w:szCs w:val="24"/>
          <w:lang w:eastAsia="en-US"/>
        </w:rPr>
        <w:t>La Comisión se integra por:</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I. El Ejecutivo del Estado;</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 xml:space="preserve">II. </w:t>
      </w:r>
      <w:r w:rsidRPr="00F34C1B">
        <w:rPr>
          <w:rFonts w:eastAsia="Calibri" w:cs="Arial"/>
          <w:b/>
          <w:i/>
          <w:sz w:val="24"/>
          <w:szCs w:val="24"/>
          <w:lang w:eastAsia="en-US"/>
        </w:rPr>
        <w:t>La Secretaría de Economía</w:t>
      </w:r>
      <w:r w:rsidRPr="00F34C1B">
        <w:rPr>
          <w:rFonts w:eastAsia="Calibri" w:cs="Arial"/>
          <w:i/>
          <w:sz w:val="24"/>
          <w:szCs w:val="24"/>
          <w:lang w:eastAsia="en-US"/>
        </w:rPr>
        <w:t>;</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III. La Secretaría de Desarrollo Rural;</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IV. La Secretaría de Salud;</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V. La Secretaría del Trabajo;</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 xml:space="preserve">VI. </w:t>
      </w:r>
      <w:r w:rsidRPr="00F34C1B">
        <w:rPr>
          <w:rFonts w:eastAsia="Calibri" w:cs="Arial"/>
          <w:b/>
          <w:i/>
          <w:sz w:val="24"/>
          <w:szCs w:val="24"/>
          <w:lang w:eastAsia="en-US"/>
        </w:rPr>
        <w:t>La Secretaría de Medio Ambiente</w:t>
      </w:r>
      <w:r w:rsidRPr="00F34C1B">
        <w:rPr>
          <w:rFonts w:eastAsia="Calibri" w:cs="Arial"/>
          <w:i/>
          <w:sz w:val="24"/>
          <w:szCs w:val="24"/>
          <w:lang w:eastAsia="en-US"/>
        </w:rPr>
        <w:t xml:space="preserve">; </w:t>
      </w:r>
      <w:r w:rsidRPr="00F34C1B">
        <w:rPr>
          <w:rFonts w:eastAsia="Calibri" w:cs="Arial"/>
          <w:b/>
          <w:i/>
          <w:sz w:val="24"/>
          <w:szCs w:val="24"/>
          <w:lang w:eastAsia="en-US"/>
        </w:rPr>
        <w:t>y</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 xml:space="preserve">VII. </w:t>
      </w:r>
      <w:r w:rsidRPr="00F34C1B">
        <w:rPr>
          <w:rFonts w:eastAsia="Calibri" w:cs="Arial"/>
          <w:b/>
          <w:i/>
          <w:sz w:val="24"/>
          <w:szCs w:val="24"/>
          <w:lang w:eastAsia="en-US"/>
        </w:rPr>
        <w:t>La Secretaría de Turismo y Desarrollo de Pueblos Mágicos.</w:t>
      </w:r>
      <w:r w:rsidRPr="00F34C1B">
        <w:rPr>
          <w:rFonts w:eastAsia="Calibri" w:cs="Arial"/>
          <w:i/>
          <w:sz w:val="24"/>
          <w:szCs w:val="24"/>
          <w:lang w:eastAsia="en-US"/>
        </w:rPr>
        <w:t xml:space="preserve"> </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 xml:space="preserve">Quien sea titular de la </w:t>
      </w:r>
      <w:r w:rsidRPr="00F34C1B">
        <w:rPr>
          <w:rFonts w:eastAsia="Calibri" w:cs="Arial"/>
          <w:b/>
          <w:i/>
          <w:sz w:val="24"/>
          <w:szCs w:val="24"/>
          <w:lang w:eastAsia="en-US"/>
        </w:rPr>
        <w:t>Secretaría de Economía</w:t>
      </w:r>
      <w:r w:rsidRPr="00F34C1B">
        <w:rPr>
          <w:rFonts w:eastAsia="Calibri" w:cs="Arial"/>
          <w:i/>
          <w:sz w:val="24"/>
          <w:szCs w:val="24"/>
          <w:lang w:eastAsia="en-US"/>
        </w:rPr>
        <w:t xml:space="preserve"> fungirá como coordinador de la Comisión.</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 xml:space="preserve">Podrán ser invitados con voz pero sin voto, </w:t>
      </w:r>
      <w:r w:rsidRPr="00F34C1B">
        <w:rPr>
          <w:rFonts w:eastAsia="Calibri" w:cs="Arial"/>
          <w:b/>
          <w:i/>
          <w:sz w:val="24"/>
          <w:szCs w:val="24"/>
          <w:lang w:eastAsia="en-US"/>
        </w:rPr>
        <w:t>un representante del Poder Legislativo, quien será el coordinador de la Comisión de Desarrollo Económico, Competitividad y Turismo,</w:t>
      </w:r>
      <w:r w:rsidRPr="00F34C1B">
        <w:rPr>
          <w:rFonts w:eastAsia="Calibri" w:cs="Arial"/>
          <w:i/>
          <w:sz w:val="24"/>
          <w:szCs w:val="24"/>
          <w:lang w:eastAsia="en-US"/>
        </w:rPr>
        <w:t xml:space="preserve"> operadores de reconocida trayectoria vitivinícola, representantes de instituciones educativas, asociaciones civiles y organismos privados integrantes de la sociedad civil que en razón de su profesión u ocupación, estén en posibilidad de hacer aportaciones o propuestas importantes relacionadas con la materia.</w:t>
      </w:r>
    </w:p>
    <w:p w:rsidR="00F34C1B" w:rsidRPr="00F34C1B" w:rsidRDefault="00F34C1B" w:rsidP="00F34C1B">
      <w:pPr>
        <w:spacing w:after="200" w:line="276" w:lineRule="auto"/>
        <w:ind w:left="708"/>
        <w:rPr>
          <w:rFonts w:eastAsia="Calibri" w:cs="Arial"/>
          <w:i/>
          <w:sz w:val="24"/>
          <w:szCs w:val="24"/>
          <w:lang w:eastAsia="en-US"/>
        </w:rPr>
      </w:pPr>
      <w:r w:rsidRPr="00F34C1B">
        <w:rPr>
          <w:rFonts w:eastAsia="Calibri" w:cs="Arial"/>
          <w:i/>
          <w:sz w:val="24"/>
          <w:szCs w:val="24"/>
          <w:lang w:eastAsia="en-US"/>
        </w:rPr>
        <w:t>.…</w:t>
      </w:r>
    </w:p>
    <w:p w:rsidR="00F34C1B" w:rsidRPr="00F34C1B" w:rsidRDefault="00F34C1B" w:rsidP="00F34C1B">
      <w:pPr>
        <w:spacing w:after="200" w:line="276" w:lineRule="auto"/>
        <w:ind w:left="708"/>
        <w:rPr>
          <w:rFonts w:eastAsia="Calibri" w:cs="Arial"/>
          <w:b/>
          <w:i/>
          <w:sz w:val="24"/>
          <w:szCs w:val="24"/>
          <w:lang w:eastAsia="en-US"/>
        </w:rPr>
      </w:pPr>
      <w:r w:rsidRPr="00F34C1B">
        <w:rPr>
          <w:rFonts w:eastAsia="Calibri" w:cs="Arial"/>
          <w:b/>
          <w:i/>
          <w:sz w:val="24"/>
          <w:szCs w:val="24"/>
          <w:lang w:eastAsia="en-US"/>
        </w:rPr>
        <w:t>Artículo 36.- La Secretaría de Economía</w:t>
      </w:r>
      <w:r w:rsidRPr="00F34C1B">
        <w:rPr>
          <w:rFonts w:eastAsia="Calibri" w:cs="Arial"/>
          <w:i/>
          <w:sz w:val="24"/>
          <w:szCs w:val="24"/>
          <w:lang w:eastAsia="en-US"/>
        </w:rPr>
        <w:t>, estará a cargo del Registro Estatal de Vitivinicultores, el cual deberá contener el padrón de operadores en Coahuila de Zaragoza.</w:t>
      </w:r>
    </w:p>
    <w:p w:rsidR="00F34C1B" w:rsidRPr="00F34C1B" w:rsidRDefault="00F34C1B" w:rsidP="00F34C1B">
      <w:pPr>
        <w:spacing w:after="200" w:line="276" w:lineRule="auto"/>
        <w:ind w:left="708"/>
        <w:jc w:val="center"/>
        <w:rPr>
          <w:rFonts w:eastAsia="Calibri" w:cs="Arial"/>
          <w:b/>
          <w:i/>
          <w:sz w:val="24"/>
          <w:szCs w:val="24"/>
          <w:lang w:val="en-US" w:eastAsia="en-US"/>
        </w:rPr>
      </w:pPr>
      <w:r w:rsidRPr="00F34C1B">
        <w:rPr>
          <w:rFonts w:eastAsia="Calibri" w:cs="Arial"/>
          <w:b/>
          <w:i/>
          <w:sz w:val="24"/>
          <w:szCs w:val="24"/>
          <w:lang w:val="en-US" w:eastAsia="en-US"/>
        </w:rPr>
        <w:t>T R A N S I T O R I O S</w:t>
      </w:r>
    </w:p>
    <w:p w:rsidR="00F34C1B" w:rsidRPr="00F34C1B" w:rsidRDefault="00F34C1B" w:rsidP="00F34C1B">
      <w:pPr>
        <w:spacing w:after="200" w:line="276" w:lineRule="auto"/>
        <w:ind w:left="708"/>
        <w:rPr>
          <w:rFonts w:eastAsia="Calibri" w:cs="Arial"/>
          <w:b/>
          <w:i/>
          <w:sz w:val="24"/>
          <w:szCs w:val="24"/>
          <w:lang w:eastAsia="en-US"/>
        </w:rPr>
      </w:pPr>
      <w:r w:rsidRPr="00F34C1B">
        <w:rPr>
          <w:rFonts w:eastAsia="Calibri" w:cs="Arial"/>
          <w:b/>
          <w:i/>
          <w:sz w:val="24"/>
          <w:szCs w:val="24"/>
          <w:lang w:eastAsia="en-US"/>
        </w:rPr>
        <w:lastRenderedPageBreak/>
        <w:t xml:space="preserve">ÚNICO.- </w:t>
      </w:r>
      <w:r w:rsidRPr="00F34C1B">
        <w:rPr>
          <w:rFonts w:eastAsia="Calibri" w:cs="Arial"/>
          <w:i/>
          <w:sz w:val="24"/>
          <w:szCs w:val="24"/>
          <w:lang w:eastAsia="en-US"/>
        </w:rPr>
        <w:t>El presente Decreto entrará en vigor al día siguiente de su publicación en el Periódico Oficial del Gobierno del Estado.</w:t>
      </w:r>
    </w:p>
    <w:p w:rsidR="00F34C1B" w:rsidRPr="00F34C1B" w:rsidRDefault="00F34C1B" w:rsidP="00F34C1B">
      <w:pPr>
        <w:rPr>
          <w:rFonts w:eastAsia="Calibri" w:cs="Arial"/>
          <w:sz w:val="24"/>
          <w:szCs w:val="24"/>
          <w:lang w:eastAsia="en-US"/>
        </w:rPr>
      </w:pPr>
      <w:r w:rsidRPr="00F34C1B">
        <w:rPr>
          <w:rFonts w:eastAsia="Calibri" w:cs="Arial"/>
          <w:sz w:val="24"/>
          <w:szCs w:val="24"/>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27 de agosto de 2019.</w:t>
      </w:r>
      <w:r w:rsidRPr="00F34C1B">
        <w:rPr>
          <w:rFonts w:eastAsia="Calibri" w:cs="Arial"/>
          <w:sz w:val="24"/>
          <w:szCs w:val="24"/>
          <w:lang w:eastAsia="en-US"/>
        </w:rPr>
        <w:cr/>
      </w:r>
    </w:p>
    <w:p w:rsidR="00F34C1B" w:rsidRPr="00F34C1B" w:rsidRDefault="00F34C1B" w:rsidP="00F34C1B">
      <w:pPr>
        <w:rPr>
          <w:rFonts w:eastAsia="Calibri" w:cs="Arial"/>
          <w:sz w:val="24"/>
          <w:szCs w:val="24"/>
          <w:lang w:eastAsia="en-US"/>
        </w:rPr>
      </w:pPr>
    </w:p>
    <w:p w:rsidR="00F34C1B" w:rsidRPr="00F34C1B" w:rsidRDefault="00F34C1B" w:rsidP="00F34C1B">
      <w:pPr>
        <w:rPr>
          <w:rFonts w:eastAsia="Calibri" w:cs="Arial"/>
          <w:sz w:val="24"/>
          <w:szCs w:val="24"/>
          <w:lang w:eastAsia="en-US"/>
        </w:rPr>
      </w:pPr>
    </w:p>
    <w:p w:rsidR="00F34C1B" w:rsidRPr="00F34C1B" w:rsidRDefault="00F34C1B" w:rsidP="00F34C1B">
      <w:pPr>
        <w:jc w:val="center"/>
        <w:rPr>
          <w:rFonts w:eastAsia="Calibri" w:cs="Arial"/>
          <w:b/>
          <w:sz w:val="28"/>
          <w:szCs w:val="24"/>
          <w:lang w:eastAsia="en-US"/>
        </w:rPr>
      </w:pPr>
      <w:r w:rsidRPr="00F34C1B">
        <w:rPr>
          <w:rFonts w:eastAsia="Calibri" w:cs="Arial"/>
          <w:b/>
          <w:sz w:val="28"/>
          <w:szCs w:val="24"/>
          <w:lang w:eastAsia="en-US"/>
        </w:rPr>
        <w:t xml:space="preserve">POR LA COMISIÓN DE DESARROLLO ECONÓMICO, </w:t>
      </w:r>
    </w:p>
    <w:p w:rsidR="00F34C1B" w:rsidRPr="00F34C1B" w:rsidRDefault="00F34C1B" w:rsidP="00F34C1B">
      <w:pPr>
        <w:jc w:val="center"/>
        <w:rPr>
          <w:rFonts w:eastAsia="Calibri" w:cs="Arial"/>
          <w:b/>
          <w:sz w:val="28"/>
          <w:szCs w:val="24"/>
          <w:lang w:eastAsia="en-US"/>
        </w:rPr>
      </w:pPr>
      <w:r w:rsidRPr="00F34C1B">
        <w:rPr>
          <w:rFonts w:eastAsia="Calibri" w:cs="Arial"/>
          <w:b/>
          <w:sz w:val="28"/>
          <w:szCs w:val="24"/>
          <w:lang w:eastAsia="en-US"/>
        </w:rPr>
        <w:t>COMPETITIVIDAD Y TURISMO</w:t>
      </w:r>
    </w:p>
    <w:p w:rsidR="00F34C1B" w:rsidRPr="00F34C1B" w:rsidRDefault="00F34C1B" w:rsidP="00F34C1B">
      <w:pPr>
        <w:rPr>
          <w:rFonts w:eastAsia="Calibri" w:cs="Arial"/>
          <w:sz w:val="24"/>
          <w:szCs w:val="24"/>
          <w:lang w:eastAsia="en-U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1827"/>
        <w:gridCol w:w="1676"/>
        <w:gridCol w:w="1803"/>
      </w:tblGrid>
      <w:tr w:rsidR="00F34C1B" w:rsidRPr="00F34C1B" w:rsidTr="003E3C06">
        <w:trPr>
          <w:trHeight w:val="354"/>
          <w:jc w:val="center"/>
        </w:trPr>
        <w:tc>
          <w:tcPr>
            <w:tcW w:w="3483"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NOMBRE Y FIRMA</w:t>
            </w:r>
          </w:p>
        </w:tc>
        <w:tc>
          <w:tcPr>
            <w:tcW w:w="5306" w:type="dxa"/>
            <w:gridSpan w:val="3"/>
            <w:shd w:val="clear" w:color="auto" w:fill="auto"/>
            <w:vAlign w:val="center"/>
          </w:tcPr>
          <w:p w:rsidR="00F34C1B" w:rsidRPr="00F34C1B" w:rsidRDefault="00F34C1B" w:rsidP="00F34C1B">
            <w:pPr>
              <w:jc w:val="center"/>
              <w:rPr>
                <w:rFonts w:eastAsia="Calibri" w:cs="Arial"/>
                <w:sz w:val="24"/>
                <w:szCs w:val="24"/>
                <w:lang w:eastAsia="en-US"/>
              </w:rPr>
            </w:pPr>
            <w:r w:rsidRPr="00F34C1B">
              <w:rPr>
                <w:rFonts w:eastAsia="Calibri" w:cs="Arial"/>
                <w:b/>
                <w:sz w:val="24"/>
                <w:szCs w:val="24"/>
                <w:lang w:eastAsia="en-US"/>
              </w:rPr>
              <w:t>VOTO</w:t>
            </w:r>
          </w:p>
        </w:tc>
      </w:tr>
      <w:tr w:rsidR="00F34C1B" w:rsidRPr="00F34C1B" w:rsidTr="003E3C06">
        <w:trPr>
          <w:trHeight w:val="364"/>
          <w:jc w:val="center"/>
        </w:trPr>
        <w:tc>
          <w:tcPr>
            <w:tcW w:w="3483" w:type="dxa"/>
            <w:vMerge w:val="restart"/>
            <w:shd w:val="clear" w:color="auto" w:fill="auto"/>
          </w:tcPr>
          <w:p w:rsidR="00F34C1B" w:rsidRPr="00F34C1B" w:rsidRDefault="00F34C1B" w:rsidP="00F34C1B">
            <w:pPr>
              <w:ind w:right="-142"/>
              <w:jc w:val="left"/>
              <w:rPr>
                <w:rFonts w:eastAsia="Calibri" w:cs="Arial"/>
                <w:b/>
                <w:sz w:val="24"/>
                <w:szCs w:val="24"/>
                <w:lang w:eastAsia="en-US"/>
              </w:rPr>
            </w:pPr>
            <w:r w:rsidRPr="00F34C1B">
              <w:rPr>
                <w:rFonts w:eastAsia="Calibri" w:cs="Arial"/>
                <w:b/>
                <w:sz w:val="24"/>
                <w:szCs w:val="24"/>
                <w:lang w:eastAsia="en-US"/>
              </w:rPr>
              <w:t xml:space="preserve">DIP. </w:t>
            </w:r>
            <w:r w:rsidRPr="00F34C1B">
              <w:rPr>
                <w:rFonts w:eastAsia="Calibri" w:cs="Arial"/>
                <w:b/>
                <w:sz w:val="24"/>
                <w:szCs w:val="24"/>
                <w:lang w:val="es-ES" w:eastAsia="en-US"/>
              </w:rPr>
              <w:t>FERNANDO IZAGUIRRE VALDÉS</w:t>
            </w:r>
          </w:p>
          <w:p w:rsidR="00F34C1B" w:rsidRPr="00F34C1B" w:rsidRDefault="00F34C1B" w:rsidP="00F34C1B">
            <w:pPr>
              <w:ind w:right="-142"/>
              <w:jc w:val="left"/>
              <w:rPr>
                <w:rFonts w:eastAsia="Calibri" w:cs="Arial"/>
                <w:b/>
                <w:sz w:val="24"/>
                <w:szCs w:val="24"/>
                <w:lang w:eastAsia="en-US"/>
              </w:rPr>
            </w:pPr>
            <w:r w:rsidRPr="00F34C1B">
              <w:rPr>
                <w:rFonts w:eastAsia="Calibri" w:cs="Arial"/>
                <w:b/>
                <w:sz w:val="24"/>
                <w:szCs w:val="24"/>
                <w:lang w:eastAsia="en-US"/>
              </w:rPr>
              <w:t>(COORDINADOR)</w:t>
            </w:r>
          </w:p>
        </w:tc>
        <w:tc>
          <w:tcPr>
            <w:tcW w:w="1827"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 FAVOR</w:t>
            </w:r>
          </w:p>
        </w:tc>
        <w:tc>
          <w:tcPr>
            <w:tcW w:w="1676"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EN CONTRA</w:t>
            </w:r>
          </w:p>
        </w:tc>
        <w:tc>
          <w:tcPr>
            <w:tcW w:w="1803"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ABSTENCIÓN</w:t>
            </w:r>
          </w:p>
        </w:tc>
      </w:tr>
      <w:tr w:rsidR="00F34C1B" w:rsidRPr="00F34C1B" w:rsidTr="003E3C06">
        <w:trPr>
          <w:trHeight w:val="930"/>
          <w:jc w:val="center"/>
        </w:trPr>
        <w:tc>
          <w:tcPr>
            <w:tcW w:w="3483" w:type="dxa"/>
            <w:vMerge/>
            <w:shd w:val="clear" w:color="auto" w:fill="auto"/>
          </w:tcPr>
          <w:p w:rsidR="00F34C1B" w:rsidRPr="00F34C1B" w:rsidRDefault="00F34C1B" w:rsidP="00F34C1B">
            <w:pPr>
              <w:jc w:val="left"/>
              <w:rPr>
                <w:rFonts w:eastAsia="Calibri" w:cs="Arial"/>
                <w:sz w:val="24"/>
                <w:szCs w:val="24"/>
                <w:lang w:eastAsia="en-US"/>
              </w:rPr>
            </w:pPr>
          </w:p>
        </w:tc>
        <w:tc>
          <w:tcPr>
            <w:tcW w:w="1827" w:type="dxa"/>
            <w:shd w:val="clear" w:color="auto" w:fill="auto"/>
          </w:tcPr>
          <w:p w:rsidR="00F34C1B" w:rsidRPr="00F34C1B" w:rsidRDefault="00F34C1B" w:rsidP="00F34C1B">
            <w:pPr>
              <w:jc w:val="left"/>
              <w:rPr>
                <w:rFonts w:eastAsia="Calibri" w:cs="Arial"/>
                <w:sz w:val="24"/>
                <w:szCs w:val="24"/>
                <w:lang w:eastAsia="en-US"/>
              </w:rPr>
            </w:pPr>
          </w:p>
        </w:tc>
        <w:tc>
          <w:tcPr>
            <w:tcW w:w="1676" w:type="dxa"/>
            <w:shd w:val="clear" w:color="auto" w:fill="auto"/>
          </w:tcPr>
          <w:p w:rsidR="00F34C1B" w:rsidRPr="00F34C1B" w:rsidRDefault="00F34C1B" w:rsidP="00F34C1B">
            <w:pPr>
              <w:jc w:val="left"/>
              <w:rPr>
                <w:rFonts w:eastAsia="Calibri" w:cs="Arial"/>
                <w:sz w:val="24"/>
                <w:szCs w:val="24"/>
                <w:lang w:eastAsia="en-US"/>
              </w:rPr>
            </w:pPr>
          </w:p>
          <w:p w:rsidR="00F34C1B" w:rsidRPr="00F34C1B" w:rsidRDefault="00F34C1B" w:rsidP="00F34C1B">
            <w:pPr>
              <w:jc w:val="left"/>
              <w:rPr>
                <w:rFonts w:eastAsia="Calibri" w:cs="Arial"/>
                <w:sz w:val="24"/>
                <w:szCs w:val="24"/>
                <w:lang w:eastAsia="en-US"/>
              </w:rPr>
            </w:pPr>
          </w:p>
          <w:p w:rsidR="00F34C1B" w:rsidRPr="00F34C1B" w:rsidRDefault="00F34C1B" w:rsidP="00F34C1B">
            <w:pPr>
              <w:jc w:val="left"/>
              <w:rPr>
                <w:rFonts w:eastAsia="Calibri" w:cs="Arial"/>
                <w:sz w:val="24"/>
                <w:szCs w:val="24"/>
                <w:lang w:eastAsia="en-US"/>
              </w:rPr>
            </w:pPr>
          </w:p>
        </w:tc>
        <w:tc>
          <w:tcPr>
            <w:tcW w:w="1803" w:type="dxa"/>
            <w:shd w:val="clear" w:color="auto" w:fill="auto"/>
          </w:tcPr>
          <w:p w:rsidR="00F34C1B" w:rsidRPr="00F34C1B" w:rsidRDefault="00F34C1B" w:rsidP="00F34C1B">
            <w:pPr>
              <w:jc w:val="left"/>
              <w:rPr>
                <w:rFonts w:eastAsia="Calibri" w:cs="Arial"/>
                <w:sz w:val="24"/>
                <w:szCs w:val="24"/>
                <w:lang w:eastAsia="en-US"/>
              </w:rPr>
            </w:pPr>
          </w:p>
        </w:tc>
      </w:tr>
      <w:tr w:rsidR="00F34C1B" w:rsidRPr="00F34C1B" w:rsidTr="003E3C06">
        <w:trPr>
          <w:trHeight w:val="364"/>
          <w:jc w:val="center"/>
        </w:trPr>
        <w:tc>
          <w:tcPr>
            <w:tcW w:w="3483" w:type="dxa"/>
            <w:vMerge w:val="restart"/>
            <w:shd w:val="clear" w:color="auto" w:fill="auto"/>
          </w:tcPr>
          <w:p w:rsidR="00F34C1B" w:rsidRPr="00F34C1B" w:rsidRDefault="00F34C1B" w:rsidP="00F34C1B">
            <w:pPr>
              <w:ind w:right="-142"/>
              <w:jc w:val="left"/>
              <w:rPr>
                <w:rFonts w:eastAsia="Calibri" w:cs="Arial"/>
                <w:b/>
                <w:sz w:val="24"/>
                <w:szCs w:val="24"/>
                <w:lang w:eastAsia="en-US"/>
              </w:rPr>
            </w:pPr>
            <w:r w:rsidRPr="00F34C1B">
              <w:rPr>
                <w:rFonts w:eastAsia="Calibri" w:cs="Arial"/>
                <w:b/>
                <w:sz w:val="24"/>
                <w:szCs w:val="24"/>
                <w:lang w:eastAsia="en-US"/>
              </w:rPr>
              <w:t xml:space="preserve">DIP. </w:t>
            </w:r>
            <w:r w:rsidRPr="00F34C1B">
              <w:rPr>
                <w:rFonts w:eastAsia="Calibri" w:cs="Arial"/>
                <w:b/>
                <w:sz w:val="24"/>
                <w:szCs w:val="24"/>
                <w:lang w:val="es-ES" w:eastAsia="en-US"/>
              </w:rPr>
              <w:t>VERÓNICA BOREQUE MARTÍNEZ GONZÁLEZ</w:t>
            </w:r>
          </w:p>
          <w:p w:rsidR="00F34C1B" w:rsidRPr="00F34C1B" w:rsidRDefault="00F34C1B" w:rsidP="00F34C1B">
            <w:pPr>
              <w:ind w:right="-142"/>
              <w:jc w:val="left"/>
              <w:rPr>
                <w:rFonts w:eastAsia="Calibri" w:cs="Arial"/>
                <w:b/>
                <w:sz w:val="24"/>
                <w:szCs w:val="24"/>
                <w:lang w:eastAsia="en-US"/>
              </w:rPr>
            </w:pPr>
            <w:r w:rsidRPr="00F34C1B">
              <w:rPr>
                <w:rFonts w:eastAsia="Calibri" w:cs="Arial"/>
                <w:b/>
                <w:sz w:val="24"/>
                <w:szCs w:val="24"/>
                <w:lang w:eastAsia="en-US"/>
              </w:rPr>
              <w:t>(SECRETARIA)</w:t>
            </w:r>
          </w:p>
          <w:p w:rsidR="00F34C1B" w:rsidRPr="00F34C1B" w:rsidRDefault="00F34C1B" w:rsidP="00F34C1B">
            <w:pPr>
              <w:jc w:val="left"/>
              <w:rPr>
                <w:rFonts w:eastAsia="Calibri" w:cs="Arial"/>
                <w:sz w:val="24"/>
                <w:szCs w:val="24"/>
                <w:lang w:eastAsia="en-US"/>
              </w:rPr>
            </w:pPr>
          </w:p>
        </w:tc>
        <w:tc>
          <w:tcPr>
            <w:tcW w:w="1827"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 FAVOR</w:t>
            </w:r>
          </w:p>
        </w:tc>
        <w:tc>
          <w:tcPr>
            <w:tcW w:w="1676"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EN CONTRA</w:t>
            </w:r>
          </w:p>
        </w:tc>
        <w:tc>
          <w:tcPr>
            <w:tcW w:w="1803"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ABSTENCIÓN</w:t>
            </w:r>
          </w:p>
        </w:tc>
      </w:tr>
      <w:tr w:rsidR="00F34C1B" w:rsidRPr="00F34C1B" w:rsidTr="003E3C06">
        <w:trPr>
          <w:trHeight w:val="930"/>
          <w:jc w:val="center"/>
        </w:trPr>
        <w:tc>
          <w:tcPr>
            <w:tcW w:w="3483" w:type="dxa"/>
            <w:vMerge/>
            <w:shd w:val="clear" w:color="auto" w:fill="auto"/>
          </w:tcPr>
          <w:p w:rsidR="00F34C1B" w:rsidRPr="00F34C1B" w:rsidRDefault="00F34C1B" w:rsidP="00F34C1B">
            <w:pPr>
              <w:jc w:val="left"/>
              <w:rPr>
                <w:rFonts w:eastAsia="Calibri" w:cs="Arial"/>
                <w:sz w:val="24"/>
                <w:szCs w:val="24"/>
                <w:lang w:eastAsia="en-US"/>
              </w:rPr>
            </w:pPr>
          </w:p>
        </w:tc>
        <w:tc>
          <w:tcPr>
            <w:tcW w:w="1827" w:type="dxa"/>
            <w:shd w:val="clear" w:color="auto" w:fill="auto"/>
          </w:tcPr>
          <w:p w:rsidR="00F34C1B" w:rsidRPr="00F34C1B" w:rsidRDefault="00F34C1B" w:rsidP="00F34C1B">
            <w:pPr>
              <w:jc w:val="left"/>
              <w:rPr>
                <w:rFonts w:eastAsia="Calibri" w:cs="Arial"/>
                <w:sz w:val="24"/>
                <w:szCs w:val="24"/>
                <w:lang w:eastAsia="en-US"/>
              </w:rPr>
            </w:pPr>
          </w:p>
        </w:tc>
        <w:tc>
          <w:tcPr>
            <w:tcW w:w="1676" w:type="dxa"/>
            <w:shd w:val="clear" w:color="auto" w:fill="auto"/>
          </w:tcPr>
          <w:p w:rsidR="00F34C1B" w:rsidRPr="00F34C1B" w:rsidRDefault="00F34C1B" w:rsidP="00F34C1B">
            <w:pPr>
              <w:jc w:val="left"/>
              <w:rPr>
                <w:rFonts w:eastAsia="Calibri" w:cs="Arial"/>
                <w:sz w:val="24"/>
                <w:szCs w:val="24"/>
                <w:lang w:eastAsia="en-US"/>
              </w:rPr>
            </w:pPr>
          </w:p>
        </w:tc>
        <w:tc>
          <w:tcPr>
            <w:tcW w:w="1803" w:type="dxa"/>
            <w:shd w:val="clear" w:color="auto" w:fill="auto"/>
          </w:tcPr>
          <w:p w:rsidR="00F34C1B" w:rsidRPr="00F34C1B" w:rsidRDefault="00F34C1B" w:rsidP="00F34C1B">
            <w:pPr>
              <w:jc w:val="left"/>
              <w:rPr>
                <w:rFonts w:eastAsia="Calibri" w:cs="Arial"/>
                <w:sz w:val="24"/>
                <w:szCs w:val="24"/>
                <w:lang w:eastAsia="en-US"/>
              </w:rPr>
            </w:pPr>
          </w:p>
        </w:tc>
      </w:tr>
      <w:tr w:rsidR="00F34C1B" w:rsidRPr="00F34C1B" w:rsidTr="003E3C06">
        <w:trPr>
          <w:trHeight w:val="409"/>
          <w:jc w:val="center"/>
        </w:trPr>
        <w:tc>
          <w:tcPr>
            <w:tcW w:w="3483" w:type="dxa"/>
            <w:vMerge w:val="restart"/>
            <w:shd w:val="clear" w:color="auto" w:fill="auto"/>
          </w:tcPr>
          <w:p w:rsidR="00F34C1B" w:rsidRPr="00F34C1B" w:rsidRDefault="00F34C1B" w:rsidP="00F34C1B">
            <w:pPr>
              <w:ind w:right="-142"/>
              <w:jc w:val="left"/>
              <w:rPr>
                <w:rFonts w:eastAsia="Calibri" w:cs="Arial"/>
                <w:b/>
                <w:sz w:val="24"/>
                <w:szCs w:val="24"/>
                <w:lang w:eastAsia="en-US"/>
              </w:rPr>
            </w:pPr>
            <w:r w:rsidRPr="00F34C1B">
              <w:rPr>
                <w:rFonts w:eastAsia="Calibri" w:cs="Arial"/>
                <w:b/>
                <w:sz w:val="24"/>
                <w:szCs w:val="24"/>
                <w:lang w:eastAsia="en-US"/>
              </w:rPr>
              <w:t xml:space="preserve">DIP. </w:t>
            </w:r>
            <w:r w:rsidRPr="00F34C1B">
              <w:rPr>
                <w:rFonts w:eastAsia="Calibri" w:cs="Arial"/>
                <w:b/>
                <w:sz w:val="24"/>
                <w:szCs w:val="24"/>
                <w:lang w:val="es-ES" w:eastAsia="en-US"/>
              </w:rPr>
              <w:t>JOSEFINA GARZA BARRERA</w:t>
            </w:r>
          </w:p>
          <w:p w:rsidR="00F34C1B" w:rsidRPr="00F34C1B" w:rsidRDefault="00F34C1B" w:rsidP="00F34C1B">
            <w:pPr>
              <w:jc w:val="left"/>
              <w:rPr>
                <w:rFonts w:eastAsia="Calibri" w:cs="Arial"/>
                <w:sz w:val="24"/>
                <w:szCs w:val="24"/>
                <w:lang w:eastAsia="en-US"/>
              </w:rPr>
            </w:pPr>
          </w:p>
        </w:tc>
        <w:tc>
          <w:tcPr>
            <w:tcW w:w="1827"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 FAVOR</w:t>
            </w:r>
          </w:p>
        </w:tc>
        <w:tc>
          <w:tcPr>
            <w:tcW w:w="1676"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EN CONTRA</w:t>
            </w:r>
          </w:p>
        </w:tc>
        <w:tc>
          <w:tcPr>
            <w:tcW w:w="1803"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ABSTENCIÓN</w:t>
            </w:r>
          </w:p>
        </w:tc>
      </w:tr>
      <w:tr w:rsidR="00F34C1B" w:rsidRPr="00F34C1B" w:rsidTr="003E3C06">
        <w:trPr>
          <w:trHeight w:val="930"/>
          <w:jc w:val="center"/>
        </w:trPr>
        <w:tc>
          <w:tcPr>
            <w:tcW w:w="3483" w:type="dxa"/>
            <w:vMerge/>
            <w:shd w:val="clear" w:color="auto" w:fill="auto"/>
          </w:tcPr>
          <w:p w:rsidR="00F34C1B" w:rsidRPr="00F34C1B" w:rsidRDefault="00F34C1B" w:rsidP="00F34C1B">
            <w:pPr>
              <w:jc w:val="left"/>
              <w:rPr>
                <w:rFonts w:eastAsia="Calibri" w:cs="Arial"/>
                <w:sz w:val="24"/>
                <w:szCs w:val="24"/>
                <w:lang w:eastAsia="en-US"/>
              </w:rPr>
            </w:pPr>
          </w:p>
        </w:tc>
        <w:tc>
          <w:tcPr>
            <w:tcW w:w="1827" w:type="dxa"/>
            <w:shd w:val="clear" w:color="auto" w:fill="auto"/>
          </w:tcPr>
          <w:p w:rsidR="00F34C1B" w:rsidRPr="00F34C1B" w:rsidRDefault="00F34C1B" w:rsidP="00F34C1B">
            <w:pPr>
              <w:jc w:val="left"/>
              <w:rPr>
                <w:rFonts w:eastAsia="Calibri" w:cs="Arial"/>
                <w:sz w:val="24"/>
                <w:szCs w:val="24"/>
                <w:lang w:eastAsia="en-US"/>
              </w:rPr>
            </w:pPr>
          </w:p>
        </w:tc>
        <w:tc>
          <w:tcPr>
            <w:tcW w:w="1676" w:type="dxa"/>
            <w:shd w:val="clear" w:color="auto" w:fill="auto"/>
          </w:tcPr>
          <w:p w:rsidR="00F34C1B" w:rsidRPr="00F34C1B" w:rsidRDefault="00F34C1B" w:rsidP="00F34C1B">
            <w:pPr>
              <w:jc w:val="left"/>
              <w:rPr>
                <w:rFonts w:eastAsia="Calibri" w:cs="Arial"/>
                <w:sz w:val="24"/>
                <w:szCs w:val="24"/>
                <w:lang w:eastAsia="en-US"/>
              </w:rPr>
            </w:pPr>
          </w:p>
        </w:tc>
        <w:tc>
          <w:tcPr>
            <w:tcW w:w="1803" w:type="dxa"/>
            <w:shd w:val="clear" w:color="auto" w:fill="auto"/>
          </w:tcPr>
          <w:p w:rsidR="00F34C1B" w:rsidRPr="00F34C1B" w:rsidRDefault="00F34C1B" w:rsidP="00F34C1B">
            <w:pPr>
              <w:jc w:val="left"/>
              <w:rPr>
                <w:rFonts w:eastAsia="Calibri" w:cs="Arial"/>
                <w:sz w:val="24"/>
                <w:szCs w:val="24"/>
                <w:lang w:eastAsia="en-US"/>
              </w:rPr>
            </w:pPr>
          </w:p>
        </w:tc>
      </w:tr>
      <w:tr w:rsidR="00F34C1B" w:rsidRPr="00F34C1B" w:rsidTr="003E3C06">
        <w:trPr>
          <w:trHeight w:val="409"/>
          <w:jc w:val="center"/>
        </w:trPr>
        <w:tc>
          <w:tcPr>
            <w:tcW w:w="3483" w:type="dxa"/>
            <w:vMerge w:val="restart"/>
            <w:shd w:val="clear" w:color="auto" w:fill="auto"/>
          </w:tcPr>
          <w:p w:rsidR="00F34C1B" w:rsidRPr="00F34C1B" w:rsidRDefault="00F34C1B" w:rsidP="00F34C1B">
            <w:pPr>
              <w:jc w:val="left"/>
              <w:rPr>
                <w:rFonts w:eastAsia="Calibri" w:cs="Arial"/>
                <w:sz w:val="24"/>
                <w:szCs w:val="24"/>
                <w:lang w:eastAsia="en-US"/>
              </w:rPr>
            </w:pPr>
            <w:r w:rsidRPr="00F34C1B">
              <w:rPr>
                <w:rFonts w:eastAsia="Calibri" w:cs="Arial"/>
                <w:b/>
                <w:sz w:val="24"/>
                <w:szCs w:val="24"/>
                <w:lang w:eastAsia="en-US"/>
              </w:rPr>
              <w:t xml:space="preserve">DIP. </w:t>
            </w:r>
            <w:r w:rsidRPr="00F34C1B">
              <w:rPr>
                <w:rFonts w:eastAsia="Calibri" w:cs="Arial"/>
                <w:b/>
                <w:sz w:val="24"/>
                <w:szCs w:val="24"/>
                <w:lang w:val="es-ES" w:eastAsia="en-US"/>
              </w:rPr>
              <w:t>EMILIO ALEJANDRO DE HOYOS MONTEMAYOR</w:t>
            </w:r>
          </w:p>
        </w:tc>
        <w:tc>
          <w:tcPr>
            <w:tcW w:w="1827"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 FAVOR</w:t>
            </w:r>
          </w:p>
        </w:tc>
        <w:tc>
          <w:tcPr>
            <w:tcW w:w="1676"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EN CONTRA</w:t>
            </w:r>
          </w:p>
        </w:tc>
        <w:tc>
          <w:tcPr>
            <w:tcW w:w="1803"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ABSTENCIÓN</w:t>
            </w:r>
          </w:p>
        </w:tc>
      </w:tr>
      <w:tr w:rsidR="00F34C1B" w:rsidRPr="00F34C1B" w:rsidTr="003E3C06">
        <w:trPr>
          <w:trHeight w:val="930"/>
          <w:jc w:val="center"/>
        </w:trPr>
        <w:tc>
          <w:tcPr>
            <w:tcW w:w="3483" w:type="dxa"/>
            <w:vMerge/>
            <w:shd w:val="clear" w:color="auto" w:fill="auto"/>
          </w:tcPr>
          <w:p w:rsidR="00F34C1B" w:rsidRPr="00F34C1B" w:rsidRDefault="00F34C1B" w:rsidP="00F34C1B">
            <w:pPr>
              <w:jc w:val="left"/>
              <w:rPr>
                <w:rFonts w:eastAsia="Calibri" w:cs="Arial"/>
                <w:sz w:val="24"/>
                <w:szCs w:val="24"/>
                <w:lang w:eastAsia="en-US"/>
              </w:rPr>
            </w:pPr>
          </w:p>
        </w:tc>
        <w:tc>
          <w:tcPr>
            <w:tcW w:w="1827" w:type="dxa"/>
            <w:shd w:val="clear" w:color="auto" w:fill="auto"/>
          </w:tcPr>
          <w:p w:rsidR="00F34C1B" w:rsidRPr="00F34C1B" w:rsidRDefault="00F34C1B" w:rsidP="00F34C1B">
            <w:pPr>
              <w:jc w:val="left"/>
              <w:rPr>
                <w:rFonts w:eastAsia="Calibri" w:cs="Arial"/>
                <w:sz w:val="24"/>
                <w:szCs w:val="24"/>
                <w:lang w:eastAsia="en-US"/>
              </w:rPr>
            </w:pPr>
          </w:p>
        </w:tc>
        <w:tc>
          <w:tcPr>
            <w:tcW w:w="1676" w:type="dxa"/>
            <w:shd w:val="clear" w:color="auto" w:fill="auto"/>
          </w:tcPr>
          <w:p w:rsidR="00F34C1B" w:rsidRPr="00F34C1B" w:rsidRDefault="00F34C1B" w:rsidP="00F34C1B">
            <w:pPr>
              <w:jc w:val="left"/>
              <w:rPr>
                <w:rFonts w:eastAsia="Calibri" w:cs="Arial"/>
                <w:sz w:val="24"/>
                <w:szCs w:val="24"/>
                <w:lang w:eastAsia="en-US"/>
              </w:rPr>
            </w:pPr>
          </w:p>
        </w:tc>
        <w:tc>
          <w:tcPr>
            <w:tcW w:w="1803" w:type="dxa"/>
            <w:shd w:val="clear" w:color="auto" w:fill="auto"/>
          </w:tcPr>
          <w:p w:rsidR="00F34C1B" w:rsidRPr="00F34C1B" w:rsidRDefault="00F34C1B" w:rsidP="00F34C1B">
            <w:pPr>
              <w:jc w:val="left"/>
              <w:rPr>
                <w:rFonts w:eastAsia="Calibri" w:cs="Arial"/>
                <w:sz w:val="24"/>
                <w:szCs w:val="24"/>
                <w:lang w:eastAsia="en-US"/>
              </w:rPr>
            </w:pPr>
          </w:p>
        </w:tc>
      </w:tr>
      <w:tr w:rsidR="00F34C1B" w:rsidRPr="00F34C1B" w:rsidTr="003E3C06">
        <w:trPr>
          <w:trHeight w:val="409"/>
          <w:jc w:val="center"/>
        </w:trPr>
        <w:tc>
          <w:tcPr>
            <w:tcW w:w="3483" w:type="dxa"/>
            <w:vMerge w:val="restart"/>
            <w:shd w:val="clear" w:color="auto" w:fill="auto"/>
          </w:tcPr>
          <w:p w:rsidR="00F34C1B" w:rsidRPr="00F34C1B" w:rsidRDefault="00F34C1B" w:rsidP="00F34C1B">
            <w:pPr>
              <w:ind w:right="-142"/>
              <w:jc w:val="left"/>
              <w:rPr>
                <w:rFonts w:eastAsia="Calibri" w:cs="Arial"/>
                <w:b/>
                <w:sz w:val="24"/>
                <w:szCs w:val="24"/>
                <w:lang w:eastAsia="en-US"/>
              </w:rPr>
            </w:pPr>
            <w:r w:rsidRPr="00F34C1B">
              <w:rPr>
                <w:rFonts w:eastAsia="Calibri" w:cs="Arial"/>
                <w:b/>
                <w:sz w:val="24"/>
                <w:szCs w:val="24"/>
                <w:lang w:eastAsia="en-US"/>
              </w:rPr>
              <w:t xml:space="preserve">DIP. </w:t>
            </w:r>
            <w:r w:rsidRPr="00F34C1B">
              <w:rPr>
                <w:rFonts w:eastAsia="Calibri" w:cs="Arial"/>
                <w:b/>
                <w:sz w:val="24"/>
                <w:szCs w:val="24"/>
                <w:lang w:val="es-ES" w:eastAsia="en-US"/>
              </w:rPr>
              <w:t>JUAN ANTONIO GARCÍA VILLA</w:t>
            </w:r>
          </w:p>
          <w:p w:rsidR="00F34C1B" w:rsidRPr="00F34C1B" w:rsidRDefault="00F34C1B" w:rsidP="00F34C1B">
            <w:pPr>
              <w:ind w:right="-142"/>
              <w:jc w:val="left"/>
              <w:rPr>
                <w:rFonts w:eastAsia="Calibri" w:cs="Arial"/>
                <w:b/>
                <w:sz w:val="24"/>
                <w:szCs w:val="24"/>
                <w:lang w:eastAsia="en-US"/>
              </w:rPr>
            </w:pPr>
          </w:p>
          <w:p w:rsidR="00F34C1B" w:rsidRPr="00F34C1B" w:rsidRDefault="00F34C1B" w:rsidP="00F34C1B">
            <w:pPr>
              <w:ind w:right="-142"/>
              <w:jc w:val="left"/>
              <w:rPr>
                <w:rFonts w:eastAsia="Calibri" w:cs="Arial"/>
                <w:b/>
                <w:sz w:val="24"/>
                <w:szCs w:val="24"/>
                <w:lang w:eastAsia="en-US"/>
              </w:rPr>
            </w:pPr>
          </w:p>
          <w:p w:rsidR="00F34C1B" w:rsidRPr="00F34C1B" w:rsidRDefault="00F34C1B" w:rsidP="00F34C1B">
            <w:pPr>
              <w:ind w:right="-142"/>
              <w:jc w:val="left"/>
              <w:rPr>
                <w:rFonts w:eastAsia="Calibri" w:cs="Arial"/>
                <w:b/>
                <w:sz w:val="24"/>
                <w:szCs w:val="24"/>
                <w:lang w:eastAsia="en-US"/>
              </w:rPr>
            </w:pPr>
          </w:p>
          <w:p w:rsidR="00F34C1B" w:rsidRPr="00F34C1B" w:rsidRDefault="00F34C1B" w:rsidP="00F34C1B">
            <w:pPr>
              <w:ind w:right="-142"/>
              <w:jc w:val="left"/>
              <w:rPr>
                <w:rFonts w:eastAsia="Calibri" w:cs="Arial"/>
                <w:sz w:val="24"/>
                <w:szCs w:val="24"/>
                <w:lang w:eastAsia="en-US"/>
              </w:rPr>
            </w:pPr>
          </w:p>
        </w:tc>
        <w:tc>
          <w:tcPr>
            <w:tcW w:w="1827"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 FAVOR</w:t>
            </w:r>
          </w:p>
        </w:tc>
        <w:tc>
          <w:tcPr>
            <w:tcW w:w="1676"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EN CONTRA</w:t>
            </w:r>
          </w:p>
        </w:tc>
        <w:tc>
          <w:tcPr>
            <w:tcW w:w="1803" w:type="dxa"/>
            <w:shd w:val="clear" w:color="auto" w:fill="auto"/>
            <w:vAlign w:val="center"/>
          </w:tcPr>
          <w:p w:rsidR="00F34C1B" w:rsidRPr="00F34C1B" w:rsidRDefault="00F34C1B" w:rsidP="00F34C1B">
            <w:pPr>
              <w:jc w:val="center"/>
              <w:rPr>
                <w:rFonts w:eastAsia="Calibri" w:cs="Arial"/>
                <w:b/>
                <w:sz w:val="24"/>
                <w:szCs w:val="24"/>
                <w:lang w:eastAsia="en-US"/>
              </w:rPr>
            </w:pPr>
            <w:r w:rsidRPr="00F34C1B">
              <w:rPr>
                <w:rFonts w:eastAsia="Calibri" w:cs="Arial"/>
                <w:b/>
                <w:sz w:val="24"/>
                <w:szCs w:val="24"/>
                <w:lang w:eastAsia="en-US"/>
              </w:rPr>
              <w:t>ABSTENCIÓN</w:t>
            </w:r>
          </w:p>
        </w:tc>
      </w:tr>
      <w:tr w:rsidR="00F34C1B" w:rsidRPr="00F34C1B" w:rsidTr="003E3C06">
        <w:trPr>
          <w:trHeight w:val="409"/>
          <w:jc w:val="center"/>
        </w:trPr>
        <w:tc>
          <w:tcPr>
            <w:tcW w:w="3483" w:type="dxa"/>
            <w:vMerge/>
            <w:tcBorders>
              <w:bottom w:val="single" w:sz="4" w:space="0" w:color="auto"/>
            </w:tcBorders>
            <w:shd w:val="clear" w:color="auto" w:fill="auto"/>
          </w:tcPr>
          <w:p w:rsidR="00F34C1B" w:rsidRPr="00F34C1B" w:rsidRDefault="00F34C1B" w:rsidP="00F34C1B">
            <w:pPr>
              <w:ind w:right="-142"/>
              <w:jc w:val="left"/>
              <w:rPr>
                <w:rFonts w:eastAsia="Calibri" w:cs="Arial"/>
                <w:b/>
                <w:sz w:val="24"/>
                <w:szCs w:val="24"/>
                <w:lang w:eastAsia="en-US"/>
              </w:rPr>
            </w:pPr>
          </w:p>
        </w:tc>
        <w:tc>
          <w:tcPr>
            <w:tcW w:w="1827" w:type="dxa"/>
            <w:tcBorders>
              <w:top w:val="single" w:sz="4" w:space="0" w:color="auto"/>
              <w:bottom w:val="single" w:sz="4" w:space="0" w:color="auto"/>
              <w:right w:val="single" w:sz="4" w:space="0" w:color="auto"/>
            </w:tcBorders>
            <w:shd w:val="clear" w:color="auto" w:fill="auto"/>
            <w:vAlign w:val="center"/>
          </w:tcPr>
          <w:p w:rsidR="00F34C1B" w:rsidRPr="00F34C1B" w:rsidRDefault="00F34C1B" w:rsidP="00F34C1B">
            <w:pPr>
              <w:jc w:val="center"/>
              <w:rPr>
                <w:rFonts w:eastAsia="Calibri" w:cs="Arial"/>
                <w:b/>
                <w:sz w:val="24"/>
                <w:szCs w:val="24"/>
                <w:lang w:eastAsia="en-US"/>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F34C1B" w:rsidRPr="00F34C1B" w:rsidRDefault="00F34C1B" w:rsidP="00F34C1B">
            <w:pPr>
              <w:jc w:val="center"/>
              <w:rPr>
                <w:rFonts w:eastAsia="Calibri" w:cs="Arial"/>
                <w:b/>
                <w:sz w:val="24"/>
                <w:szCs w:val="24"/>
                <w:lang w:eastAsia="en-US"/>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F34C1B" w:rsidRPr="00F34C1B" w:rsidRDefault="00F34C1B" w:rsidP="00F34C1B">
            <w:pPr>
              <w:jc w:val="center"/>
              <w:rPr>
                <w:rFonts w:eastAsia="Calibri" w:cs="Arial"/>
                <w:b/>
                <w:sz w:val="24"/>
                <w:szCs w:val="24"/>
                <w:lang w:eastAsia="en-US"/>
              </w:rPr>
            </w:pPr>
          </w:p>
        </w:tc>
      </w:tr>
    </w:tbl>
    <w:p w:rsidR="00F34C1B" w:rsidRPr="00F34C1B" w:rsidRDefault="00F34C1B" w:rsidP="00F34C1B">
      <w:pPr>
        <w:rPr>
          <w:rFonts w:eastAsia="Calibri" w:cs="Arial"/>
          <w:sz w:val="24"/>
          <w:szCs w:val="24"/>
          <w:lang w:eastAsia="en-US"/>
        </w:rPr>
      </w:pPr>
    </w:p>
    <w:p w:rsidR="00E7453B" w:rsidRDefault="00E7453B">
      <w:pPr>
        <w:jc w:val="left"/>
        <w:rPr>
          <w:sz w:val="26"/>
          <w:szCs w:val="26"/>
        </w:rPr>
      </w:pPr>
      <w:bookmarkStart w:id="5" w:name="_GoBack"/>
      <w:bookmarkEnd w:id="5"/>
    </w:p>
    <w:sectPr w:rsidR="00E7453B"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FE" w:rsidRDefault="007D14FE">
      <w:r>
        <w:separator/>
      </w:r>
    </w:p>
  </w:endnote>
  <w:endnote w:type="continuationSeparator" w:id="0">
    <w:p w:rsidR="007D14FE" w:rsidRDefault="007D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FE" w:rsidRDefault="007D14FE">
      <w:r>
        <w:separator/>
      </w:r>
    </w:p>
  </w:footnote>
  <w:footnote w:type="continuationSeparator" w:id="0">
    <w:p w:rsidR="007D14FE" w:rsidRDefault="007D1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30085" w:rsidRPr="00D775E4" w:rsidTr="004836C4">
      <w:trPr>
        <w:jc w:val="center"/>
      </w:trPr>
      <w:tc>
        <w:tcPr>
          <w:tcW w:w="1253" w:type="dxa"/>
        </w:tcPr>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p w:rsidR="00630085" w:rsidRPr="00D775E4" w:rsidRDefault="00630085" w:rsidP="00C62362">
          <w:pPr>
            <w:jc w:val="center"/>
            <w:rPr>
              <w:b/>
              <w:bCs/>
              <w:sz w:val="12"/>
            </w:rPr>
          </w:pPr>
        </w:p>
      </w:tc>
      <w:tc>
        <w:tcPr>
          <w:tcW w:w="8623" w:type="dxa"/>
        </w:tcPr>
        <w:p w:rsidR="00630085" w:rsidRPr="00815938" w:rsidRDefault="00630085"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085" w:rsidRPr="002E1219" w:rsidRDefault="00630085"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30085" w:rsidRDefault="00630085"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30085" w:rsidRPr="00530EA8" w:rsidRDefault="00630085" w:rsidP="00A02564">
          <w:pPr>
            <w:pStyle w:val="Encabezado"/>
            <w:tabs>
              <w:tab w:val="clear" w:pos="4252"/>
              <w:tab w:val="left" w:pos="-1528"/>
              <w:tab w:val="center" w:pos="-1386"/>
            </w:tabs>
            <w:jc w:val="center"/>
            <w:rPr>
              <w:rFonts w:cs="Arial"/>
              <w:bCs/>
              <w:smallCaps/>
              <w:spacing w:val="20"/>
              <w:sz w:val="16"/>
              <w:szCs w:val="32"/>
            </w:rPr>
          </w:pPr>
        </w:p>
        <w:p w:rsidR="00630085" w:rsidRPr="00D775B7" w:rsidRDefault="00630085"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630085" w:rsidRPr="00D775E4" w:rsidRDefault="00630085" w:rsidP="00C62362">
          <w:pPr>
            <w:ind w:left="-434" w:right="-672"/>
            <w:jc w:val="center"/>
            <w:rPr>
              <w:b/>
              <w:bCs/>
              <w:sz w:val="12"/>
            </w:rPr>
          </w:pPr>
        </w:p>
      </w:tc>
      <w:tc>
        <w:tcPr>
          <w:tcW w:w="1181" w:type="dxa"/>
        </w:tcPr>
        <w:p w:rsidR="00630085" w:rsidRDefault="00630085" w:rsidP="00C62362">
          <w:pPr>
            <w:jc w:val="center"/>
            <w:rPr>
              <w:b/>
              <w:bCs/>
              <w:sz w:val="12"/>
            </w:rPr>
          </w:pPr>
        </w:p>
        <w:p w:rsidR="00630085" w:rsidRDefault="00630085" w:rsidP="00C62362">
          <w:pPr>
            <w:jc w:val="center"/>
            <w:rPr>
              <w:b/>
              <w:bCs/>
              <w:sz w:val="12"/>
            </w:rPr>
          </w:pPr>
        </w:p>
        <w:p w:rsidR="00630085" w:rsidRPr="00D775E4" w:rsidRDefault="00630085" w:rsidP="00C62362">
          <w:pPr>
            <w:jc w:val="center"/>
            <w:rPr>
              <w:b/>
              <w:bCs/>
              <w:sz w:val="12"/>
            </w:rPr>
          </w:pPr>
        </w:p>
      </w:tc>
    </w:tr>
  </w:tbl>
  <w:p w:rsidR="00630085" w:rsidRPr="00030032" w:rsidRDefault="0063008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BEF4892"/>
    <w:multiLevelType w:val="hybridMultilevel"/>
    <w:tmpl w:val="89E0E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D4A69"/>
    <w:multiLevelType w:val="hybridMultilevel"/>
    <w:tmpl w:val="A5E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427F37"/>
    <w:multiLevelType w:val="multilevel"/>
    <w:tmpl w:val="3C427F37"/>
    <w:lvl w:ilvl="0">
      <w:start w:val="3"/>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B366BB"/>
    <w:multiLevelType w:val="hybridMultilevel"/>
    <w:tmpl w:val="DF541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D3285B"/>
    <w:multiLevelType w:val="hybridMultilevel"/>
    <w:tmpl w:val="CC2C3FE2"/>
    <w:lvl w:ilvl="0" w:tplc="8F1A7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0C7F12"/>
    <w:multiLevelType w:val="hybridMultilevel"/>
    <w:tmpl w:val="5134BFE0"/>
    <w:lvl w:ilvl="0" w:tplc="B202A778">
      <w:start w:val="1"/>
      <w:numFmt w:val="lowerLetter"/>
      <w:lvlText w:val="%1)"/>
      <w:lvlJc w:val="left"/>
      <w:pPr>
        <w:ind w:left="919" w:hanging="465"/>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E20B06"/>
    <w:multiLevelType w:val="hybridMultilevel"/>
    <w:tmpl w:val="40429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0" w15:restartNumberingAfterBreak="0">
    <w:nsid w:val="59CA5720"/>
    <w:multiLevelType w:val="hybridMultilevel"/>
    <w:tmpl w:val="961076D2"/>
    <w:lvl w:ilvl="0" w:tplc="BB16D3F2">
      <w:start w:val="1"/>
      <w:numFmt w:val="upperRoman"/>
      <w:lvlText w:val="%1."/>
      <w:lvlJc w:val="left"/>
      <w:pPr>
        <w:ind w:left="1893" w:hanging="720"/>
      </w:pPr>
      <w:rPr>
        <w:rFonts w:hint="default"/>
      </w:rPr>
    </w:lvl>
    <w:lvl w:ilvl="1" w:tplc="0C0A0019" w:tentative="1">
      <w:start w:val="1"/>
      <w:numFmt w:val="lowerLetter"/>
      <w:lvlText w:val="%2."/>
      <w:lvlJc w:val="left"/>
      <w:pPr>
        <w:ind w:left="2253" w:hanging="360"/>
      </w:pPr>
    </w:lvl>
    <w:lvl w:ilvl="2" w:tplc="0C0A001B" w:tentative="1">
      <w:start w:val="1"/>
      <w:numFmt w:val="lowerRoman"/>
      <w:lvlText w:val="%3."/>
      <w:lvlJc w:val="right"/>
      <w:pPr>
        <w:ind w:left="2973" w:hanging="180"/>
      </w:pPr>
    </w:lvl>
    <w:lvl w:ilvl="3" w:tplc="0C0A000F" w:tentative="1">
      <w:start w:val="1"/>
      <w:numFmt w:val="decimal"/>
      <w:lvlText w:val="%4."/>
      <w:lvlJc w:val="left"/>
      <w:pPr>
        <w:ind w:left="3693" w:hanging="360"/>
      </w:pPr>
    </w:lvl>
    <w:lvl w:ilvl="4" w:tplc="0C0A0019" w:tentative="1">
      <w:start w:val="1"/>
      <w:numFmt w:val="lowerLetter"/>
      <w:lvlText w:val="%5."/>
      <w:lvlJc w:val="left"/>
      <w:pPr>
        <w:ind w:left="4413" w:hanging="360"/>
      </w:pPr>
    </w:lvl>
    <w:lvl w:ilvl="5" w:tplc="0C0A001B" w:tentative="1">
      <w:start w:val="1"/>
      <w:numFmt w:val="lowerRoman"/>
      <w:lvlText w:val="%6."/>
      <w:lvlJc w:val="right"/>
      <w:pPr>
        <w:ind w:left="5133" w:hanging="180"/>
      </w:pPr>
    </w:lvl>
    <w:lvl w:ilvl="6" w:tplc="0C0A000F" w:tentative="1">
      <w:start w:val="1"/>
      <w:numFmt w:val="decimal"/>
      <w:lvlText w:val="%7."/>
      <w:lvlJc w:val="left"/>
      <w:pPr>
        <w:ind w:left="5853" w:hanging="360"/>
      </w:pPr>
    </w:lvl>
    <w:lvl w:ilvl="7" w:tplc="0C0A0019" w:tentative="1">
      <w:start w:val="1"/>
      <w:numFmt w:val="lowerLetter"/>
      <w:lvlText w:val="%8."/>
      <w:lvlJc w:val="left"/>
      <w:pPr>
        <w:ind w:left="6573" w:hanging="360"/>
      </w:pPr>
    </w:lvl>
    <w:lvl w:ilvl="8" w:tplc="0C0A001B" w:tentative="1">
      <w:start w:val="1"/>
      <w:numFmt w:val="lowerRoman"/>
      <w:lvlText w:val="%9."/>
      <w:lvlJc w:val="right"/>
      <w:pPr>
        <w:ind w:left="7293" w:hanging="180"/>
      </w:pPr>
    </w:lvl>
  </w:abstractNum>
  <w:abstractNum w:abstractNumId="21"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F44E19"/>
    <w:multiLevelType w:val="hybridMultilevel"/>
    <w:tmpl w:val="902C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23CC1"/>
    <w:multiLevelType w:val="hybridMultilevel"/>
    <w:tmpl w:val="E8663A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1"/>
  </w:num>
  <w:num w:numId="6">
    <w:abstractNumId w:val="3"/>
  </w:num>
  <w:num w:numId="7">
    <w:abstractNumId w:val="19"/>
  </w:num>
  <w:num w:numId="8">
    <w:abstractNumId w:val="17"/>
  </w:num>
  <w:num w:numId="9">
    <w:abstractNumId w:val="23"/>
  </w:num>
  <w:num w:numId="10">
    <w:abstractNumId w:val="27"/>
  </w:num>
  <w:num w:numId="11">
    <w:abstractNumId w:val="10"/>
  </w:num>
  <w:num w:numId="12">
    <w:abstractNumId w:val="7"/>
  </w:num>
  <w:num w:numId="13">
    <w:abstractNumId w:val="12"/>
  </w:num>
  <w:num w:numId="14">
    <w:abstractNumId w:val="22"/>
  </w:num>
  <w:num w:numId="15">
    <w:abstractNumId w:val="24"/>
  </w:num>
  <w:num w:numId="16">
    <w:abstractNumId w:val="21"/>
  </w:num>
  <w:num w:numId="17">
    <w:abstractNumId w:val="13"/>
  </w:num>
  <w:num w:numId="18">
    <w:abstractNumId w:val="26"/>
  </w:num>
  <w:num w:numId="19">
    <w:abstractNumId w:val="25"/>
  </w:num>
  <w:num w:numId="20">
    <w:abstractNumId w:val="14"/>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16"/>
  </w:num>
  <w:num w:numId="25">
    <w:abstractNumId w:val="8"/>
  </w:num>
  <w:num w:numId="26">
    <w:abstractNumId w:val="28"/>
  </w:num>
  <w:num w:numId="27">
    <w:abstractNumId w:val="4"/>
  </w:num>
  <w:num w:numId="28">
    <w:abstractNumId w:val="29"/>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6AA"/>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0B6"/>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71A2"/>
    <w:rsid w:val="001A77E8"/>
    <w:rsid w:val="001A7AA2"/>
    <w:rsid w:val="001A7ABB"/>
    <w:rsid w:val="001B39D8"/>
    <w:rsid w:val="001B5EDF"/>
    <w:rsid w:val="001B6303"/>
    <w:rsid w:val="001C2191"/>
    <w:rsid w:val="001C4701"/>
    <w:rsid w:val="001C550D"/>
    <w:rsid w:val="001C64D6"/>
    <w:rsid w:val="001D0DC4"/>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26C8"/>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2A5"/>
    <w:rsid w:val="003D16D0"/>
    <w:rsid w:val="003D1AC2"/>
    <w:rsid w:val="003D27EF"/>
    <w:rsid w:val="003D2AFC"/>
    <w:rsid w:val="003D4D45"/>
    <w:rsid w:val="003D51EF"/>
    <w:rsid w:val="003D66BF"/>
    <w:rsid w:val="003D74A5"/>
    <w:rsid w:val="003E2A8B"/>
    <w:rsid w:val="003E3C06"/>
    <w:rsid w:val="003E66A5"/>
    <w:rsid w:val="003F0B94"/>
    <w:rsid w:val="003F6971"/>
    <w:rsid w:val="003F6F7A"/>
    <w:rsid w:val="00401403"/>
    <w:rsid w:val="004018CA"/>
    <w:rsid w:val="00403884"/>
    <w:rsid w:val="00403A46"/>
    <w:rsid w:val="00403E3B"/>
    <w:rsid w:val="00404EFA"/>
    <w:rsid w:val="0040579D"/>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527"/>
    <w:rsid w:val="00487C71"/>
    <w:rsid w:val="004905B0"/>
    <w:rsid w:val="0049288D"/>
    <w:rsid w:val="00492FEF"/>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1EA6"/>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E5E8D"/>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3E6E"/>
    <w:rsid w:val="00614E41"/>
    <w:rsid w:val="00614F67"/>
    <w:rsid w:val="0061545A"/>
    <w:rsid w:val="00616CDE"/>
    <w:rsid w:val="00620D03"/>
    <w:rsid w:val="0062132D"/>
    <w:rsid w:val="006230BD"/>
    <w:rsid w:val="00624B3B"/>
    <w:rsid w:val="0062680B"/>
    <w:rsid w:val="006275E1"/>
    <w:rsid w:val="00630085"/>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1D87"/>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14"/>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14FE"/>
    <w:rsid w:val="007D2112"/>
    <w:rsid w:val="007D2678"/>
    <w:rsid w:val="007D3497"/>
    <w:rsid w:val="007D3D60"/>
    <w:rsid w:val="007D3DB0"/>
    <w:rsid w:val="007D45B8"/>
    <w:rsid w:val="007D4762"/>
    <w:rsid w:val="007D5A54"/>
    <w:rsid w:val="007D6918"/>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50C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42D3"/>
    <w:rsid w:val="009F63FA"/>
    <w:rsid w:val="009F63FE"/>
    <w:rsid w:val="009F64B2"/>
    <w:rsid w:val="00A0069A"/>
    <w:rsid w:val="00A008EF"/>
    <w:rsid w:val="00A02564"/>
    <w:rsid w:val="00A0417D"/>
    <w:rsid w:val="00A05272"/>
    <w:rsid w:val="00A05BE1"/>
    <w:rsid w:val="00A062CB"/>
    <w:rsid w:val="00A10FB9"/>
    <w:rsid w:val="00A11938"/>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4757"/>
    <w:rsid w:val="00A552F0"/>
    <w:rsid w:val="00A55765"/>
    <w:rsid w:val="00A56957"/>
    <w:rsid w:val="00A61584"/>
    <w:rsid w:val="00A6293E"/>
    <w:rsid w:val="00A655F5"/>
    <w:rsid w:val="00A659E1"/>
    <w:rsid w:val="00A66844"/>
    <w:rsid w:val="00A67EE4"/>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2B01"/>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2B82"/>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11A"/>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0CCB"/>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1C1"/>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53B"/>
    <w:rsid w:val="00E74718"/>
    <w:rsid w:val="00E74B27"/>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2E74"/>
    <w:rsid w:val="00F136C7"/>
    <w:rsid w:val="00F136D7"/>
    <w:rsid w:val="00F1516F"/>
    <w:rsid w:val="00F1604D"/>
    <w:rsid w:val="00F17D39"/>
    <w:rsid w:val="00F25AB5"/>
    <w:rsid w:val="00F27204"/>
    <w:rsid w:val="00F279EC"/>
    <w:rsid w:val="00F303C4"/>
    <w:rsid w:val="00F31A7B"/>
    <w:rsid w:val="00F3347A"/>
    <w:rsid w:val="00F34A43"/>
    <w:rsid w:val="00F34C1B"/>
    <w:rsid w:val="00F40023"/>
    <w:rsid w:val="00F40A2C"/>
    <w:rsid w:val="00F40DED"/>
    <w:rsid w:val="00F41743"/>
    <w:rsid w:val="00F4263E"/>
    <w:rsid w:val="00F440C3"/>
    <w:rsid w:val="00F51851"/>
    <w:rsid w:val="00F53ABB"/>
    <w:rsid w:val="00F53FDD"/>
    <w:rsid w:val="00F623B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60BF"/>
    <w:rsid w:val="00FA6FC3"/>
    <w:rsid w:val="00FA7762"/>
    <w:rsid w:val="00FB0D93"/>
    <w:rsid w:val="00FB27D0"/>
    <w:rsid w:val="00FB281E"/>
    <w:rsid w:val="00FB287E"/>
    <w:rsid w:val="00FB2BF8"/>
    <w:rsid w:val="00FB3187"/>
    <w:rsid w:val="00FB3930"/>
    <w:rsid w:val="00FB3F30"/>
    <w:rsid w:val="00FB5D12"/>
    <w:rsid w:val="00FB63F6"/>
    <w:rsid w:val="00FC10D2"/>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DE4C2"/>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F34C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aconcuadrcula6">
    <w:name w:val="Tabla con cuadrícula6"/>
    <w:basedOn w:val="Tablanormal"/>
    <w:next w:val="Tablaconcuadrcula"/>
    <w:uiPriority w:val="39"/>
    <w:rsid w:val="008350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350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34C1B"/>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99"/>
    <w:unhideWhenUsed/>
    <w:rsid w:val="00F34C1B"/>
    <w:pPr>
      <w:spacing w:after="120"/>
    </w:pPr>
  </w:style>
  <w:style w:type="character" w:customStyle="1" w:styleId="TextoindependienteCar">
    <w:name w:val="Texto independiente Car"/>
    <w:basedOn w:val="Fuentedeprrafopredeter"/>
    <w:link w:val="Textoindependiente"/>
    <w:uiPriority w:val="99"/>
    <w:rsid w:val="00F34C1B"/>
    <w:rPr>
      <w:rFonts w:ascii="Arial" w:hAnsi="Arial"/>
      <w:lang w:eastAsia="es-ES"/>
    </w:rPr>
  </w:style>
  <w:style w:type="paragraph" w:styleId="Textonotapie">
    <w:name w:val="footnote text"/>
    <w:basedOn w:val="Normal"/>
    <w:link w:val="TextonotapieCar"/>
    <w:uiPriority w:val="99"/>
    <w:semiHidden/>
    <w:unhideWhenUsed/>
    <w:rsid w:val="00E7453B"/>
  </w:style>
  <w:style w:type="character" w:customStyle="1" w:styleId="TextonotapieCar">
    <w:name w:val="Texto nota pie Car"/>
    <w:basedOn w:val="Fuentedeprrafopredeter"/>
    <w:link w:val="Textonotapie"/>
    <w:uiPriority w:val="99"/>
    <w:semiHidden/>
    <w:rsid w:val="00E7453B"/>
    <w:rPr>
      <w:rFonts w:ascii="Arial" w:hAnsi="Arial"/>
      <w:lang w:eastAsia="es-ES"/>
    </w:rPr>
  </w:style>
  <w:style w:type="character" w:styleId="Refdenotaalpie">
    <w:name w:val="footnote reference"/>
    <w:uiPriority w:val="99"/>
    <w:unhideWhenUsed/>
    <w:rsid w:val="00E7453B"/>
    <w:rPr>
      <w:vertAlign w:val="superscript"/>
    </w:rPr>
  </w:style>
  <w:style w:type="table" w:customStyle="1" w:styleId="Tablaconcuadrcula1">
    <w:name w:val="Tabla con cuadrícula1"/>
    <w:basedOn w:val="Tablanormal"/>
    <w:next w:val="Tablaconcuadrcula"/>
    <w:uiPriority w:val="39"/>
    <w:rsid w:val="00E745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745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745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7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5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A5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D69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D69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D69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651D8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51D87"/>
    <w:rPr>
      <w:rFonts w:ascii="Arial" w:hAnsi="Arial"/>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3DD7-F85E-441B-BFCE-7AC20D9D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1883</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2019-09-17T19:13:00Z</cp:lastPrinted>
  <dcterms:created xsi:type="dcterms:W3CDTF">2019-09-24T14:53:00Z</dcterms:created>
  <dcterms:modified xsi:type="dcterms:W3CDTF">2019-09-24T15:43:00Z</dcterms:modified>
</cp:coreProperties>
</file>