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5B" w:rsidRPr="00AB6802" w:rsidRDefault="003F06EE" w:rsidP="00FB1B5B">
      <w:pPr>
        <w:widowControl w:val="0"/>
        <w:rPr>
          <w:rFonts w:cs="Arial"/>
          <w:b/>
          <w:snapToGrid w:val="0"/>
          <w:sz w:val="26"/>
          <w:szCs w:val="26"/>
        </w:rPr>
      </w:pPr>
      <w:r>
        <w:rPr>
          <w:rFonts w:cs="Arial"/>
          <w:b/>
          <w:snapToGrid w:val="0"/>
          <w:sz w:val="26"/>
          <w:szCs w:val="26"/>
        </w:rPr>
        <w:t xml:space="preserve">Dictámenes y Acuerdos correspondientes a la </w:t>
      </w:r>
      <w:r w:rsidR="00FB1B5B" w:rsidRPr="00AB6802">
        <w:rPr>
          <w:rFonts w:cs="Arial"/>
          <w:b/>
          <w:snapToGrid w:val="0"/>
          <w:sz w:val="26"/>
          <w:szCs w:val="26"/>
        </w:rPr>
        <w:t>Sexta Sesión del Segundo Período Ordinario de Sesiones, del Segundo Año de Ejercicio Constitucional de la Sexagésima Primera Legislatura del Congreso del Estado Independiente, Libre y Soberano de Coahuila de Zaragoza.</w:t>
      </w:r>
    </w:p>
    <w:p w:rsidR="00FB1B5B" w:rsidRPr="00AB6802" w:rsidRDefault="00FB1B5B" w:rsidP="00FB1B5B">
      <w:pPr>
        <w:widowControl w:val="0"/>
        <w:rPr>
          <w:rFonts w:cs="Arial"/>
          <w:b/>
          <w:snapToGrid w:val="0"/>
          <w:sz w:val="26"/>
          <w:szCs w:val="26"/>
        </w:rPr>
      </w:pPr>
    </w:p>
    <w:p w:rsidR="00FB1B5B" w:rsidRPr="00AB6802" w:rsidRDefault="00FB1B5B" w:rsidP="00FB1B5B">
      <w:pPr>
        <w:widowControl w:val="0"/>
        <w:jc w:val="center"/>
        <w:rPr>
          <w:rFonts w:cs="Arial"/>
          <w:b/>
          <w:snapToGrid w:val="0"/>
          <w:sz w:val="26"/>
          <w:szCs w:val="26"/>
        </w:rPr>
      </w:pPr>
      <w:r w:rsidRPr="00AB6802">
        <w:rPr>
          <w:rFonts w:cs="Arial"/>
          <w:b/>
          <w:snapToGrid w:val="0"/>
          <w:sz w:val="26"/>
          <w:szCs w:val="26"/>
        </w:rPr>
        <w:t>16 de octubre del año 2019.</w:t>
      </w:r>
    </w:p>
    <w:p w:rsidR="00FB1B5B" w:rsidRPr="00AB6802" w:rsidRDefault="00FB1B5B" w:rsidP="00FB1B5B">
      <w:pPr>
        <w:widowControl w:val="0"/>
        <w:rPr>
          <w:rFonts w:cs="Arial"/>
          <w:b/>
          <w:snapToGrid w:val="0"/>
          <w:sz w:val="26"/>
          <w:szCs w:val="26"/>
        </w:rPr>
      </w:pPr>
    </w:p>
    <w:p w:rsidR="00FB1B5B" w:rsidRPr="00AB6802" w:rsidRDefault="00FB1B5B" w:rsidP="00FB1B5B">
      <w:pPr>
        <w:ind w:firstLine="708"/>
        <w:rPr>
          <w:rFonts w:cs="Arial"/>
          <w:sz w:val="26"/>
          <w:szCs w:val="26"/>
        </w:rPr>
      </w:pPr>
      <w:r w:rsidRPr="00AB6802">
        <w:rPr>
          <w:rFonts w:cs="Arial"/>
          <w:sz w:val="26"/>
          <w:szCs w:val="26"/>
        </w:rPr>
        <w:t>Lectura, discusión y, en su caso, aprobación de Dictámenes en cartera:</w:t>
      </w:r>
    </w:p>
    <w:p w:rsidR="00FB1B5B" w:rsidRPr="00AB6802" w:rsidRDefault="00FB1B5B" w:rsidP="00FB1B5B">
      <w:pPr>
        <w:ind w:firstLine="709"/>
        <w:rPr>
          <w:rFonts w:eastAsia="Calibri" w:cs="Arial"/>
          <w:b/>
          <w:color w:val="000000"/>
          <w:sz w:val="26"/>
          <w:szCs w:val="26"/>
        </w:rPr>
      </w:pPr>
    </w:p>
    <w:p w:rsidR="00FB1B5B" w:rsidRPr="00AB6802" w:rsidRDefault="00FB1B5B" w:rsidP="00FB1B5B">
      <w:pPr>
        <w:ind w:firstLine="709"/>
        <w:rPr>
          <w:rFonts w:cs="Arial"/>
          <w:color w:val="000000"/>
          <w:sz w:val="26"/>
          <w:szCs w:val="26"/>
        </w:rPr>
      </w:pPr>
      <w:r w:rsidRPr="00AB6802">
        <w:rPr>
          <w:rFonts w:eastAsia="Calibri" w:cs="Arial"/>
          <w:b/>
          <w:color w:val="000000"/>
          <w:sz w:val="26"/>
          <w:szCs w:val="26"/>
        </w:rPr>
        <w:t>A.-</w:t>
      </w:r>
      <w:r w:rsidRPr="00AB6802">
        <w:rPr>
          <w:rFonts w:eastAsia="Calibri" w:cs="Arial"/>
          <w:color w:val="000000"/>
          <w:sz w:val="26"/>
          <w:szCs w:val="26"/>
        </w:rPr>
        <w:t xml:space="preserve"> Dictamen presentado por las Comisiones Unidas de Gobernación, Puntos Constitucionales y Justicia, y de la Defensa de los Derechos Humanos, relativo a la </w:t>
      </w:r>
      <w:r w:rsidRPr="00AB6802">
        <w:rPr>
          <w:rFonts w:cs="Arial"/>
          <w:sz w:val="26"/>
          <w:szCs w:val="26"/>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AB6802">
        <w:rPr>
          <w:rFonts w:cs="Arial"/>
          <w:sz w:val="26"/>
          <w:szCs w:val="26"/>
        </w:rPr>
        <w:t>, suscrita por el Diputado Jesús Andrés Loya Cardona, del Grupo Parlamentario “Gral. Andrés. S. Viesca.” Del Partido Revolucionario Institucional</w:t>
      </w:r>
      <w:r w:rsidRPr="00AB6802">
        <w:rPr>
          <w:rFonts w:cs="Arial"/>
          <w:color w:val="000000"/>
          <w:sz w:val="26"/>
          <w:szCs w:val="26"/>
        </w:rPr>
        <w:t>.</w:t>
      </w:r>
    </w:p>
    <w:p w:rsidR="00FB1B5B" w:rsidRPr="00AB6802" w:rsidRDefault="00FB1B5B" w:rsidP="00FB1B5B">
      <w:pPr>
        <w:ind w:firstLine="709"/>
        <w:rPr>
          <w:rFonts w:cs="Arial"/>
          <w:b/>
          <w:sz w:val="26"/>
          <w:szCs w:val="26"/>
          <w:lang w:eastAsia="es-MX"/>
        </w:rPr>
      </w:pPr>
    </w:p>
    <w:p w:rsidR="00FB1B5B" w:rsidRPr="00AB6802" w:rsidRDefault="00FB1B5B" w:rsidP="00FB1B5B">
      <w:pPr>
        <w:rPr>
          <w:rFonts w:cs="Arial"/>
          <w:sz w:val="26"/>
          <w:szCs w:val="26"/>
          <w:lang w:eastAsia="es-MX"/>
        </w:rPr>
      </w:pPr>
      <w:r w:rsidRPr="00AB6802">
        <w:rPr>
          <w:rFonts w:cs="Arial"/>
          <w:b/>
          <w:sz w:val="26"/>
          <w:szCs w:val="26"/>
          <w:lang w:eastAsia="es-MX"/>
        </w:rPr>
        <w:tab/>
        <w:t xml:space="preserve">B.- </w:t>
      </w:r>
      <w:r w:rsidRPr="00AB6802">
        <w:rPr>
          <w:rFonts w:cs="Arial"/>
          <w:sz w:val="26"/>
          <w:szCs w:val="26"/>
          <w:lang w:eastAsia="es-MX"/>
        </w:rPr>
        <w:t>Dictamen presentado por la Comisión de Desarrollo Urbano, Infraestructura y Transporte, con relación a diversas Iniciativas con Proyecto de Decreto por el que se reforman diversas disposiciones de la Ley de Transporte y Movilidad Sustentable para el Estado de Coahuila, planteadas por los Diputados Gerardo Abraham Aguado Gómez y Edgar Gerardo Sánchez Garza.</w:t>
      </w:r>
    </w:p>
    <w:p w:rsidR="00FB1B5B" w:rsidRPr="00AB6802" w:rsidRDefault="00FB1B5B" w:rsidP="00FB1B5B">
      <w:pPr>
        <w:rPr>
          <w:rFonts w:cs="Arial"/>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 xml:space="preserve">C.- </w:t>
      </w:r>
      <w:r w:rsidRPr="00AB6802">
        <w:rPr>
          <w:rFonts w:cs="Arial"/>
          <w:sz w:val="26"/>
          <w:szCs w:val="26"/>
          <w:lang w:eastAsia="es-MX"/>
        </w:rPr>
        <w:t xml:space="preserve">Acuerdo de la Comisión de Gobernación, Puntos Constitucionales y Justicia, relativo a la iniciativa popular </w:t>
      </w:r>
      <w:r w:rsidRPr="00AB6802">
        <w:rPr>
          <w:rFonts w:cs="Arial"/>
          <w:sz w:val="26"/>
          <w:szCs w:val="26"/>
        </w:rPr>
        <w:t>para reformar el artículo 58 del Código Electoral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8"/>
        <w:rPr>
          <w:rFonts w:cs="Arial"/>
          <w:b/>
          <w:sz w:val="26"/>
          <w:szCs w:val="26"/>
          <w:lang w:eastAsia="es-MX"/>
        </w:rPr>
      </w:pPr>
      <w:r w:rsidRPr="00AB6802">
        <w:rPr>
          <w:rFonts w:cs="Arial"/>
          <w:b/>
          <w:sz w:val="26"/>
          <w:szCs w:val="26"/>
          <w:lang w:eastAsia="es-MX"/>
        </w:rPr>
        <w:t>D.-</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Código Fiscal para el Estado de Coahuila de Zaragoza, al Código Financiero para los Municipios del Estado de Coahuila de Zaragoza y a la Ley de Desarrollo Económico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t>E.-</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 xml:space="preserve">mediante la cual se plantea una reforma al artículo 188 y una adición de los artículos 188 Bis, 188 Ter, 188 Quater y 188 </w:t>
      </w:r>
      <w:r w:rsidRPr="00AB6802">
        <w:rPr>
          <w:rFonts w:cs="Arial"/>
          <w:sz w:val="26"/>
          <w:szCs w:val="26"/>
        </w:rPr>
        <w:lastRenderedPageBreak/>
        <w:t>Quinquies del Código Penal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9"/>
        <w:rPr>
          <w:rFonts w:cs="Arial"/>
          <w:sz w:val="26"/>
          <w:szCs w:val="26"/>
          <w:lang w:eastAsia="es-MX"/>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t>F.-</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23 de la Ley de Adquisiciones, Arrendamientos y Contratación de Servicios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9"/>
        <w:rPr>
          <w:rFonts w:cs="Arial"/>
          <w:b/>
          <w:sz w:val="26"/>
          <w:szCs w:val="26"/>
          <w:lang w:eastAsia="es-MX"/>
        </w:rPr>
      </w:pPr>
    </w:p>
    <w:p w:rsidR="00FB1B5B" w:rsidRPr="00AB6802" w:rsidRDefault="00FB1B5B" w:rsidP="00FB1B5B">
      <w:pPr>
        <w:ind w:firstLine="708"/>
        <w:rPr>
          <w:rFonts w:cs="Arial"/>
          <w:b/>
          <w:sz w:val="26"/>
          <w:szCs w:val="26"/>
          <w:lang w:eastAsia="es-MX"/>
        </w:rPr>
      </w:pPr>
      <w:r w:rsidRPr="00AB6802">
        <w:rPr>
          <w:rFonts w:cs="Arial"/>
          <w:b/>
          <w:sz w:val="26"/>
          <w:szCs w:val="26"/>
          <w:lang w:eastAsia="es-MX"/>
        </w:rPr>
        <w:t>G.-</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86 de la Ley del Equilibrio Ecológico y Protección al Ambiente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9"/>
        <w:rPr>
          <w:rFonts w:cs="Arial"/>
          <w:b/>
          <w:sz w:val="26"/>
          <w:szCs w:val="26"/>
          <w:lang w:eastAsia="es-MX"/>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t>H.-</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156 bis y 156 quater de la Ley del Equilibrio Ecológico y Protección al Ambiente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b/>
          <w:sz w:val="26"/>
          <w:szCs w:val="26"/>
          <w:lang w:eastAsia="es-MX"/>
        </w:rPr>
      </w:pPr>
    </w:p>
    <w:p w:rsidR="00FB1B5B" w:rsidRPr="00AB6802" w:rsidRDefault="00FB1B5B" w:rsidP="00FB1B5B">
      <w:pPr>
        <w:ind w:firstLine="708"/>
        <w:rPr>
          <w:rFonts w:cs="Arial"/>
          <w:sz w:val="26"/>
          <w:szCs w:val="26"/>
          <w:lang w:eastAsia="es-MX"/>
        </w:rPr>
      </w:pPr>
      <w:r w:rsidRPr="00AB6802">
        <w:rPr>
          <w:rFonts w:cs="Arial"/>
          <w:b/>
          <w:sz w:val="26"/>
          <w:szCs w:val="26"/>
          <w:lang w:eastAsia="es-MX"/>
        </w:rPr>
        <w:t>I.-</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183 de la Ley del Equilibrio Ecológico y Protección al Ambiente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8"/>
        <w:rPr>
          <w:rFonts w:cs="Arial"/>
          <w:b/>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J-</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los artículos 30 y 31 de la Ley de Hacienda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b/>
          <w:sz w:val="26"/>
          <w:szCs w:val="26"/>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K.-</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114 de la Ley de Hacienda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8"/>
        <w:rPr>
          <w:rFonts w:cs="Arial"/>
          <w:sz w:val="26"/>
          <w:szCs w:val="26"/>
        </w:rPr>
      </w:pPr>
      <w:r w:rsidRPr="00AB6802">
        <w:rPr>
          <w:rFonts w:cs="Arial"/>
          <w:b/>
          <w:sz w:val="26"/>
          <w:szCs w:val="26"/>
          <w:lang w:eastAsia="es-MX"/>
        </w:rPr>
        <w:t>L.-</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de Prevención del Suicidio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lastRenderedPageBreak/>
        <w:t>M.-</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20 de la Ley de Protección y Trato Digno a los Animales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N.-</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Estatal de Educación</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b/>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Ñ.-</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Orgánica de la Fiscalía General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O.-</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para el Desarrollo Integral de la Juventud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3F06EE" w:rsidRDefault="003F06EE">
      <w:pPr>
        <w:jc w:val="left"/>
        <w:rPr>
          <w:rFonts w:cs="Arial"/>
          <w:b/>
          <w:sz w:val="26"/>
          <w:szCs w:val="26"/>
        </w:rPr>
      </w:pPr>
      <w:r>
        <w:rPr>
          <w:rFonts w:cs="Arial"/>
          <w:b/>
          <w:sz w:val="26"/>
          <w:szCs w:val="26"/>
        </w:rPr>
        <w:br w:type="page"/>
      </w:r>
    </w:p>
    <w:p w:rsidR="00FB1B5B" w:rsidRPr="00AB6802" w:rsidRDefault="00FB1B5B" w:rsidP="00FB1B5B">
      <w:pPr>
        <w:shd w:val="clear" w:color="auto" w:fill="FFFFFF"/>
        <w:rPr>
          <w:rFonts w:cs="Arial"/>
          <w:b/>
          <w:sz w:val="26"/>
          <w:szCs w:val="26"/>
        </w:rPr>
      </w:pPr>
      <w:bookmarkStart w:id="0" w:name="_GoBack"/>
      <w:bookmarkEnd w:id="0"/>
    </w:p>
    <w:p w:rsidR="00463637" w:rsidRPr="00463637" w:rsidRDefault="00463637" w:rsidP="00463637">
      <w:pPr>
        <w:spacing w:line="360" w:lineRule="auto"/>
        <w:rPr>
          <w:rFonts w:eastAsia="Calibri" w:cs="Arial"/>
          <w:sz w:val="24"/>
          <w:szCs w:val="24"/>
          <w:lang w:eastAsia="en-US"/>
        </w:rPr>
      </w:pPr>
      <w:r w:rsidRPr="00463637">
        <w:rPr>
          <w:rFonts w:eastAsia="Calibri" w:cs="Arial"/>
          <w:b/>
          <w:color w:val="000000"/>
          <w:sz w:val="24"/>
          <w:szCs w:val="24"/>
          <w:lang w:eastAsia="en-US"/>
        </w:rPr>
        <w:t xml:space="preserve">Dictamen </w:t>
      </w:r>
      <w:r w:rsidRPr="00463637">
        <w:rPr>
          <w:rFonts w:eastAsia="Calibri" w:cs="Arial"/>
          <w:color w:val="000000"/>
          <w:sz w:val="24"/>
          <w:szCs w:val="24"/>
          <w:lang w:eastAsia="en-US"/>
        </w:rPr>
        <w:t xml:space="preserve">de las Comisiones Unidas de Gobernación, Puntos Constitucionales y Justicia, y de la Defensa de los Derechos Humanos, de la Sexagésima Primera Legislatura del Congreso del Estado Independiente, Libre y Soberano de Coahuila de Zaragoza, relativo a la </w:t>
      </w:r>
      <w:r w:rsidRPr="00463637">
        <w:rPr>
          <w:rFonts w:eastAsia="Calibri" w:cs="Arial"/>
          <w:sz w:val="24"/>
          <w:szCs w:val="24"/>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463637">
        <w:rPr>
          <w:rFonts w:eastAsia="Calibri" w:cs="Arial"/>
          <w:sz w:val="24"/>
          <w:szCs w:val="24"/>
          <w:lang w:eastAsia="en-US"/>
        </w:rPr>
        <w:t>, suscrita por el Diputado Jesús Andrés Loya Cardona, del Grupo Parlamentario “Gral. Andrés. S. Viesca.” Del Partido Revolucionario Institucional</w:t>
      </w:r>
      <w:r w:rsidRPr="00463637">
        <w:rPr>
          <w:rFonts w:eastAsia="Calibri" w:cs="Arial"/>
          <w:color w:val="000000"/>
          <w:sz w:val="24"/>
          <w:szCs w:val="24"/>
          <w:lang w:eastAsia="en-US"/>
        </w:rPr>
        <w:t>, y;</w:t>
      </w:r>
    </w:p>
    <w:p w:rsidR="00463637" w:rsidRPr="00463637" w:rsidRDefault="00463637" w:rsidP="00463637">
      <w:pPr>
        <w:autoSpaceDE w:val="0"/>
        <w:autoSpaceDN w:val="0"/>
        <w:adjustRightInd w:val="0"/>
        <w:spacing w:line="360" w:lineRule="auto"/>
        <w:rPr>
          <w:rFonts w:eastAsia="Calibri" w:cs="Arial"/>
          <w:color w:val="000000"/>
          <w:sz w:val="24"/>
          <w:szCs w:val="24"/>
          <w:lang w:eastAsia="en-US"/>
        </w:rPr>
      </w:pPr>
    </w:p>
    <w:p w:rsidR="00463637" w:rsidRPr="00463637" w:rsidRDefault="00463637" w:rsidP="00463637">
      <w:pPr>
        <w:keepNext/>
        <w:spacing w:before="240" w:after="60" w:line="360" w:lineRule="auto"/>
        <w:jc w:val="center"/>
        <w:outlineLvl w:val="3"/>
        <w:rPr>
          <w:rFonts w:cs="Arial"/>
          <w:b/>
          <w:bCs/>
          <w:sz w:val="24"/>
          <w:szCs w:val="24"/>
        </w:rPr>
      </w:pPr>
      <w:r w:rsidRPr="00463637">
        <w:rPr>
          <w:rFonts w:cs="Arial"/>
          <w:b/>
          <w:bCs/>
          <w:sz w:val="24"/>
          <w:szCs w:val="24"/>
        </w:rPr>
        <w:t>R E S U L T A N D O</w:t>
      </w:r>
    </w:p>
    <w:p w:rsidR="00463637" w:rsidRPr="00463637" w:rsidRDefault="00463637" w:rsidP="00463637">
      <w:pPr>
        <w:jc w:val="left"/>
        <w:rPr>
          <w:rFonts w:eastAsia="Calibri" w:cs="Arial"/>
          <w:sz w:val="24"/>
          <w:szCs w:val="24"/>
        </w:rPr>
      </w:pPr>
    </w:p>
    <w:p w:rsidR="00463637" w:rsidRPr="00463637" w:rsidRDefault="00463637" w:rsidP="00463637">
      <w:pPr>
        <w:spacing w:line="360" w:lineRule="auto"/>
        <w:rPr>
          <w:rFonts w:cs="Arial"/>
          <w:sz w:val="24"/>
          <w:szCs w:val="24"/>
        </w:rPr>
      </w:pPr>
      <w:r w:rsidRPr="00463637">
        <w:rPr>
          <w:rFonts w:cs="Arial"/>
          <w:b/>
          <w:sz w:val="24"/>
          <w:szCs w:val="24"/>
        </w:rPr>
        <w:t xml:space="preserve">PRIMERO.- </w:t>
      </w:r>
      <w:r w:rsidRPr="00463637">
        <w:rPr>
          <w:rFonts w:cs="Arial"/>
          <w:sz w:val="24"/>
          <w:szCs w:val="24"/>
        </w:rPr>
        <w:t xml:space="preserve">Que en sesión celebrada por el Pleno del Congreso el día </w:t>
      </w:r>
      <w:r w:rsidRPr="00463637">
        <w:rPr>
          <w:rFonts w:eastAsia="Calibri" w:cs="Arial"/>
          <w:color w:val="000000"/>
          <w:sz w:val="24"/>
          <w:szCs w:val="24"/>
          <w:lang w:eastAsia="en-US"/>
        </w:rPr>
        <w:t>30 de abril del año 2019,</w:t>
      </w:r>
      <w:r w:rsidRPr="00463637">
        <w:rPr>
          <w:rFonts w:cs="Arial"/>
          <w:sz w:val="24"/>
          <w:szCs w:val="24"/>
        </w:rPr>
        <w:t xml:space="preserve">se acordó turnar a estas Comisiones Unidas de </w:t>
      </w:r>
      <w:r w:rsidRPr="00463637">
        <w:rPr>
          <w:rFonts w:eastAsia="Calibri" w:cs="Arial"/>
          <w:color w:val="000000"/>
          <w:sz w:val="24"/>
          <w:szCs w:val="24"/>
          <w:lang w:eastAsia="en-US"/>
        </w:rPr>
        <w:t>Gobernación, Puntos Constitucionales y Justicia</w:t>
      </w:r>
      <w:r w:rsidRPr="00463637">
        <w:rPr>
          <w:rFonts w:cs="Arial"/>
          <w:sz w:val="24"/>
          <w:szCs w:val="24"/>
        </w:rPr>
        <w:t>, y de Defensa de los Derechos Humanos, la iniciativa a que se ha hecho referencia.</w:t>
      </w:r>
    </w:p>
    <w:p w:rsidR="00463637" w:rsidRPr="00463637" w:rsidRDefault="00463637" w:rsidP="00463637">
      <w:pPr>
        <w:jc w:val="left"/>
        <w:rPr>
          <w:rFonts w:eastAsia="Calibri" w:cs="Arial"/>
          <w:sz w:val="24"/>
          <w:szCs w:val="24"/>
          <w:lang w:eastAsia="en-US"/>
        </w:rPr>
      </w:pPr>
    </w:p>
    <w:p w:rsidR="00463637" w:rsidRPr="00463637" w:rsidRDefault="00463637" w:rsidP="00463637">
      <w:pPr>
        <w:spacing w:line="360" w:lineRule="auto"/>
        <w:rPr>
          <w:rFonts w:cs="Arial"/>
          <w:sz w:val="24"/>
          <w:szCs w:val="24"/>
        </w:rPr>
      </w:pPr>
      <w:r w:rsidRPr="00463637">
        <w:rPr>
          <w:rFonts w:cs="Arial"/>
          <w:b/>
          <w:sz w:val="24"/>
          <w:szCs w:val="24"/>
        </w:rPr>
        <w:t xml:space="preserve">SEGUNDO.- </w:t>
      </w:r>
      <w:r w:rsidRPr="00463637">
        <w:rPr>
          <w:rFonts w:cs="Arial"/>
          <w:sz w:val="24"/>
          <w:szCs w:val="24"/>
        </w:rPr>
        <w:t xml:space="preserve">Que en cumplimiento de dicho acuerdo, se turnó a estas Comisiones Unidas de </w:t>
      </w:r>
      <w:r w:rsidRPr="00463637">
        <w:rPr>
          <w:rFonts w:eastAsia="Calibri" w:cs="Arial"/>
          <w:color w:val="000000"/>
          <w:sz w:val="24"/>
          <w:szCs w:val="24"/>
          <w:lang w:eastAsia="en-US"/>
        </w:rPr>
        <w:t xml:space="preserve">Gobernación, Puntos Constitucionales y Justicia, y de la Defensa de los Derechos Humanos la </w:t>
      </w:r>
      <w:r w:rsidRPr="00463637">
        <w:rPr>
          <w:rFonts w:eastAsia="Calibri" w:cs="Arial"/>
          <w:sz w:val="24"/>
          <w:szCs w:val="24"/>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463637">
        <w:rPr>
          <w:rFonts w:eastAsia="Calibri" w:cs="Arial"/>
          <w:sz w:val="24"/>
          <w:szCs w:val="24"/>
          <w:lang w:eastAsia="en-US"/>
        </w:rPr>
        <w:t>, suscrita por el Diputado Jesús Andrés Loya Cardona, del Grupo Parlamentario “Gral. Andrés. S. Viesca.” Del Partido Revolucionario Institucional</w:t>
      </w:r>
      <w:r w:rsidRPr="00463637">
        <w:rPr>
          <w:rFonts w:eastAsia="Calibri" w:cs="Arial"/>
          <w:color w:val="000000"/>
          <w:sz w:val="24"/>
          <w:szCs w:val="24"/>
          <w:lang w:eastAsia="en-US"/>
        </w:rPr>
        <w:t xml:space="preserve">, </w:t>
      </w:r>
      <w:r w:rsidRPr="00463637">
        <w:rPr>
          <w:rFonts w:cs="Arial"/>
          <w:sz w:val="24"/>
          <w:szCs w:val="24"/>
        </w:rPr>
        <w:t xml:space="preserve">y;  </w:t>
      </w:r>
    </w:p>
    <w:p w:rsidR="00463637" w:rsidRPr="00463637" w:rsidRDefault="00463637" w:rsidP="00463637">
      <w:pPr>
        <w:jc w:val="left"/>
        <w:rPr>
          <w:rFonts w:eastAsia="Calibri" w:cs="Arial"/>
          <w:sz w:val="24"/>
          <w:szCs w:val="24"/>
          <w:lang w:eastAsia="en-US"/>
        </w:rPr>
      </w:pPr>
    </w:p>
    <w:p w:rsidR="00463637" w:rsidRPr="00463637" w:rsidRDefault="00463637" w:rsidP="00463637">
      <w:pPr>
        <w:jc w:val="left"/>
        <w:rPr>
          <w:rFonts w:eastAsia="Calibri" w:cs="Arial"/>
          <w:sz w:val="24"/>
          <w:szCs w:val="24"/>
        </w:rPr>
      </w:pPr>
    </w:p>
    <w:p w:rsidR="00463637" w:rsidRPr="00463637" w:rsidRDefault="00463637" w:rsidP="00463637">
      <w:pPr>
        <w:spacing w:line="360" w:lineRule="auto"/>
        <w:jc w:val="center"/>
        <w:rPr>
          <w:rFonts w:cs="Arial"/>
          <w:b/>
          <w:sz w:val="24"/>
          <w:szCs w:val="24"/>
        </w:rPr>
      </w:pPr>
      <w:r w:rsidRPr="00463637">
        <w:rPr>
          <w:rFonts w:cs="Arial"/>
          <w:b/>
          <w:sz w:val="24"/>
          <w:szCs w:val="24"/>
        </w:rPr>
        <w:lastRenderedPageBreak/>
        <w:t>C O N S I D E R A N D O</w:t>
      </w:r>
    </w:p>
    <w:p w:rsidR="00463637" w:rsidRPr="00463637" w:rsidRDefault="00463637" w:rsidP="00463637">
      <w:pPr>
        <w:jc w:val="left"/>
        <w:rPr>
          <w:rFonts w:eastAsia="Calibri" w:cs="Arial"/>
          <w:sz w:val="24"/>
          <w:szCs w:val="24"/>
        </w:rPr>
      </w:pPr>
    </w:p>
    <w:p w:rsidR="00463637" w:rsidRPr="00463637" w:rsidRDefault="00463637" w:rsidP="00463637">
      <w:pPr>
        <w:spacing w:line="360" w:lineRule="auto"/>
        <w:rPr>
          <w:rFonts w:cs="Arial"/>
          <w:sz w:val="24"/>
          <w:szCs w:val="24"/>
        </w:rPr>
      </w:pPr>
      <w:r w:rsidRPr="00463637">
        <w:rPr>
          <w:rFonts w:cs="Arial"/>
          <w:b/>
          <w:sz w:val="24"/>
          <w:szCs w:val="24"/>
        </w:rPr>
        <w:t xml:space="preserve">PRIMERO.- </w:t>
      </w:r>
      <w:r w:rsidRPr="00463637">
        <w:rPr>
          <w:rFonts w:cs="Arial"/>
          <w:sz w:val="24"/>
          <w:szCs w:val="24"/>
        </w:rPr>
        <w:t>Que estas comisiones unidas, con fundamento en los artículos 90, 104, 116, 117 y demás relativos de la Ley Orgánica del Congreso del Estado, son competentes para emitir el presente dictamen.</w:t>
      </w:r>
    </w:p>
    <w:p w:rsidR="00463637" w:rsidRPr="00463637" w:rsidRDefault="00463637" w:rsidP="00463637">
      <w:pPr>
        <w:jc w:val="left"/>
        <w:rPr>
          <w:rFonts w:eastAsia="Calibri" w:cs="Arial"/>
          <w:sz w:val="24"/>
          <w:szCs w:val="24"/>
          <w:lang w:eastAsia="en-US"/>
        </w:rPr>
      </w:pPr>
    </w:p>
    <w:p w:rsidR="00463637" w:rsidRPr="00463637" w:rsidRDefault="00463637" w:rsidP="00463637">
      <w:pPr>
        <w:spacing w:line="360" w:lineRule="auto"/>
        <w:rPr>
          <w:rFonts w:cs="Arial"/>
          <w:sz w:val="24"/>
          <w:szCs w:val="24"/>
        </w:rPr>
      </w:pPr>
      <w:r w:rsidRPr="00463637">
        <w:rPr>
          <w:rFonts w:cs="Arial"/>
          <w:b/>
          <w:sz w:val="24"/>
          <w:szCs w:val="24"/>
        </w:rPr>
        <w:t xml:space="preserve">SEGUNDO.- </w:t>
      </w:r>
      <w:r w:rsidRPr="00463637">
        <w:rPr>
          <w:rFonts w:cs="Arial"/>
          <w:sz w:val="24"/>
          <w:szCs w:val="24"/>
        </w:rPr>
        <w:t xml:space="preserve">Que </w:t>
      </w:r>
      <w:r w:rsidRPr="00463637">
        <w:rPr>
          <w:rFonts w:eastAsia="Calibri" w:cs="Arial"/>
          <w:color w:val="000000"/>
          <w:sz w:val="24"/>
          <w:szCs w:val="24"/>
          <w:lang w:eastAsia="en-US"/>
        </w:rPr>
        <w:t xml:space="preserve">la </w:t>
      </w:r>
      <w:r w:rsidRPr="00463637">
        <w:rPr>
          <w:rFonts w:eastAsia="Calibri" w:cs="Arial"/>
          <w:sz w:val="24"/>
          <w:szCs w:val="24"/>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463637">
        <w:rPr>
          <w:rFonts w:eastAsia="Calibri" w:cs="Arial"/>
          <w:sz w:val="24"/>
          <w:szCs w:val="24"/>
          <w:lang w:eastAsia="en-US"/>
        </w:rPr>
        <w:t xml:space="preserve">, suscrita por el Diputado Jesús Andrés Loya Cardona, del Grupo Parlamentario “Gral. Andrés. S. Viesca.” Del Partido Revolucionario Institucional, </w:t>
      </w:r>
      <w:r w:rsidRPr="00463637">
        <w:rPr>
          <w:rFonts w:cs="Arial"/>
          <w:sz w:val="24"/>
          <w:szCs w:val="24"/>
        </w:rPr>
        <w:t xml:space="preserve">se basa entre otras en las consideraciones siguientes:  </w:t>
      </w:r>
    </w:p>
    <w:p w:rsidR="00463637" w:rsidRPr="00463637" w:rsidRDefault="00463637" w:rsidP="00463637">
      <w:pPr>
        <w:spacing w:line="360" w:lineRule="auto"/>
        <w:rPr>
          <w:rFonts w:cs="Arial"/>
          <w:sz w:val="24"/>
          <w:szCs w:val="24"/>
        </w:rPr>
      </w:pPr>
    </w:p>
    <w:p w:rsidR="00463637" w:rsidRPr="00463637" w:rsidRDefault="00463637" w:rsidP="00463637">
      <w:pPr>
        <w:spacing w:line="360" w:lineRule="auto"/>
        <w:jc w:val="center"/>
        <w:rPr>
          <w:rFonts w:cs="Arial"/>
          <w:b/>
          <w:sz w:val="24"/>
          <w:szCs w:val="24"/>
        </w:rPr>
      </w:pPr>
      <w:r w:rsidRPr="00463637">
        <w:rPr>
          <w:rFonts w:cs="Arial"/>
          <w:b/>
          <w:sz w:val="24"/>
          <w:szCs w:val="24"/>
        </w:rPr>
        <w:t>E X P O S I C I Ó N   D E   M O T I V O S</w:t>
      </w:r>
    </w:p>
    <w:p w:rsidR="00463637" w:rsidRPr="00463637" w:rsidRDefault="00463637" w:rsidP="00463637">
      <w:pPr>
        <w:jc w:val="left"/>
        <w:rPr>
          <w:rFonts w:ascii="Calibri" w:eastAsia="Calibri" w:hAnsi="Calibri"/>
          <w:sz w:val="22"/>
          <w:szCs w:val="22"/>
        </w:rPr>
      </w:pP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“Reconocer la dignidad y los derechos fundamentales e inalienables del ser humano, es la semilla generadora del progreso social y el crecimiento de una Nación.</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 xml:space="preserve">La Declaración Universal de Derechos Humanos y los pactos internacionales son el fundamento de los derechos y libertades de toda persona, con independencia de raza, sexo, origen, opinión política e ideológica, idioma y religión. Hacerlos valer y respetar es tarea de todos, y más aun tratándose de niñas y niños en estado de vulnerabilidad. México como miembro fundador de la Organización de las Naciones Unidas, los ha hecho parte de su legislación, destacando la </w:t>
      </w:r>
      <w:r w:rsidRPr="00463637">
        <w:rPr>
          <w:rFonts w:eastAsia="Calibri" w:cs="Arial"/>
          <w:i/>
          <w:sz w:val="24"/>
          <w:szCs w:val="24"/>
          <w:lang w:eastAsia="en-US"/>
        </w:rPr>
        <w:t>Carta de las Naciones Unidad en 1946, la Declaración de los Derechos del Niño adoptada por la Asamblea General de la ONU en 1959, el Pacto Internacional de Derechos Civiles y Políticos, y en el Pacto Internacional de Derechos Económicos, Sociales y Culturales</w:t>
      </w:r>
      <w:r w:rsidRPr="00463637">
        <w:rPr>
          <w:rFonts w:eastAsia="Calibri" w:cs="Arial"/>
          <w:i/>
          <w:color w:val="000000"/>
          <w:sz w:val="24"/>
          <w:szCs w:val="24"/>
          <w:lang w:eastAsia="en-US"/>
        </w:rPr>
        <w:t>, entre otros.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lastRenderedPageBreak/>
        <w:t>En 1989, con la Convención de los Derechos del Niño, se declara que “el niño, por su falta de madurez física y mental, necesita la protección y cuidado especiales, incluso la debida protección legal, tanto antes como después del nacimiento”,</w:t>
      </w:r>
      <w:r w:rsidRPr="00463637">
        <w:rPr>
          <w:rFonts w:eastAsia="Calibri" w:cs="Arial"/>
          <w:i/>
          <w:color w:val="000000"/>
          <w:sz w:val="24"/>
          <w:szCs w:val="24"/>
          <w:lang w:eastAsia="en-US"/>
        </w:rPr>
        <w:footnoteReference w:id="1"/>
      </w:r>
      <w:r w:rsidRPr="00463637">
        <w:rPr>
          <w:rFonts w:eastAsia="Calibri" w:cs="Arial"/>
          <w:i/>
          <w:color w:val="000000"/>
          <w:sz w:val="24"/>
          <w:szCs w:val="24"/>
          <w:lang w:eastAsia="en-US"/>
        </w:rPr>
        <w:t xml:space="preserve"> estableciendo en ella los principios para la cooperación internacional en busca de mejorar el desarrollo y protección infantil en todos los países en vías de crecimiento. Este documento estipula que los Estados, sus órganos legislativos y administrativos, los tribunales y toda la gama de instituciones públicas y privadas tomarán las consideraciones y medidas necesarias para velar por el interés superior de la niñez, con el compromiso de proteger, asegurar y cuidar el bienestar de las niñas y niños.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En nuestro país, a partir del año 2011 se adiciona a la Constitución la consigna al Estado de la reparación a la violación de los derechos humanos, así como de la sanción, investigación y prevención de estos actos.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Así mismo, el artículo cuarto constitucional norma el interés superior de la niñez para garantizar de manera plena los derechos de las niñas y niños, respecto a la satisfacción de sus necesidades primordiales para su desarrollo integral, considerándolo prioritario para el actuar del Estado y todas sus instituciones.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 xml:space="preserve">En este sentido, con la plena intención de proteger su integridad y seguridad, debemos velar por sus intereses, sobre todo en un tema tan sensible como lo es los menores como víctimas del delito y de la violación de derechos humanos. </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 xml:space="preserve">En el año 2013 se expide la Ley General de Víctimas, aplicable a todo el territorio nacional, siendo México el segundo país en América latina en implementarla, plasmando grandes objetivos como reconocer los derechos de las víctimas y sus familiares, dando origen a nuevas instancias especializadas en la materia, como lo son el Sistema Nacional de Víctimas, la Comisión </w:t>
      </w:r>
      <w:r w:rsidRPr="00463637">
        <w:rPr>
          <w:rFonts w:eastAsia="Calibri" w:cs="Arial"/>
          <w:i/>
          <w:sz w:val="24"/>
          <w:szCs w:val="24"/>
          <w:lang w:eastAsia="es-MX"/>
        </w:rPr>
        <w:lastRenderedPageBreak/>
        <w:t>Ejecutiva de Atención Víctimas, los Órganos de Asesoría Jurídica, el Registro Nacional de Víctimas y el Fondo de Ayuda, Asistencia y Reparación Integral.”</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En cumplimiento a la misma y a su implementación en todos los ámbitos de gobierno, en nuestra entidad se expidió la Ley de Víctimas para el Estado de  Coahuila de Zaragoza, contribuyendo con ello de forma significativa en este rubro. Como parte de esta ley se crea la Comisión Ejecutiva de Atención a Víctimas (CEAV)  y el Fondo Estatal de Ayuda, Asistencia y Reparación Integral, como mecanismos que permiten a las víctimas tener acceso a una orientación y acompañamiento que brinda información, protección y asistencia, encaminada a la reparación del daño.</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En seguimiento a lo anterior, la presente iniciativa propone adicionar dos últimos párrafos al artículo 7°, a fin de homologar los principios citados en la Ley de Víctimas para el Estado de Coahuila de Zaragoza con los principios plasmados en la Ley General de la materia, por ser fundamentales para favorecer en todo momento la adecuada aplicación de las normas, facilitar la integración social y la protección de los derechos de las personas en estado de vulnerabilidad, en especial la integridad de las niñas y niños víctimas del delito y la violación de sus derechos fundamentales.</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El futuro de nuestro Estado está en la infancia. Velar por su seguridad, protección y cuidado es tarea de todos nosotros, legislar a su favor es prever un mejor mañana para el desarrollo de las niñas y niños de Coahuila.</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Por lo anterior, se somete a consideración, discusión y, en su caso, aprobación la presente iniciativa, con el propósito de atender y proteger el interés superior de la niñez.</w:t>
      </w:r>
    </w:p>
    <w:p w:rsidR="00463637" w:rsidRPr="00463637" w:rsidRDefault="00463637" w:rsidP="00463637">
      <w:pPr>
        <w:tabs>
          <w:tab w:val="left" w:pos="993"/>
          <w:tab w:val="left" w:pos="1134"/>
        </w:tabs>
        <w:spacing w:after="160" w:line="360" w:lineRule="auto"/>
        <w:rPr>
          <w:rFonts w:cs="Arial"/>
          <w:b/>
          <w:sz w:val="24"/>
          <w:szCs w:val="24"/>
        </w:rPr>
      </w:pPr>
    </w:p>
    <w:p w:rsidR="00463637" w:rsidRPr="00463637" w:rsidRDefault="00463637" w:rsidP="00463637">
      <w:pPr>
        <w:tabs>
          <w:tab w:val="left" w:pos="993"/>
          <w:tab w:val="left" w:pos="1134"/>
        </w:tabs>
        <w:spacing w:after="160" w:line="360" w:lineRule="auto"/>
        <w:rPr>
          <w:rFonts w:eastAsia="Calibri" w:cs="Arial"/>
          <w:sz w:val="24"/>
          <w:szCs w:val="24"/>
          <w:lang w:eastAsia="en-US"/>
        </w:rPr>
      </w:pPr>
      <w:r w:rsidRPr="00463637">
        <w:rPr>
          <w:rFonts w:cs="Arial"/>
          <w:b/>
          <w:sz w:val="24"/>
          <w:szCs w:val="24"/>
        </w:rPr>
        <w:t>TERCERO.-</w:t>
      </w:r>
      <w:r w:rsidRPr="00463637">
        <w:rPr>
          <w:rFonts w:eastAsia="Calibri" w:cs="Arial"/>
          <w:sz w:val="24"/>
          <w:szCs w:val="24"/>
          <w:lang w:eastAsia="en-US"/>
        </w:rPr>
        <w:t xml:space="preserve">Quienes integramos la Comisión de Gobernación, Puntos Constitucionales y de la Defensa de los Derechos Humanos, efectuamos el estudio y análisis de la iniciativa, </w:t>
      </w:r>
      <w:r w:rsidRPr="00463637">
        <w:rPr>
          <w:rFonts w:eastAsia="Calibri" w:cs="Arial"/>
          <w:sz w:val="24"/>
          <w:szCs w:val="24"/>
          <w:lang w:eastAsia="en-US"/>
        </w:rPr>
        <w:lastRenderedPageBreak/>
        <w:t>verificando que la misma tiene por objeto la reforma del artículo 7 de la Ley de Víctimas del Estado, disposición en la que se consagran los principios que rigen el ordenamiento, a efecto de incluir entre los mismos el principio de interés superior del menor.</w:t>
      </w:r>
    </w:p>
    <w:p w:rsidR="00463637" w:rsidRPr="00463637" w:rsidRDefault="00463637" w:rsidP="00463637">
      <w:pPr>
        <w:tabs>
          <w:tab w:val="left" w:pos="993"/>
          <w:tab w:val="left" w:pos="1134"/>
        </w:tabs>
        <w:spacing w:after="160" w:line="360" w:lineRule="auto"/>
        <w:rPr>
          <w:rFonts w:eastAsia="Calibri" w:cs="Arial"/>
          <w:sz w:val="24"/>
          <w:szCs w:val="24"/>
          <w:lang w:eastAsia="en-US"/>
        </w:rPr>
      </w:pPr>
      <w:r w:rsidRPr="00463637">
        <w:rPr>
          <w:rFonts w:eastAsia="Calibri" w:cs="Arial"/>
          <w:sz w:val="24"/>
          <w:szCs w:val="24"/>
          <w:lang w:eastAsia="en-US"/>
        </w:rPr>
        <w:t>Respecto a esta propuesta, el promovente señala que estima necesario la incorporación de este principio toda vez que la ley es aplicable a niñas, niños y adolescentes víctimas de delitos y violaciones a derechos humanos.</w:t>
      </w:r>
    </w:p>
    <w:p w:rsidR="00463637" w:rsidRPr="00463637" w:rsidRDefault="00463637" w:rsidP="00463637">
      <w:pPr>
        <w:spacing w:after="160" w:line="360" w:lineRule="auto"/>
        <w:rPr>
          <w:rFonts w:eastAsia="Calibri" w:cs="Arial"/>
          <w:i/>
          <w:color w:val="000000"/>
          <w:sz w:val="24"/>
          <w:szCs w:val="24"/>
          <w:lang w:eastAsia="en-US"/>
        </w:rPr>
      </w:pPr>
      <w:r w:rsidRPr="00463637">
        <w:rPr>
          <w:rFonts w:eastAsia="Calibri" w:cs="Arial"/>
          <w:sz w:val="24"/>
          <w:szCs w:val="24"/>
          <w:lang w:eastAsia="en-US"/>
        </w:rPr>
        <w:t>En este orden de ideas, refiere que “</w:t>
      </w:r>
      <w:r w:rsidRPr="00463637">
        <w:rPr>
          <w:rFonts w:eastAsia="Calibri" w:cs="Arial"/>
          <w:color w:val="000000"/>
          <w:sz w:val="24"/>
          <w:szCs w:val="24"/>
          <w:lang w:eastAsia="en-US"/>
        </w:rPr>
        <w:t>[</w:t>
      </w:r>
      <w:r w:rsidRPr="00463637">
        <w:rPr>
          <w:rFonts w:eastAsia="Calibri" w:cs="Arial"/>
          <w:i/>
          <w:color w:val="000000"/>
          <w:sz w:val="24"/>
          <w:szCs w:val="24"/>
          <w:lang w:eastAsia="en-US"/>
        </w:rPr>
        <w:t>e]n nuestro país, a partir del año 2011 se adiciona a la Constitución la consigna al Estado de la reparación a la violación de los derechos humanos, así como de la sanción, investigación y prevención de estos actos.</w:t>
      </w:r>
    </w:p>
    <w:p w:rsidR="00463637" w:rsidRPr="00463637" w:rsidRDefault="00463637" w:rsidP="00463637">
      <w:pPr>
        <w:spacing w:after="160" w:line="360" w:lineRule="auto"/>
        <w:rPr>
          <w:rFonts w:eastAsia="Calibri" w:cs="Arial"/>
          <w:i/>
          <w:color w:val="000000"/>
          <w:sz w:val="24"/>
          <w:szCs w:val="24"/>
          <w:lang w:eastAsia="en-US"/>
        </w:rPr>
      </w:pPr>
      <w:r w:rsidRPr="00463637">
        <w:rPr>
          <w:rFonts w:eastAsia="Calibri" w:cs="Arial"/>
          <w:i/>
          <w:color w:val="000000"/>
          <w:sz w:val="24"/>
          <w:szCs w:val="24"/>
          <w:lang w:eastAsia="en-US"/>
        </w:rPr>
        <w:t>Así mismo, el artículo cuarto constitucional norma el interés superior de la niñez para garantizar de manera plena los derechos de las niñas y niños, respecto a la satisfacción de sus necesidades primordiales para su desarrollo integral, considerándolo prioritario para el actuar del Estado y todas sus instituciones.</w:t>
      </w:r>
    </w:p>
    <w:p w:rsidR="00463637" w:rsidRPr="00463637" w:rsidRDefault="00463637" w:rsidP="00463637">
      <w:pPr>
        <w:spacing w:after="160" w:line="360" w:lineRule="auto"/>
        <w:jc w:val="left"/>
        <w:rPr>
          <w:rFonts w:eastAsia="Calibri" w:cs="Arial"/>
          <w:i/>
          <w:color w:val="000000"/>
          <w:sz w:val="24"/>
          <w:szCs w:val="24"/>
          <w:lang w:eastAsia="en-US"/>
        </w:rPr>
      </w:pPr>
      <w:r w:rsidRPr="00463637">
        <w:rPr>
          <w:rFonts w:eastAsia="Calibri" w:cs="Arial"/>
          <w:i/>
          <w:color w:val="000000"/>
          <w:sz w:val="24"/>
          <w:szCs w:val="24"/>
          <w:lang w:eastAsia="en-US"/>
        </w:rPr>
        <w:t xml:space="preserve">En este sentido, con la plena intención de proteger su integridad y seguridad, debemos velar por sus intereses, sobre todo en un tema tan sensible como lo es los menores como víctimas del delito y de la violación de derechos humanos.” </w:t>
      </w:r>
    </w:p>
    <w:p w:rsidR="00463637" w:rsidRPr="00463637" w:rsidRDefault="00463637" w:rsidP="00463637">
      <w:pPr>
        <w:spacing w:after="160" w:line="360" w:lineRule="auto"/>
        <w:rPr>
          <w:rFonts w:eastAsia="Calibri" w:cs="Arial"/>
          <w:sz w:val="24"/>
          <w:szCs w:val="24"/>
          <w:lang w:eastAsia="es-MX"/>
        </w:rPr>
      </w:pPr>
      <w:r w:rsidRPr="00463637">
        <w:rPr>
          <w:rFonts w:eastAsia="Calibri" w:cs="Arial"/>
          <w:color w:val="000000"/>
          <w:sz w:val="24"/>
          <w:szCs w:val="24"/>
          <w:lang w:eastAsia="en-US"/>
        </w:rPr>
        <w:t xml:space="preserve">Aunado a estas consideraciones el iniciador refiere que en este contexto, en el año 2013 se expidió la Ley General de Víctimas </w:t>
      </w:r>
      <w:r w:rsidRPr="00463637">
        <w:rPr>
          <w:rFonts w:eastAsia="Calibri" w:cs="Arial"/>
          <w:sz w:val="24"/>
          <w:szCs w:val="24"/>
          <w:lang w:eastAsia="es-MX"/>
        </w:rPr>
        <w:t>plasmando grandes objetivos como reconocer los derechos de las víctimas y sus familiares, dando origen a nuevas instancias especializadas en la materia, como lo son el Sistema Nacional de Víctimas, la Comisión Ejecutiva de Atención Víctimas, los Órganos de Asesoría Jurídica, el Registro Nacional de Víctimas y el Fondo de Ayuda, Asistencia y Reparación Integral, y que por lo que hace al Estado de Coahuila este H. Congreso emitió la Ley de Víctimas para el Estado de  Coahuila de Zaragoza, señalando que el primero de sus ordenamientos sí contempla entre sus principios rectores el del interés superior del menor.</w:t>
      </w:r>
    </w:p>
    <w:p w:rsidR="00463637" w:rsidRPr="00463637" w:rsidRDefault="00463637" w:rsidP="00463637">
      <w:pPr>
        <w:spacing w:after="160" w:line="360" w:lineRule="auto"/>
        <w:rPr>
          <w:rFonts w:eastAsia="Calibri" w:cs="Arial"/>
          <w:sz w:val="24"/>
          <w:szCs w:val="24"/>
          <w:lang w:eastAsia="es-MX"/>
        </w:rPr>
      </w:pPr>
      <w:r w:rsidRPr="00463637">
        <w:rPr>
          <w:rFonts w:eastAsia="Calibri" w:cs="Arial"/>
          <w:sz w:val="24"/>
          <w:szCs w:val="24"/>
          <w:lang w:eastAsia="es-MX"/>
        </w:rPr>
        <w:t xml:space="preserve">Una vez efectuado el análisis del objeto, contenido y alcances del proyecto normativo, y previo a pronunciarnos sobre la procedencia, los integrantes de estas comisiones unidas </w:t>
      </w:r>
      <w:r w:rsidRPr="00463637">
        <w:rPr>
          <w:rFonts w:eastAsia="Calibri" w:cs="Arial"/>
          <w:sz w:val="24"/>
          <w:szCs w:val="24"/>
          <w:lang w:eastAsia="es-MX"/>
        </w:rPr>
        <w:lastRenderedPageBreak/>
        <w:t xml:space="preserve">efectuamos una serie de consideraciones en torno a este principio destacando lo siguiente: </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Según, Miguel Cillero Bruñol</w:t>
      </w:r>
      <w:sdt>
        <w:sdtPr>
          <w:rPr>
            <w:rFonts w:eastAsia="Calibri" w:cs="Arial"/>
            <w:sz w:val="24"/>
            <w:szCs w:val="24"/>
            <w:lang w:eastAsia="en-US"/>
          </w:rPr>
          <w:id w:val="-321207223"/>
          <w:citation/>
        </w:sdtPr>
        <w:sdtContent>
          <w:r w:rsidR="005871CD" w:rsidRPr="00463637">
            <w:rPr>
              <w:rFonts w:eastAsia="Calibri" w:cs="Arial"/>
              <w:sz w:val="24"/>
              <w:szCs w:val="24"/>
              <w:lang w:eastAsia="en-US"/>
            </w:rPr>
            <w:fldChar w:fldCharType="begin"/>
          </w:r>
          <w:r w:rsidRPr="00463637">
            <w:rPr>
              <w:rFonts w:eastAsia="Calibri" w:cs="Arial"/>
              <w:sz w:val="24"/>
              <w:szCs w:val="24"/>
              <w:lang w:eastAsia="en-US"/>
            </w:rPr>
            <w:instrText xml:space="preserve">CITATION Cil07 \n  \t  \l 2058 </w:instrText>
          </w:r>
          <w:r w:rsidR="005871CD" w:rsidRPr="00463637">
            <w:rPr>
              <w:rFonts w:eastAsia="Calibri" w:cs="Arial"/>
              <w:sz w:val="24"/>
              <w:szCs w:val="24"/>
              <w:lang w:eastAsia="en-US"/>
            </w:rPr>
            <w:fldChar w:fldCharType="separate"/>
          </w:r>
          <w:r w:rsidRPr="00463637">
            <w:rPr>
              <w:rFonts w:eastAsia="Calibri" w:cs="Arial"/>
              <w:noProof/>
              <w:sz w:val="24"/>
              <w:szCs w:val="24"/>
              <w:lang w:eastAsia="en-US"/>
            </w:rPr>
            <w:t xml:space="preserve"> (2007)</w:t>
          </w:r>
          <w:r w:rsidR="005871CD" w:rsidRPr="00463637">
            <w:rPr>
              <w:rFonts w:eastAsia="Calibri" w:cs="Arial"/>
              <w:sz w:val="24"/>
              <w:szCs w:val="24"/>
              <w:lang w:eastAsia="en-US"/>
            </w:rPr>
            <w:fldChar w:fldCharType="end"/>
          </w:r>
        </w:sdtContent>
      </w:sdt>
      <w:r w:rsidRPr="00463637">
        <w:rPr>
          <w:rFonts w:eastAsia="Calibri" w:cs="Arial"/>
          <w:sz w:val="24"/>
          <w:szCs w:val="24"/>
          <w:lang w:eastAsia="en-US"/>
        </w:rPr>
        <w:t>, el interés superior del niño tiene el carácter de norma fundamental, que dispone es una limitación, una obligación, una prescripción de carácter imperativo hacia las autoridades.</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En este orden de ideas, el autor considera que el principio funge como una “garantía”, pues supone la vigencia y satisfacción simultánea de todos sus derechos.</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Este principio tiene su origen en el derecho internacional de los derechos humanos y ha sido adoptado por el Estado Mexicano desde la suscripción y ratificación de distintos instrumentos de esta naturaleza, para posteriormente ser reconocido en nuestro texto Constitucional.</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Con respecto a su naturaleza y alcance la Suprema Corte de Justicia de la Nación y los tribunales federales han emitido diversos criterios, entre los cuales destacan los siguientes:</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INTERÉS SUPERIOR DEL MENOR. OBLIGACIONES QUE, PARA SU PROTECCIÓN, DERIVAN PARA EL ESTADO MEXICANO, TRATÁNDOSE DE PROCEDIMIENTOS JURISDICCIONALES.</w:t>
      </w:r>
    </w:p>
    <w:p w:rsidR="00463637" w:rsidRPr="00463637" w:rsidRDefault="00463637" w:rsidP="00463637">
      <w:pPr>
        <w:jc w:val="left"/>
        <w:rPr>
          <w:rFonts w:cs="Arial"/>
          <w:sz w:val="24"/>
          <w:szCs w:val="24"/>
          <w:lang w:eastAsia="es-MX"/>
        </w:rPr>
      </w:pP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El Pleno de la Suprema Corte de Justicia de la Nación, en observancia a la jurisprudencia de la Corte Interamericana de Derechos Humanos, considera que la obligación del Estado de proteger el interés superior de los menores durante cualquier procedimiento en el cual estén involucrados implica, entre otras cuestiones, los siguientes débitos: (I) suministrar la información e implementar los procedimientos adecuados adaptándolos a sus necesidades particulares, garantizando que cuenten con asistencia letrada y de otra índole en todo momento, de acuerdo con sus necesidades; (II) asegurar, especialmente en los casos en que hayan sido víctimas de delitos como abusos sexuales u otras formas de maltrato, que su derecho a ser escuchados se ejerza garantizando su plena protección, vigilando que el personal esté capacitado para atenderlos y que las salas de entrevistas representen un entorno seguro y no intimidatorio, hostil, insensible o inadecuado; y, (III) procurar que no sean interrogados en más ocasiones que las necesarias para evitar, en la medida de lo posible, su revictimización o un impacto traumático.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lastRenderedPageBreak/>
        <w:br/>
      </w:r>
    </w:p>
    <w:p w:rsidR="00463637" w:rsidRPr="00463637" w:rsidRDefault="00463637" w:rsidP="00463637">
      <w:pPr>
        <w:rPr>
          <w:rFonts w:cs="Arial"/>
          <w:color w:val="444444"/>
          <w:sz w:val="24"/>
          <w:szCs w:val="24"/>
          <w:lang w:eastAsia="es-MX"/>
        </w:rPr>
      </w:pPr>
      <w:r w:rsidRPr="00463637">
        <w:rPr>
          <w:rFonts w:cs="Arial"/>
          <w:color w:val="444444"/>
          <w:sz w:val="24"/>
          <w:szCs w:val="24"/>
          <w:lang w:eastAsia="es-MX"/>
        </w:rPr>
        <w:t xml:space="preserve">Varios 1396/2011. 11 de mayo de 2015. Mayoría de ocho votos de los Ministros José Fernando Franco González Salas, Arturo Zaldívar Lelo de Larrea, quien reservó su derecho a formular voto concurrente, Jorge Mario Pardo Rebolledo, Juan N. Silva Meza, Eduardo Medina Mora I., Olga Sánchez Cordero de García Villegas, Alberto Pérez Dayán y Luis María Aguilar Morales; votó en contra José Ramón Cossío Díaz. Ausentes: Alfredo Gutiérrez Ortiz Mena y Margarita Beatriz Luna Ramos. Ponente: Alberto Pérez Dayán. Secretario: Isidro E. Muñoz Acevedo. </w:t>
      </w:r>
    </w:p>
    <w:p w:rsidR="00463637" w:rsidRPr="00463637" w:rsidRDefault="00463637" w:rsidP="00463637">
      <w:pPr>
        <w:rPr>
          <w:rFonts w:ascii="Calibri" w:eastAsia="Calibri" w:hAnsi="Calibri"/>
          <w:sz w:val="22"/>
          <w:szCs w:val="22"/>
          <w:lang w:eastAsia="en-US"/>
        </w:rPr>
      </w:pPr>
      <w:r w:rsidRPr="00463637">
        <w:rPr>
          <w:rFonts w:cs="Arial"/>
          <w:color w:val="444444"/>
          <w:sz w:val="24"/>
          <w:szCs w:val="24"/>
          <w:lang w:eastAsia="es-MX"/>
        </w:rPr>
        <w:t>El Tribunal Pleno, el siete de septiembre en curso, aprobó, con el número XXV/2015 (10a.), la tesis aislada que antecede. México, Distrito Federal, a siete de septiembre de dos mil quince.</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jc w:val="left"/>
        <w:rPr>
          <w:rFonts w:cs="Arial"/>
          <w:vanish/>
          <w:color w:val="000000"/>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REPARACIÓN DEL DAÑO A FAVOR DEL </w:t>
      </w:r>
      <w:r w:rsidRPr="00463637">
        <w:rPr>
          <w:rFonts w:cs="Arial"/>
          <w:b/>
          <w:bCs/>
          <w:sz w:val="24"/>
          <w:szCs w:val="24"/>
          <w:shd w:val="clear" w:color="auto" w:fill="FFFF00"/>
          <w:lang w:eastAsia="es-MX"/>
        </w:rPr>
        <w:t>MENOR</w:t>
      </w:r>
      <w:r w:rsidRPr="00463637">
        <w:rPr>
          <w:rFonts w:cs="Arial"/>
          <w:b/>
          <w:bCs/>
          <w:color w:val="000000"/>
          <w:sz w:val="24"/>
          <w:szCs w:val="24"/>
          <w:lang w:eastAsia="es-MX"/>
        </w:rPr>
        <w:t xml:space="preserve"> DE EDAD VÍCTIMA U OFENDIDO DEL DELITO. ATENTO AL INTERÉS </w:t>
      </w:r>
      <w:r w:rsidRPr="00463637">
        <w:rPr>
          <w:rFonts w:cs="Arial"/>
          <w:b/>
          <w:bCs/>
          <w:color w:val="0000FF"/>
          <w:sz w:val="24"/>
          <w:szCs w:val="24"/>
          <w:shd w:val="clear" w:color="auto" w:fill="FFFF00"/>
          <w:lang w:eastAsia="es-MX"/>
        </w:rPr>
        <w:t>SUPERIOR</w:t>
      </w:r>
      <w:r w:rsidRPr="00463637">
        <w:rPr>
          <w:rFonts w:cs="Arial"/>
          <w:b/>
          <w:bCs/>
          <w:color w:val="000000"/>
          <w:sz w:val="24"/>
          <w:szCs w:val="24"/>
          <w:lang w:eastAsia="es-MX"/>
        </w:rPr>
        <w:t xml:space="preserve"> DEL NIÑO, ES IMPROCEDENTE SU PAGO EN PARCIALIDADES (LEGISLACIÓN DE LA CIUDAD DE MÉXICO).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En ese supuesto no es viable otorgar parcialidades para el pago de la reparación del daño, en atención al contenido de los artículos </w:t>
      </w:r>
      <w:hyperlink r:id="rId8" w:history="1">
        <w:r w:rsidRPr="00463637">
          <w:rPr>
            <w:rFonts w:cs="Arial"/>
            <w:color w:val="0000FF"/>
            <w:sz w:val="24"/>
            <w:szCs w:val="24"/>
            <w:u w:val="single"/>
            <w:lang w:eastAsia="es-MX"/>
          </w:rPr>
          <w:t>42 y 45 del Código Penal para el Distrito Federal</w:t>
        </w:r>
      </w:hyperlink>
      <w:r w:rsidRPr="00463637">
        <w:rPr>
          <w:rFonts w:cs="Arial"/>
          <w:color w:val="000000"/>
          <w:sz w:val="24"/>
          <w:szCs w:val="24"/>
          <w:lang w:eastAsia="es-MX"/>
        </w:rPr>
        <w:t xml:space="preserve">, aplicable para la Ciudad de México, </w:t>
      </w:r>
      <w:hyperlink r:id="rId9" w:history="1">
        <w:r w:rsidRPr="00463637">
          <w:rPr>
            <w:rFonts w:cs="Arial"/>
            <w:color w:val="0000FF"/>
            <w:sz w:val="24"/>
            <w:szCs w:val="24"/>
            <w:u w:val="single"/>
            <w:lang w:eastAsia="es-MX"/>
          </w:rPr>
          <w:t>12, fracción II, 26, 27 y 64 de la Ley General de Víctimas</w:t>
        </w:r>
      </w:hyperlink>
      <w:r w:rsidRPr="00463637">
        <w:rPr>
          <w:rFonts w:cs="Arial"/>
          <w:color w:val="000000"/>
          <w:sz w:val="24"/>
          <w:szCs w:val="24"/>
          <w:lang w:eastAsia="es-MX"/>
        </w:rPr>
        <w:t xml:space="preserve">, </w:t>
      </w:r>
      <w:hyperlink r:id="rId10" w:history="1">
        <w:r w:rsidRPr="00463637">
          <w:rPr>
            <w:rFonts w:cs="Arial"/>
            <w:color w:val="0000FF"/>
            <w:sz w:val="24"/>
            <w:szCs w:val="24"/>
            <w:u w:val="single"/>
            <w:lang w:eastAsia="es-MX"/>
          </w:rPr>
          <w:t>49, 50, párrafo primero, fracción XIV, y 116, párrafo primero, fracción XIII, de la Ley General de los Derechos de Niñas, Niños y Adolescentes</w:t>
        </w:r>
      </w:hyperlink>
      <w:r w:rsidRPr="00463637">
        <w:rPr>
          <w:rFonts w:cs="Arial"/>
          <w:color w:val="000000"/>
          <w:sz w:val="24"/>
          <w:szCs w:val="24"/>
          <w:lang w:eastAsia="es-MX"/>
        </w:rPr>
        <w:t xml:space="preserve">, pues de estas disposiciones, en su conjunto, se desprende la reparación integral de un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de edad víctima del delito, para lo cual debe considerarse la esfera íntegra de los derechos de la infancia, aunado a que dicha afectación integral debe valorarse a la luz de su desarrollo previsible a futuro. De ahí que la reparación del daño, tratándose del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de edad, deberá incluir como mínimo: a) los costos del tratamiento médico, la terapia y rehabilitación física y ocupacional; b) los costos de los servicios jurídicos; c) los costos de transporte (incluidos el retorno a su lugar de origen), alimentación y vivienda; d) los ingresos perdidos por las personas encargadas de su cuidado; e) el resarcimiento de los perjuicios ocasionados; f) la indemnización por daño moral; g) el resarcimiento derivado de cualquier otra pérdida sufrida por la víctima generada por la comisión del delito; y, h) los gastos permanentes a consecuencia del delito, lo cual no puede estar sujeto a parcialidades.</w:t>
      </w:r>
      <w:r w:rsidRPr="00463637">
        <w:rPr>
          <w:rFonts w:cs="Arial"/>
          <w:color w:val="000000"/>
          <w:sz w:val="24"/>
          <w:szCs w:val="24"/>
          <w:lang w:eastAsia="es-MX"/>
        </w:rPr>
        <w:br/>
      </w:r>
      <w:r w:rsidRPr="00463637">
        <w:rPr>
          <w:rFonts w:cs="Arial"/>
          <w:color w:val="000000"/>
          <w:sz w:val="24"/>
          <w:szCs w:val="24"/>
          <w:lang w:eastAsia="es-MX"/>
        </w:rPr>
        <w:br/>
        <w:t xml:space="preserve">NOVENO </w:t>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EN MATERIA PENAL DEL PRIMER CIRCUITO.</w:t>
      </w:r>
    </w:p>
    <w:p w:rsidR="00463637" w:rsidRPr="00463637" w:rsidRDefault="00463637" w:rsidP="00463637">
      <w:pPr>
        <w:jc w:val="left"/>
        <w:rPr>
          <w:rFonts w:cs="Arial"/>
          <w:color w:val="000000"/>
          <w:sz w:val="24"/>
          <w:szCs w:val="24"/>
          <w:lang w:eastAsia="es-MX"/>
        </w:rPr>
      </w:pPr>
    </w:p>
    <w:p w:rsidR="00463637" w:rsidRPr="00463637" w:rsidRDefault="00463637" w:rsidP="00463637">
      <w:pPr>
        <w:rPr>
          <w:rFonts w:cs="Arial"/>
          <w:color w:val="444444"/>
          <w:sz w:val="24"/>
          <w:szCs w:val="24"/>
          <w:lang w:eastAsia="es-MX"/>
        </w:rPr>
      </w:pPr>
      <w:r w:rsidRPr="00463637">
        <w:rPr>
          <w:rFonts w:cs="Arial"/>
          <w:color w:val="444444"/>
          <w:sz w:val="24"/>
          <w:szCs w:val="24"/>
          <w:lang w:eastAsia="es-MX"/>
        </w:rPr>
        <w:t xml:space="preserve">Amparo directo 45/2019. 23 de mayo de 2019. Unanimidad de votos. Ponente: Luis Pérez de la Fuente. Secretario: Miguel Enrique Hidalgo Carmona. </w:t>
      </w:r>
    </w:p>
    <w:p w:rsidR="00463637" w:rsidRPr="00463637" w:rsidRDefault="00463637" w:rsidP="00463637">
      <w:pPr>
        <w:rPr>
          <w:rFonts w:cs="Arial"/>
          <w:b/>
          <w:bCs/>
          <w:color w:val="000000"/>
          <w:sz w:val="24"/>
          <w:szCs w:val="24"/>
          <w:lang w:eastAsia="es-MX"/>
        </w:rPr>
      </w:pPr>
    </w:p>
    <w:p w:rsidR="00463637" w:rsidRPr="00463637" w:rsidRDefault="00463637" w:rsidP="00463637">
      <w:pPr>
        <w:rPr>
          <w:rFonts w:cs="Arial"/>
          <w:color w:val="444444"/>
          <w:sz w:val="24"/>
          <w:szCs w:val="24"/>
          <w:lang w:eastAsia="es-MX"/>
        </w:rPr>
      </w:pPr>
    </w:p>
    <w:p w:rsidR="00463637" w:rsidRPr="00463637" w:rsidRDefault="00463637" w:rsidP="00463637">
      <w:pPr>
        <w:rPr>
          <w:rFonts w:cs="Arial"/>
          <w:b/>
          <w:bCs/>
          <w:color w:val="000000"/>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REPARACIÓN INTEGRAL DEL DAÑO POR LA COMISIÓN DE DELITOS EN LOS QUE SE INVOLUCRAN DERECHOS DE MENORES VÍCTIMAS INDIRECTAS. CUANDO EXISTE UN CONFLICTO DE INTERESES ENTRE QUIENES EJERCEN LA PATRIA POTESTAD Y TIENEN LA CUSTODIA DE LOS INFANTES, LA AUTORIDAD DEBE PONDERAR EL INTERÉS </w:t>
      </w:r>
      <w:r w:rsidRPr="00463637">
        <w:rPr>
          <w:rFonts w:cs="Arial"/>
          <w:b/>
          <w:bCs/>
          <w:color w:val="0000FF"/>
          <w:sz w:val="24"/>
          <w:szCs w:val="24"/>
          <w:shd w:val="clear" w:color="auto" w:fill="FFFF00"/>
          <w:lang w:eastAsia="es-MX"/>
        </w:rPr>
        <w:t>SUPERIOR</w:t>
      </w:r>
      <w:r w:rsidRPr="00463637">
        <w:rPr>
          <w:rFonts w:cs="Arial"/>
          <w:b/>
          <w:bCs/>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b/>
          <w:bCs/>
          <w:color w:val="000000"/>
          <w:sz w:val="24"/>
          <w:szCs w:val="24"/>
          <w:lang w:eastAsia="es-MX"/>
        </w:rPr>
        <w:t xml:space="preserve"> SOBRE EL ORDEN DE PRELACIÓN PREVISTO EN EL ARTÍCULO 108 DEL CÓDIGO NACIONAL DE PROCEDIMIENTOS PENALES, A FIN DE HACER EFECTIVO ESTE DERECHO HUMANO.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Conforme al artículo </w:t>
      </w:r>
      <w:hyperlink r:id="rId11" w:history="1">
        <w:r w:rsidRPr="00463637">
          <w:rPr>
            <w:rFonts w:cs="Arial"/>
            <w:color w:val="0000FF"/>
            <w:sz w:val="24"/>
            <w:szCs w:val="24"/>
            <w:u w:val="single"/>
            <w:lang w:eastAsia="es-MX"/>
          </w:rPr>
          <w:t>4o., párrafos noveno y décimo, de la Constitución Política de los Estados Unidos Mexicanos</w:t>
        </w:r>
      </w:hyperlink>
      <w:r w:rsidRPr="00463637">
        <w:rPr>
          <w:rFonts w:cs="Arial"/>
          <w:color w:val="000000"/>
          <w:sz w:val="24"/>
          <w:szCs w:val="24"/>
          <w:lang w:eastAsia="es-MX"/>
        </w:rPr>
        <w:t xml:space="preserve">, el Estado debe garantizar plenamente los derechos de los niños, y los ascendientes, tutores y custodios tienen la obligación de preservar y exigir el cumplimiento de esas prerrogativas. Por ello, cuando se vean involucrados derechos de menores víctimas indirectas de la comisión de un delito conforme al artículo </w:t>
      </w:r>
      <w:hyperlink r:id="rId12" w:history="1">
        <w:r w:rsidRPr="00463637">
          <w:rPr>
            <w:rFonts w:cs="Arial"/>
            <w:color w:val="0000FF"/>
            <w:sz w:val="24"/>
            <w:szCs w:val="24"/>
            <w:u w:val="single"/>
            <w:lang w:eastAsia="es-MX"/>
          </w:rPr>
          <w:t>4 de la Ley General de Víctimas</w:t>
        </w:r>
      </w:hyperlink>
      <w:r w:rsidRPr="00463637">
        <w:rPr>
          <w:rFonts w:cs="Arial"/>
          <w:color w:val="000000"/>
          <w:sz w:val="24"/>
          <w:szCs w:val="24"/>
          <w:lang w:eastAsia="es-MX"/>
        </w:rPr>
        <w:t xml:space="preserve">, la autoridad deberá ponderar 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sobre el orden de prelación previsto en el artículo </w:t>
      </w:r>
      <w:hyperlink r:id="rId13" w:history="1">
        <w:r w:rsidRPr="00463637">
          <w:rPr>
            <w:rFonts w:cs="Arial"/>
            <w:color w:val="0000FF"/>
            <w:sz w:val="24"/>
            <w:szCs w:val="24"/>
            <w:u w:val="single"/>
            <w:lang w:eastAsia="es-MX"/>
          </w:rPr>
          <w:t>108 del Código Nacional de Procedimientos Penales</w:t>
        </w:r>
      </w:hyperlink>
      <w:r w:rsidRPr="00463637">
        <w:rPr>
          <w:rFonts w:cs="Arial"/>
          <w:color w:val="000000"/>
          <w:sz w:val="24"/>
          <w:szCs w:val="24"/>
          <w:lang w:eastAsia="es-MX"/>
        </w:rPr>
        <w:t>, para hacer efectivo el derecho a la reparación integral del daño, principalmente cuando existe un conflicto de intereses entre quienes ejercen la patria potestad y tienen la custodia de los menores.</w:t>
      </w:r>
      <w:r w:rsidRPr="00463637">
        <w:rPr>
          <w:rFonts w:cs="Arial"/>
          <w:color w:val="000000"/>
          <w:sz w:val="24"/>
          <w:szCs w:val="24"/>
          <w:lang w:eastAsia="es-MX"/>
        </w:rPr>
        <w:br/>
      </w:r>
      <w:r w:rsidRPr="00463637">
        <w:rPr>
          <w:rFonts w:cs="Arial"/>
          <w:color w:val="000000"/>
          <w:sz w:val="24"/>
          <w:szCs w:val="24"/>
          <w:lang w:eastAsia="es-MX"/>
        </w:rPr>
        <w:br/>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EN MATERIAS PENAL Y ADMINISTRATIVA DEL VIGÉSIMO SEGUNDO CIRCUITO.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br/>
      </w:r>
    </w:p>
    <w:p w:rsidR="00463637" w:rsidRPr="00463637" w:rsidRDefault="00463637" w:rsidP="00463637">
      <w:pPr>
        <w:rPr>
          <w:rFonts w:cs="Arial"/>
          <w:color w:val="444444"/>
          <w:sz w:val="24"/>
          <w:szCs w:val="24"/>
          <w:lang w:eastAsia="es-MX"/>
        </w:rPr>
      </w:pPr>
      <w:r w:rsidRPr="00463637">
        <w:rPr>
          <w:rFonts w:cs="Arial"/>
          <w:color w:val="444444"/>
          <w:sz w:val="24"/>
          <w:szCs w:val="24"/>
          <w:lang w:eastAsia="es-MX"/>
        </w:rPr>
        <w:t>Amparo en revisión 619/2017. 22 de febrero de 2018. Unanimidad de votos. Ponente: Mauricio Barajas Villa. Secretaria: Patricia Bautista Robles.</w:t>
      </w:r>
    </w:p>
    <w:p w:rsidR="00463637" w:rsidRPr="00463637" w:rsidRDefault="00463637" w:rsidP="00463637">
      <w:pPr>
        <w:rPr>
          <w:rFonts w:cs="Arial"/>
          <w:b/>
          <w:bCs/>
          <w:color w:val="000000"/>
          <w:sz w:val="24"/>
          <w:szCs w:val="24"/>
          <w:lang w:eastAsia="es-MX"/>
        </w:rPr>
      </w:pPr>
    </w:p>
    <w:p w:rsidR="00463637" w:rsidRPr="00463637" w:rsidRDefault="00463637" w:rsidP="00463637">
      <w:pPr>
        <w:jc w:val="left"/>
        <w:rPr>
          <w:rFonts w:ascii="Calibri" w:eastAsia="Calibri" w:hAnsi="Calibri"/>
          <w:sz w:val="22"/>
          <w:szCs w:val="22"/>
          <w:lang w:eastAsia="es-MX"/>
        </w:rPr>
      </w:pPr>
    </w:p>
    <w:p w:rsidR="00463637" w:rsidRPr="00463637" w:rsidRDefault="00463637" w:rsidP="00463637">
      <w:pPr>
        <w:rPr>
          <w:rFonts w:cs="Arial"/>
          <w:b/>
          <w:bCs/>
          <w:color w:val="000000"/>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ALERTA AMBER. AL SER UN SISTEMA DE PROTECCIÓN DE NIÑAS, NIÑOS Y ADOLESCENTES REPORTADOS COMO DESAPARECIDOS SUSTENTADO EN EL INTERÉS </w:t>
      </w:r>
      <w:r w:rsidRPr="00463637">
        <w:rPr>
          <w:rFonts w:cs="Arial"/>
          <w:b/>
          <w:bCs/>
          <w:color w:val="0000FF"/>
          <w:sz w:val="24"/>
          <w:szCs w:val="24"/>
          <w:shd w:val="clear" w:color="auto" w:fill="FFFF00"/>
          <w:lang w:eastAsia="es-MX"/>
        </w:rPr>
        <w:t>SUPERIOR</w:t>
      </w:r>
      <w:r w:rsidRPr="00463637">
        <w:rPr>
          <w:rFonts w:cs="Arial"/>
          <w:b/>
          <w:bCs/>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b/>
          <w:bCs/>
          <w:color w:val="000000"/>
          <w:sz w:val="24"/>
          <w:szCs w:val="24"/>
          <w:lang w:eastAsia="es-MX"/>
        </w:rPr>
        <w:t>, EN EL AMPARO PROMOVIDO CONTRA SU ACTIVACIÓN ES IMPROCEDENTE CONCEDER LA SUSPENSIÓN.</w:t>
      </w:r>
    </w:p>
    <w:p w:rsidR="00463637" w:rsidRPr="00463637" w:rsidRDefault="00463637" w:rsidP="00463637">
      <w:pPr>
        <w:jc w:val="left"/>
        <w:rPr>
          <w:rFonts w:cs="Arial"/>
          <w:sz w:val="24"/>
          <w:szCs w:val="24"/>
          <w:lang w:eastAsia="es-MX"/>
        </w:rPr>
      </w:pPr>
      <w:r w:rsidRPr="00463637">
        <w:rPr>
          <w:rFonts w:cs="Arial"/>
          <w:color w:val="000000"/>
          <w:sz w:val="24"/>
          <w:szCs w:val="24"/>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El artículo </w:t>
      </w:r>
      <w:hyperlink r:id="rId14" w:history="1">
        <w:r w:rsidRPr="00463637">
          <w:rPr>
            <w:rFonts w:cs="Arial"/>
            <w:color w:val="0000FF"/>
            <w:sz w:val="24"/>
            <w:szCs w:val="24"/>
            <w:u w:val="single"/>
            <w:lang w:eastAsia="es-MX"/>
          </w:rPr>
          <w:t>128 de la Ley de Amparo</w:t>
        </w:r>
      </w:hyperlink>
      <w:r w:rsidRPr="00463637">
        <w:rPr>
          <w:rFonts w:cs="Arial"/>
          <w:color w:val="000000"/>
          <w:sz w:val="24"/>
          <w:szCs w:val="24"/>
          <w:lang w:eastAsia="es-MX"/>
        </w:rPr>
        <w:t xml:space="preserve"> establece los requisitos para conceder la suspensión a petición de parte, entre los que se encuentran que la solicite el agraviado y que no se siga perjuicio al interés social, ni se contravengan disposiciones de orden público. Por su parte, el diverso numeral </w:t>
      </w:r>
      <w:hyperlink r:id="rId15" w:history="1">
        <w:r w:rsidRPr="00463637">
          <w:rPr>
            <w:rFonts w:cs="Arial"/>
            <w:color w:val="0000FF"/>
            <w:sz w:val="24"/>
            <w:szCs w:val="24"/>
            <w:u w:val="single"/>
            <w:lang w:eastAsia="es-MX"/>
          </w:rPr>
          <w:t>129</w:t>
        </w:r>
      </w:hyperlink>
      <w:r w:rsidRPr="00463637">
        <w:rPr>
          <w:rFonts w:cs="Arial"/>
          <w:color w:val="000000"/>
          <w:sz w:val="24"/>
          <w:szCs w:val="24"/>
          <w:lang w:eastAsia="es-MX"/>
        </w:rPr>
        <w:t xml:space="preserve"> de la propia ley describe en qué casos la concesión de la suspensión sigue perjuicios al interés social o contraviene disposiciones de orden público. Así, estas disposiciones regulan aspectos que, por estimarse fundamentales, la sociedad, a través del Estado, está interesada en su aplicación. Mientras que el interés social se </w:t>
      </w:r>
      <w:r w:rsidRPr="00463637">
        <w:rPr>
          <w:rFonts w:cs="Arial"/>
          <w:color w:val="000000"/>
          <w:sz w:val="24"/>
          <w:szCs w:val="24"/>
          <w:lang w:eastAsia="es-MX"/>
        </w:rPr>
        <w:lastRenderedPageBreak/>
        <w:t xml:space="preserve">refiere a aspectos o pretensiones que son compartidos por la sociedad en su conjunto, y cuya satisfacción origina beneficios para todos los integrantes de la colectividad. Ahora bien, la denominada "Alerta Amber" es un sistema de protección de niñas, niños y adolescentes reportados como desaparecidos sustentado, entre otros principios, en 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y su objetivo general es establecer mecanismos para la búsqueda y pronta recuperación de niñas, niños y adolescentes que se encuentren en riesgo inminente de sufrir un daño grave a su integridad personal, por motivo de ausencia, desaparición, extravío, privación ilegal de la libertad, no localización o cualquier circunstancia donde se presuma la comisión de algún ilícito ocurrido en territorio nacional. Por esa razón, en el amparo promovido contra su activación es improcedente conceder la suspensión, pues sería un contrasentido otorgar la medida suspensional respecto de un mecanismo que tiende, precisamente, a la protección de los menores, basado en el principio de su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ahí que la sustracción de menores por alguno de sus progenitores atenta contra su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en el plano de bilateralidad del derecho a convivir con ambos padres, bajo el principio de que sus derechos merecen una consideración primordial y el Estado, mediante sus autoridades, en el ámbito de sus competencias, tiene la obligación de realizar las acciones necesarias para velar por 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ese grupo en situación de vulnerabilidad, y dar celeridad a su ubicación, localización y restitución a su domicilio o lugar de residencia para que lleven a cabo sus actividades diarias. Lo anterior, porque atento al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niñas, niños y adolescentes, su tutela debe ser expedita y pronta, porque entre más se demore administrativa y jurisdiccionalmente su retorno al seno en el que se determinó su custodia y se desatienda el derecho de los menores de edad a convivir con sus progenitores, mayor es la posibilidad de que puedan resultar afectados emocionalmente, debido a la situación de inestabilidad en la que se ubican hasta en tanto se definan esos aspectos, en perjuicio de su derecho a un sano desarrollo de la personalidad.</w:t>
      </w:r>
      <w:r w:rsidRPr="00463637">
        <w:rPr>
          <w:rFonts w:cs="Arial"/>
          <w:color w:val="000000"/>
          <w:sz w:val="24"/>
          <w:szCs w:val="24"/>
          <w:lang w:eastAsia="es-MX"/>
        </w:rPr>
        <w:br/>
      </w:r>
      <w:r w:rsidRPr="00463637">
        <w:rPr>
          <w:rFonts w:cs="Arial"/>
          <w:color w:val="000000"/>
          <w:sz w:val="24"/>
          <w:szCs w:val="24"/>
          <w:lang w:eastAsia="es-MX"/>
        </w:rPr>
        <w:br/>
        <w:t xml:space="preserve">SÉPTIMO </w:t>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EN MATERIA PENAL DEL PRIMER CIRCUITO</w:t>
      </w:r>
    </w:p>
    <w:p w:rsidR="00463637" w:rsidRPr="00463637" w:rsidRDefault="00463637" w:rsidP="00463637">
      <w:pPr>
        <w:spacing w:after="160" w:line="276" w:lineRule="auto"/>
        <w:jc w:val="left"/>
        <w:rPr>
          <w:rFonts w:eastAsia="Calibri" w:cs="Arial"/>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VALORACIÓN PSICOLÓGICA DEL </w:t>
      </w:r>
      <w:r w:rsidRPr="00463637">
        <w:rPr>
          <w:rFonts w:cs="Arial"/>
          <w:b/>
          <w:bCs/>
          <w:color w:val="0000FF"/>
          <w:sz w:val="24"/>
          <w:szCs w:val="24"/>
          <w:shd w:val="clear" w:color="auto" w:fill="FFFF00"/>
          <w:lang w:eastAsia="es-MX"/>
        </w:rPr>
        <w:t>MENOR</w:t>
      </w:r>
      <w:r w:rsidRPr="00463637">
        <w:rPr>
          <w:rFonts w:cs="Arial"/>
          <w:b/>
          <w:bCs/>
          <w:color w:val="000000"/>
          <w:sz w:val="24"/>
          <w:szCs w:val="24"/>
          <w:lang w:eastAsia="es-MX"/>
        </w:rPr>
        <w:t xml:space="preserve"> VÍCTIMA DE DELITO SEXUAL. SI SE LE PRACTICÓ UN ESTUDIO EN ESA MATERIA POR EL PERITO OFICIAL, ES IMPROCEDENTE QUE EL JUEZ DE CONTROL CONCEDA AL IMPUTADO EL AUXILIO DEL MINISTERIO PÚBLICO PARA QUE EN LA ETAPA DE INVESTIGACIÓN FORMALIZADA SE LE REALICE UNA NUEVA, A EFECTO DE OBTENER UNA OPINIÓN POR DIVERSO PERITO, AL IMPLICAR UNA REVICTIMIZACIÓN O VICTIMIZACIÓN SECUNDARIA.</w:t>
      </w:r>
    </w:p>
    <w:p w:rsidR="00463637" w:rsidRPr="00463637" w:rsidRDefault="00463637" w:rsidP="00463637">
      <w:pPr>
        <w:jc w:val="left"/>
        <w:rPr>
          <w:rFonts w:cs="Arial"/>
          <w:sz w:val="24"/>
          <w:szCs w:val="24"/>
          <w:lang w:eastAsia="es-MX"/>
        </w:rPr>
      </w:pPr>
      <w:r w:rsidRPr="00463637">
        <w:rPr>
          <w:rFonts w:cs="Arial"/>
          <w:color w:val="000000"/>
          <w:sz w:val="24"/>
          <w:szCs w:val="24"/>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La Convención sobre los Derechos del Niño, la Constitución Política de los Estados Unidos Mexicanos y la Ley para la Protección de los Derechos de Niñas, Niños y Adolescentes (abrogada), así como los criterios de la Suprema Corte de Justicia de la Nación, obligan a las autoridades a velar y cumplir con el principio del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la niñez, garantizando de manera plena sus derechos, a fin de evitar cualquier forma </w:t>
      </w:r>
      <w:r w:rsidRPr="00463637">
        <w:rPr>
          <w:rFonts w:cs="Arial"/>
          <w:color w:val="000000"/>
          <w:sz w:val="24"/>
          <w:szCs w:val="24"/>
          <w:lang w:eastAsia="es-MX"/>
        </w:rPr>
        <w:lastRenderedPageBreak/>
        <w:t xml:space="preserve">de daño a su salud física y mental o, incluso, ponerla en riesgo, lo que significa que cuando deban aplicarse normas o realizar cualquier actividad que incida sobre esos derechos, es necesario hacer patente el grado de afectación a los intereses de los infantes para garantizar en todo momento su bienestar integral. Por esta razón, resulta improcedente que el Juez de Control conceda al imputado el auxilio del Ministerio Público, para que en la etapa de investigación formalizada se prepare la prueba pericial en materia de psicología, tendente a examinar nuevamente a la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víctima, en su calidad de sujeto pasivo de un delito de índole sexual, pues al haber sido valorada previamente en esta disciplina por un perito oficial, el hacerlo de nueva cuenta, a efecto de obtener una opinión por diverso perito, implicaría una revictimización o victimización secundaria, entendida como la suma de acciones u omisiones que generan un recuerdo victimizante (lo que normalmente sucede es que la persona recuerda y revive lo ocurrido en el momento del hecho delictivo) y que conllevan estados de ansiedad, estrés, angustia y malas relaciones interpersonales que afectan su vida cotidiana, con la consecuente vulneración del derecho al más alto nivel de salud mental del niño o de la niña, ello es así, porque se sometería a la repetición de rememorar la experiencia traumática, lo cual debe evitarse.</w:t>
      </w:r>
      <w:r w:rsidRPr="00463637">
        <w:rPr>
          <w:rFonts w:cs="Arial"/>
          <w:color w:val="000000"/>
          <w:sz w:val="24"/>
          <w:szCs w:val="24"/>
          <w:lang w:eastAsia="es-MX"/>
        </w:rPr>
        <w:br/>
      </w:r>
      <w:r w:rsidRPr="00463637">
        <w:rPr>
          <w:rFonts w:cs="Arial"/>
          <w:color w:val="000000"/>
          <w:sz w:val="24"/>
          <w:szCs w:val="24"/>
          <w:lang w:eastAsia="es-MX"/>
        </w:rPr>
        <w:br/>
        <w:t xml:space="preserve">PRIMER </w:t>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DEL DÉCIMO SÉPTIMO CIRCUITO.</w:t>
      </w:r>
    </w:p>
    <w:p w:rsidR="00463637" w:rsidRPr="00463637" w:rsidRDefault="00463637" w:rsidP="00463637">
      <w:pPr>
        <w:spacing w:after="160" w:line="276" w:lineRule="auto"/>
        <w:jc w:val="left"/>
        <w:rPr>
          <w:rFonts w:eastAsia="Calibri" w:cs="Arial"/>
          <w:color w:val="000000"/>
          <w:sz w:val="24"/>
          <w:szCs w:val="24"/>
          <w:lang w:eastAsia="en-US"/>
        </w:rPr>
      </w:pPr>
    </w:p>
    <w:p w:rsidR="00463637" w:rsidRPr="00463637" w:rsidRDefault="00463637" w:rsidP="00463637">
      <w:pPr>
        <w:tabs>
          <w:tab w:val="left" w:pos="993"/>
          <w:tab w:val="left" w:pos="1134"/>
        </w:tabs>
        <w:spacing w:after="160" w:line="360" w:lineRule="auto"/>
        <w:rPr>
          <w:rFonts w:eastAsia="Calibri" w:cs="Arial"/>
          <w:sz w:val="24"/>
          <w:szCs w:val="24"/>
          <w:lang w:eastAsia="en-US"/>
        </w:rPr>
      </w:pPr>
      <w:r w:rsidRPr="00463637">
        <w:rPr>
          <w:rFonts w:eastAsia="Calibri" w:cs="Arial"/>
          <w:sz w:val="24"/>
          <w:szCs w:val="24"/>
          <w:lang w:eastAsia="en-US"/>
        </w:rPr>
        <w:t>De lo anterior, se desprende que el principio de interés superior del menor debe estar presente en la investigación, persecución, sanción y reparación de delitos y violaciones de derechos humanos, tratándose de menores de edad, por lo que en base a ello y del estudio del contenido del artículo 5 de la Ley General de Víctimas es que concluimos que resulta imprescindible adicionar dos párrafos al artículo 7º de la Ley de Víctimas del Estado a efecto de incorporar el principio del interés superior de las niñas y niños.</w:t>
      </w:r>
    </w:p>
    <w:p w:rsidR="00463637" w:rsidRPr="00463637" w:rsidRDefault="00463637" w:rsidP="00463637">
      <w:pPr>
        <w:widowControl w:val="0"/>
        <w:autoSpaceDE w:val="0"/>
        <w:autoSpaceDN w:val="0"/>
        <w:adjustRightInd w:val="0"/>
        <w:spacing w:after="160" w:line="360" w:lineRule="auto"/>
        <w:rPr>
          <w:rFonts w:eastAsia="Calibri" w:cs="Arial"/>
          <w:sz w:val="24"/>
          <w:szCs w:val="24"/>
          <w:lang w:eastAsia="en-US"/>
        </w:rPr>
      </w:pPr>
      <w:r w:rsidRPr="00463637">
        <w:rPr>
          <w:rFonts w:eastAsia="Calibri" w:cs="Arial"/>
          <w:sz w:val="24"/>
          <w:szCs w:val="24"/>
          <w:lang w:eastAsia="en-US"/>
        </w:rPr>
        <w:t>En virtud de lo antes expuesto, es que estimamos pertinente emitir y poner a consideración del Pleno el siguiente:</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line="360" w:lineRule="auto"/>
        <w:jc w:val="center"/>
        <w:rPr>
          <w:rFonts w:cs="Arial"/>
          <w:b/>
          <w:sz w:val="24"/>
          <w:szCs w:val="24"/>
        </w:rPr>
      </w:pPr>
      <w:r w:rsidRPr="00463637">
        <w:rPr>
          <w:rFonts w:cs="Arial"/>
          <w:b/>
          <w:sz w:val="24"/>
          <w:szCs w:val="24"/>
        </w:rPr>
        <w:t>D E C R E T O</w:t>
      </w:r>
    </w:p>
    <w:p w:rsidR="00463637" w:rsidRPr="00463637" w:rsidRDefault="00463637" w:rsidP="00463637">
      <w:pPr>
        <w:jc w:val="left"/>
        <w:rPr>
          <w:rFonts w:ascii="Calibri" w:eastAsia="Calibri" w:hAnsi="Calibri"/>
          <w:sz w:val="22"/>
          <w:szCs w:val="22"/>
          <w:lang w:eastAsia="es-MX"/>
        </w:rPr>
      </w:pPr>
    </w:p>
    <w:p w:rsidR="00463637" w:rsidRPr="00463637" w:rsidRDefault="00463637" w:rsidP="00463637">
      <w:pPr>
        <w:spacing w:after="160" w:line="360" w:lineRule="auto"/>
        <w:rPr>
          <w:rFonts w:eastAsia="Calibri" w:cs="Arial"/>
          <w:sz w:val="24"/>
          <w:szCs w:val="24"/>
          <w:lang w:eastAsia="en-US"/>
        </w:rPr>
      </w:pPr>
      <w:r w:rsidRPr="00463637">
        <w:rPr>
          <w:rFonts w:eastAsia="Calibri" w:cs="Arial"/>
          <w:b/>
          <w:bCs/>
          <w:sz w:val="24"/>
          <w:szCs w:val="24"/>
          <w:lang w:eastAsia="en-US"/>
        </w:rPr>
        <w:t>ARTÍCULO PRIMERO</w:t>
      </w:r>
      <w:r w:rsidRPr="00463637">
        <w:rPr>
          <w:rFonts w:eastAsia="Calibri" w:cs="Arial"/>
          <w:b/>
          <w:sz w:val="24"/>
          <w:szCs w:val="24"/>
          <w:lang w:eastAsia="en-US"/>
        </w:rPr>
        <w:t xml:space="preserve">. - </w:t>
      </w:r>
      <w:r w:rsidRPr="00463637">
        <w:rPr>
          <w:rFonts w:eastAsia="Calibri" w:cs="Arial"/>
          <w:sz w:val="24"/>
          <w:szCs w:val="24"/>
          <w:lang w:eastAsia="en-US"/>
        </w:rPr>
        <w:t>Se adicionan los párrafos vigésimo séptimo y vigésimo octavo al artículo 7º de la Ley de Víctimas para el Estado de Coahuila de Zaragoza, para quedar como sigue:</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b/>
          <w:sz w:val="24"/>
          <w:szCs w:val="24"/>
          <w:lang w:eastAsia="es-MX"/>
        </w:rPr>
        <w:t>Artículo 7.</w:t>
      </w:r>
      <w:r w:rsidRPr="00463637">
        <w:rPr>
          <w:rFonts w:eastAsia="Calibri" w:cs="Arial"/>
          <w:sz w:val="24"/>
          <w:szCs w:val="24"/>
          <w:lang w:eastAsia="es-MX"/>
        </w:rPr>
        <w:t xml:space="preserve">  ... </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lastRenderedPageBreak/>
        <w:t xml:space="preserve">...   </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b/>
          <w:sz w:val="24"/>
          <w:szCs w:val="24"/>
          <w:lang w:eastAsia="en-US"/>
        </w:rPr>
        <w:lastRenderedPageBreak/>
        <w:t>Interés superior de la niñez.-</w:t>
      </w:r>
      <w:r w:rsidRPr="00463637">
        <w:rPr>
          <w:rFonts w:eastAsia="Calibri" w:cs="Arial"/>
          <w:sz w:val="24"/>
          <w:szCs w:val="24"/>
          <w:lang w:eastAsia="en-US"/>
        </w:rPr>
        <w:t xml:space="preserv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after="160" w:line="360" w:lineRule="auto"/>
        <w:rPr>
          <w:rFonts w:eastAsia="Calibri" w:cs="Arial"/>
          <w:sz w:val="24"/>
          <w:szCs w:val="24"/>
          <w:lang w:eastAsia="es-MX"/>
        </w:rPr>
      </w:pPr>
      <w:r w:rsidRPr="00463637">
        <w:rPr>
          <w:rFonts w:eastAsia="Calibri" w:cs="Arial"/>
          <w:sz w:val="24"/>
          <w:szCs w:val="24"/>
          <w:lang w:eastAsia="en-US"/>
        </w:rPr>
        <w:t>Cuando se tome una decisión que afecte a niñas, niños o adolescentes, en lo individual o colectivo, se deberán evaluar y ponderar las posibles repercusiones a fin de salvaguardar su interés superior y sus garantías procesales.</w:t>
      </w:r>
    </w:p>
    <w:p w:rsidR="00463637" w:rsidRPr="00463637" w:rsidRDefault="00463637" w:rsidP="00463637">
      <w:pPr>
        <w:spacing w:after="160" w:line="276" w:lineRule="auto"/>
        <w:rPr>
          <w:rFonts w:eastAsia="Calibri" w:cs="Arial"/>
          <w:sz w:val="24"/>
          <w:szCs w:val="24"/>
          <w:lang w:eastAsia="en-US"/>
        </w:rPr>
      </w:pPr>
    </w:p>
    <w:p w:rsidR="00463637" w:rsidRPr="00463637" w:rsidRDefault="00463637" w:rsidP="00463637">
      <w:pPr>
        <w:spacing w:after="160" w:line="276" w:lineRule="auto"/>
        <w:jc w:val="center"/>
        <w:rPr>
          <w:rFonts w:eastAsia="Calibri" w:cs="Arial"/>
          <w:b/>
          <w:sz w:val="24"/>
          <w:szCs w:val="24"/>
          <w:lang w:val="en-US" w:eastAsia="es-MX"/>
        </w:rPr>
      </w:pPr>
      <w:r w:rsidRPr="00463637">
        <w:rPr>
          <w:rFonts w:eastAsia="Calibri" w:cs="Arial"/>
          <w:b/>
          <w:sz w:val="24"/>
          <w:szCs w:val="24"/>
          <w:lang w:val="en-US" w:eastAsia="es-MX"/>
        </w:rPr>
        <w:t xml:space="preserve">T R A N S I T O R I O </w:t>
      </w:r>
    </w:p>
    <w:p w:rsidR="00463637" w:rsidRPr="00463637" w:rsidRDefault="00463637" w:rsidP="00463637">
      <w:pPr>
        <w:jc w:val="left"/>
        <w:rPr>
          <w:rFonts w:ascii="Calibri" w:eastAsia="Calibri" w:hAnsi="Calibri"/>
          <w:sz w:val="22"/>
          <w:szCs w:val="22"/>
          <w:lang w:val="en-US" w:eastAsia="es-MX"/>
        </w:rPr>
      </w:pPr>
    </w:p>
    <w:p w:rsidR="00463637" w:rsidRPr="00463637" w:rsidRDefault="00463637" w:rsidP="00463637">
      <w:pPr>
        <w:spacing w:after="160" w:line="360" w:lineRule="auto"/>
        <w:jc w:val="left"/>
        <w:rPr>
          <w:rFonts w:eastAsia="Calibri" w:cs="Arial"/>
          <w:sz w:val="24"/>
          <w:szCs w:val="24"/>
          <w:lang w:eastAsia="es-MX"/>
        </w:rPr>
      </w:pPr>
      <w:r w:rsidRPr="00463637">
        <w:rPr>
          <w:rFonts w:eastAsia="Calibri" w:cs="Arial"/>
          <w:b/>
          <w:sz w:val="24"/>
          <w:szCs w:val="24"/>
          <w:lang w:eastAsia="es-MX"/>
        </w:rPr>
        <w:t xml:space="preserve">ARTÍCULO UNICO.- </w:t>
      </w:r>
      <w:r w:rsidRPr="00463637">
        <w:rPr>
          <w:rFonts w:eastAsia="Calibri" w:cs="Arial"/>
          <w:sz w:val="24"/>
          <w:szCs w:val="24"/>
          <w:lang w:eastAsia="es-MX"/>
        </w:rPr>
        <w:t>El presente Decreto entrará en vigor al día siguiente de su publicación en el Periódico Oficial del Gobierno del Estado.</w:t>
      </w:r>
    </w:p>
    <w:p w:rsidR="00463637" w:rsidRPr="00463637" w:rsidRDefault="00463637" w:rsidP="00463637">
      <w:pPr>
        <w:spacing w:line="360" w:lineRule="auto"/>
        <w:rPr>
          <w:rFonts w:eastAsia="Calibri" w:cs="Arial"/>
          <w:sz w:val="24"/>
          <w:szCs w:val="24"/>
        </w:rPr>
      </w:pPr>
    </w:p>
    <w:p w:rsidR="00463637" w:rsidRPr="00463637" w:rsidRDefault="00463637" w:rsidP="00463637">
      <w:pPr>
        <w:autoSpaceDE w:val="0"/>
        <w:autoSpaceDN w:val="0"/>
        <w:adjustRightInd w:val="0"/>
        <w:spacing w:line="360" w:lineRule="auto"/>
        <w:rPr>
          <w:rFonts w:eastAsia="Calibri" w:cs="Arial"/>
          <w:color w:val="000000"/>
          <w:sz w:val="24"/>
          <w:szCs w:val="24"/>
          <w:lang w:eastAsia="en-US"/>
        </w:rPr>
      </w:pPr>
      <w:r w:rsidRPr="00463637">
        <w:rPr>
          <w:rFonts w:eastAsia="Calibri" w:cs="Arial"/>
          <w:color w:val="000000"/>
          <w:sz w:val="24"/>
          <w:szCs w:val="24"/>
          <w:lang w:eastAsia="en-US"/>
        </w:rPr>
        <w:t xml:space="preserve">Así lo acuerdan los Diputados integrantes de las comisiones unidas de Gobernación, Puntos Constitucionales y Justicia y de la Defensa de los Derechos Humanos, de la Sexagésima Primera Legislatura del Congreso del Estado, Independiente, Libre y Soberano de Coahuila de Zaragoza, Dip. </w:t>
      </w:r>
      <w:r w:rsidRPr="00463637">
        <w:rPr>
          <w:rFonts w:eastAsia="Calibri" w:cs="Arial"/>
          <w:color w:val="000000"/>
          <w:sz w:val="24"/>
          <w:szCs w:val="24"/>
          <w:lang w:val="es-ES" w:eastAsia="en-US"/>
        </w:rPr>
        <w:t>Jaime Bueno Zertuche</w:t>
      </w:r>
      <w:r w:rsidRPr="00463637">
        <w:rPr>
          <w:rFonts w:eastAsia="Calibri" w:cs="Arial"/>
          <w:color w:val="000000"/>
          <w:sz w:val="24"/>
          <w:szCs w:val="24"/>
          <w:lang w:eastAsia="en-US"/>
        </w:rPr>
        <w:t xml:space="preserve">, (Coordinador), Dip. </w:t>
      </w:r>
      <w:r w:rsidRPr="00463637">
        <w:rPr>
          <w:rFonts w:eastAsia="Calibri" w:cs="Arial"/>
          <w:color w:val="000000"/>
          <w:sz w:val="24"/>
          <w:szCs w:val="24"/>
          <w:lang w:val="es-ES" w:eastAsia="en-US"/>
        </w:rPr>
        <w:t xml:space="preserve">Marcelo de Jesús Torres Cofiño </w:t>
      </w:r>
      <w:r w:rsidRPr="00463637">
        <w:rPr>
          <w:rFonts w:eastAsia="Calibri" w:cs="Arial"/>
          <w:color w:val="000000"/>
          <w:sz w:val="24"/>
          <w:szCs w:val="24"/>
          <w:lang w:eastAsia="en-US"/>
        </w:rPr>
        <w:t>(Secretario)</w:t>
      </w:r>
      <w:r w:rsidRPr="00463637">
        <w:rPr>
          <w:rFonts w:eastAsia="Calibri" w:cs="Arial"/>
          <w:color w:val="000000"/>
          <w:sz w:val="24"/>
          <w:szCs w:val="24"/>
          <w:lang w:val="es-ES" w:eastAsia="en-US"/>
        </w:rPr>
        <w:t>, Dip. Gerardo Abraham Aguado Gómez, Dip. Emilio Alejandro de Hoyos Montemayor, Dip. José Benito Ramírez Rosas, Dip. Claudia Isela Ramírez Pineda, Dip. Edgar Gerardo Sánchez Garza</w:t>
      </w:r>
      <w:r w:rsidRPr="00463637">
        <w:rPr>
          <w:rFonts w:eastAsia="Calibri" w:cs="Arial"/>
          <w:color w:val="000000"/>
          <w:sz w:val="24"/>
          <w:szCs w:val="24"/>
          <w:lang w:eastAsia="en-US"/>
        </w:rPr>
        <w:t>, Dip. Elisa Catalina Villalobos Hernández (Coordinadora), Dip. Graciela Fernández Almaraz (Secretaria) y Dip. Gabriela Zapopan Garza Galván.En la Ciudad de Saltillo, Coahuila de Zaragoza a 02 de octubre de 2019.</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line="360" w:lineRule="auto"/>
        <w:jc w:val="center"/>
        <w:rPr>
          <w:rFonts w:cs="Arial"/>
          <w:b/>
          <w:sz w:val="24"/>
          <w:szCs w:val="24"/>
        </w:rPr>
      </w:pPr>
      <w:r w:rsidRPr="00463637">
        <w:rPr>
          <w:rFonts w:cs="Arial"/>
          <w:b/>
          <w:sz w:val="24"/>
          <w:szCs w:val="24"/>
        </w:rPr>
        <w:t>COMISIÓN DE GOBERNACIÓN, PUNTOS CONSTITUCIONALES Y JUSTICIA</w:t>
      </w:r>
    </w:p>
    <w:p w:rsidR="00463637" w:rsidRPr="00463637" w:rsidRDefault="00463637" w:rsidP="0046363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63637" w:rsidRPr="00463637" w:rsidTr="004E0A9E">
        <w:trPr>
          <w:jc w:val="center"/>
        </w:trPr>
        <w:tc>
          <w:tcPr>
            <w:tcW w:w="3231" w:type="dxa"/>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NOMBRE Y FIRMA</w:t>
            </w:r>
          </w:p>
        </w:tc>
        <w:tc>
          <w:tcPr>
            <w:tcW w:w="0" w:type="auto"/>
            <w:gridSpan w:val="3"/>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VOTO</w:t>
            </w:r>
          </w:p>
        </w:tc>
        <w:tc>
          <w:tcPr>
            <w:tcW w:w="0" w:type="auto"/>
            <w:gridSpan w:val="2"/>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RESERVA DE ARTÍCULOS</w:t>
            </w: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lastRenderedPageBreak/>
              <w:t xml:space="preserve">DIP. </w:t>
            </w:r>
            <w:r w:rsidRPr="00463637">
              <w:rPr>
                <w:rFonts w:eastAsia="Calibri" w:cs="Arial"/>
                <w:b/>
                <w:sz w:val="24"/>
                <w:szCs w:val="24"/>
                <w:lang w:val="es-ES" w:eastAsia="en-US"/>
              </w:rPr>
              <w:t>JAIME BUENO ZERTUCHE</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(COORDINADOR)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MARCELO DE JESÚS TORRES COFIÑO</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(SECRETARIO)</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938"/>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LUCÍA AZUCENA RAMOS RAMOS</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46"/>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GERARDO ABRAHAM AGUADO GÓMEZ</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70"/>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EMILIO ALEJANDRO DE HOYOS MONTEMAYOR</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52"/>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JOSÉ BENITO RAMÍREZ ROSAS</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864"/>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CLAUDIA ISELA RAMÍREZ PINEDA</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lastRenderedPageBreak/>
              <w:t xml:space="preserve">DIP. </w:t>
            </w:r>
            <w:r w:rsidRPr="00463637">
              <w:rPr>
                <w:rFonts w:eastAsia="Calibri" w:cs="Arial"/>
                <w:b/>
                <w:sz w:val="24"/>
                <w:szCs w:val="24"/>
                <w:lang w:val="es-ES" w:eastAsia="en-US"/>
              </w:rPr>
              <w:t>EDGAR GERARDO SÁNCHEZ GARZA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869"/>
          <w:jc w:val="center"/>
        </w:trPr>
        <w:tc>
          <w:tcPr>
            <w:tcW w:w="3231" w:type="dxa"/>
            <w:vMerge/>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r>
    </w:tbl>
    <w:p w:rsidR="00463637" w:rsidRPr="00463637" w:rsidRDefault="00463637" w:rsidP="00463637">
      <w:pPr>
        <w:spacing w:line="360" w:lineRule="auto"/>
        <w:jc w:val="left"/>
        <w:rPr>
          <w:rFonts w:cs="Arial"/>
          <w:sz w:val="24"/>
          <w:szCs w:val="24"/>
        </w:rPr>
      </w:pPr>
    </w:p>
    <w:p w:rsidR="00463637" w:rsidRPr="00463637" w:rsidRDefault="00463637" w:rsidP="00463637">
      <w:pPr>
        <w:spacing w:line="360" w:lineRule="auto"/>
        <w:jc w:val="center"/>
        <w:rPr>
          <w:rFonts w:cs="Arial"/>
          <w:b/>
          <w:sz w:val="24"/>
          <w:szCs w:val="24"/>
        </w:rPr>
      </w:pPr>
      <w:r w:rsidRPr="00463637">
        <w:rPr>
          <w:rFonts w:cs="Arial"/>
          <w:b/>
          <w:sz w:val="24"/>
          <w:szCs w:val="24"/>
        </w:rPr>
        <w:t>COMISIÓN DE LA DEFENSA DE LOS DERECHOS HUMANOS</w:t>
      </w:r>
    </w:p>
    <w:p w:rsidR="00463637" w:rsidRPr="00463637" w:rsidRDefault="00463637" w:rsidP="0046363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63637" w:rsidRPr="00463637" w:rsidTr="004E0A9E">
        <w:trPr>
          <w:jc w:val="center"/>
        </w:trPr>
        <w:tc>
          <w:tcPr>
            <w:tcW w:w="3231" w:type="dxa"/>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NOMBRE Y FIRMA</w:t>
            </w:r>
          </w:p>
        </w:tc>
        <w:tc>
          <w:tcPr>
            <w:tcW w:w="0" w:type="auto"/>
            <w:gridSpan w:val="3"/>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VOTO</w:t>
            </w:r>
          </w:p>
        </w:tc>
        <w:tc>
          <w:tcPr>
            <w:tcW w:w="0" w:type="auto"/>
            <w:gridSpan w:val="2"/>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RESERVA DE ARTÍCULOS</w:t>
            </w: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ELISA CATALINA VILLALOBOS HERNÁNDEZ</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(COORDINADORA)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GRACIELA FERNÁNDEZ ALMARAZ</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(SECRETARIA)</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298"/>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GABRIELA ZAPOPAN GARZA GALVÁN</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56"/>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bl>
    <w:p w:rsidR="00463637" w:rsidRPr="00463637" w:rsidRDefault="00463637" w:rsidP="00463637">
      <w:pPr>
        <w:spacing w:after="160" w:line="259" w:lineRule="auto"/>
        <w:jc w:val="left"/>
        <w:rPr>
          <w:rFonts w:eastAsia="Calibri" w:cs="Arial"/>
          <w:sz w:val="24"/>
          <w:szCs w:val="24"/>
          <w:lang w:eastAsia="en-US"/>
        </w:rPr>
      </w:pPr>
    </w:p>
    <w:p w:rsidR="00463637" w:rsidRDefault="00463637">
      <w:pPr>
        <w:jc w:val="left"/>
        <w:rPr>
          <w:sz w:val="26"/>
          <w:szCs w:val="26"/>
        </w:rPr>
      </w:pPr>
      <w:r>
        <w:rPr>
          <w:sz w:val="26"/>
          <w:szCs w:val="26"/>
        </w:rPr>
        <w:br w:type="page"/>
      </w:r>
    </w:p>
    <w:p w:rsidR="00463637" w:rsidRPr="00463637" w:rsidRDefault="00463637" w:rsidP="00463637">
      <w:pPr>
        <w:spacing w:line="360" w:lineRule="auto"/>
        <w:rPr>
          <w:rFonts w:eastAsia="Calibri"/>
          <w:sz w:val="26"/>
          <w:szCs w:val="26"/>
        </w:rPr>
      </w:pPr>
      <w:r w:rsidRPr="00463637">
        <w:rPr>
          <w:rFonts w:eastAsia="Calibri"/>
          <w:sz w:val="26"/>
          <w:szCs w:val="26"/>
        </w:rPr>
        <w:lastRenderedPageBreak/>
        <w:t>Dictamen de la Comisión de Desarrollo Urbano, Infraestructura y Transporte de la Sexagésima Primera Legislatura del Congreso del Estado Independiente, Libre y Soberano de Coahuila de Zaragoza, relativo a diversas iniciativas con proyecto de decreto por el que se reforman diversas disposiciones de la Ley de Transporte y Movilidad Sustentable para el Estado de Coahuila de Zaragoza, planteadas por el Diputado Gerardo Abraham Aguado Gómez y el Diputado Edgar Gerardo Sánchez Garza, y</w:t>
      </w:r>
    </w:p>
    <w:p w:rsidR="00463637" w:rsidRPr="00463637" w:rsidRDefault="00463637" w:rsidP="00463637">
      <w:pPr>
        <w:jc w:val="center"/>
        <w:rPr>
          <w:rFonts w:eastAsia="Calibri" w:cs="Arial"/>
          <w:b/>
          <w:color w:val="000000"/>
          <w:sz w:val="26"/>
          <w:szCs w:val="26"/>
        </w:rPr>
      </w:pPr>
    </w:p>
    <w:p w:rsidR="00463637" w:rsidRPr="00463637" w:rsidRDefault="00463637" w:rsidP="00463637">
      <w:pPr>
        <w:jc w:val="center"/>
        <w:rPr>
          <w:rFonts w:eastAsia="Calibri" w:cs="Arial"/>
          <w:b/>
          <w:color w:val="000000"/>
          <w:sz w:val="26"/>
          <w:szCs w:val="26"/>
        </w:rPr>
      </w:pPr>
      <w:r w:rsidRPr="00463637">
        <w:rPr>
          <w:rFonts w:eastAsia="Calibri" w:cs="Arial"/>
          <w:b/>
          <w:color w:val="000000"/>
          <w:sz w:val="26"/>
          <w:szCs w:val="26"/>
        </w:rPr>
        <w:t>R E S U L T A N D O</w:t>
      </w:r>
    </w:p>
    <w:p w:rsidR="00463637" w:rsidRPr="00463637" w:rsidRDefault="00463637" w:rsidP="00463637">
      <w:pPr>
        <w:rPr>
          <w:rFonts w:eastAsia="Calibri" w:cs="Arial"/>
          <w:color w:val="000000"/>
          <w:sz w:val="26"/>
          <w:szCs w:val="26"/>
        </w:rPr>
      </w:pP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eastAsia="Calibri"/>
          <w:sz w:val="26"/>
          <w:szCs w:val="26"/>
        </w:rPr>
      </w:pPr>
      <w:r w:rsidRPr="00463637">
        <w:rPr>
          <w:rFonts w:eastAsia="Calibri"/>
          <w:b/>
          <w:sz w:val="26"/>
          <w:szCs w:val="26"/>
        </w:rPr>
        <w:t>PRIMERO.-</w:t>
      </w:r>
      <w:r w:rsidRPr="00463637">
        <w:rPr>
          <w:rFonts w:eastAsia="Calibri"/>
          <w:sz w:val="26"/>
          <w:szCs w:val="26"/>
        </w:rPr>
        <w:t xml:space="preserve">  Que en sesiones celebradas por el Pleno del Congreso los días 08 de Mayo y 02 de Septiembre del presente año, se acordó turnar a esta Comisión de Desarrollo Urbano, Infraestructura y Transporte, las iniciativas a que se ha hecho referencia.</w:t>
      </w:r>
    </w:p>
    <w:p w:rsidR="00463637" w:rsidRPr="00463637" w:rsidRDefault="00463637" w:rsidP="00463637">
      <w:pPr>
        <w:spacing w:line="360" w:lineRule="auto"/>
        <w:rPr>
          <w:rFonts w:eastAsia="Calibri"/>
          <w:sz w:val="26"/>
          <w:szCs w:val="26"/>
        </w:rPr>
      </w:pPr>
    </w:p>
    <w:p w:rsidR="00463637" w:rsidRPr="00463637" w:rsidRDefault="00463637" w:rsidP="00463637">
      <w:pPr>
        <w:spacing w:line="360" w:lineRule="auto"/>
        <w:rPr>
          <w:rFonts w:eastAsia="Calibri"/>
          <w:sz w:val="26"/>
          <w:szCs w:val="26"/>
        </w:rPr>
      </w:pPr>
      <w:r w:rsidRPr="00463637">
        <w:rPr>
          <w:rFonts w:eastAsia="Calibri"/>
          <w:b/>
          <w:sz w:val="26"/>
          <w:szCs w:val="26"/>
        </w:rPr>
        <w:t>SEGUNDO.-</w:t>
      </w:r>
      <w:r w:rsidRPr="00463637">
        <w:rPr>
          <w:rFonts w:eastAsia="Calibri"/>
          <w:sz w:val="26"/>
          <w:szCs w:val="26"/>
        </w:rPr>
        <w:t xml:space="preserve"> Que en cumplimiento de dicho acuerdo, la Oficialía Mayor de este Congreso en fecha 13 de mayo y 09 de Septiembre del presente año, turnó a esta Comisión de Desarrollo Urbano, Infraestructura y Transporte, las iniciativas con proyecto de Decreto por el que se reforman diversas disposiciones de la Ley de Transporte y Movilidad Sustentable para el Estado de Coahuila de Zaragoza planteadas por el Diputado Gerardo Abraham Aguado Gómez, así como por el Diputado Edgar Gerardo Sánchez Garza, y</w:t>
      </w:r>
    </w:p>
    <w:p w:rsidR="00463637" w:rsidRPr="00463637" w:rsidRDefault="00463637" w:rsidP="00463637">
      <w:pPr>
        <w:spacing w:line="360" w:lineRule="auto"/>
        <w:rPr>
          <w:rFonts w:eastAsia="Calibri"/>
          <w:sz w:val="26"/>
          <w:szCs w:val="26"/>
        </w:rPr>
      </w:pPr>
    </w:p>
    <w:p w:rsidR="00463637" w:rsidRPr="00463637" w:rsidRDefault="00463637" w:rsidP="00463637">
      <w:pPr>
        <w:spacing w:line="360" w:lineRule="auto"/>
        <w:jc w:val="center"/>
        <w:rPr>
          <w:rFonts w:eastAsia="Calibri"/>
          <w:b/>
          <w:sz w:val="26"/>
          <w:szCs w:val="26"/>
        </w:rPr>
      </w:pPr>
      <w:r w:rsidRPr="00463637">
        <w:rPr>
          <w:rFonts w:eastAsia="Calibri"/>
          <w:b/>
          <w:sz w:val="26"/>
          <w:szCs w:val="26"/>
        </w:rPr>
        <w:t>C O N S I D E R A N D O</w:t>
      </w: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b/>
          <w:color w:val="000000"/>
          <w:sz w:val="26"/>
          <w:szCs w:val="26"/>
        </w:rPr>
        <w:t>PRIMERO.-</w:t>
      </w:r>
      <w:r w:rsidRPr="00463637">
        <w:rPr>
          <w:rFonts w:eastAsia="Calibri" w:cs="Arial"/>
          <w:color w:val="000000"/>
          <w:sz w:val="26"/>
          <w:szCs w:val="26"/>
        </w:rPr>
        <w:t xml:space="preserve"> Que esta Comisión, con fundamento en los artículos 99, 116, 117 y demás relativos de la Ley Orgánica del Congreso del Estado, es competente para emitir el presente dictamen.</w:t>
      </w:r>
    </w:p>
    <w:p w:rsidR="00463637" w:rsidRPr="00463637" w:rsidRDefault="00463637" w:rsidP="00463637">
      <w:pPr>
        <w:spacing w:line="360" w:lineRule="auto"/>
        <w:rPr>
          <w:rFonts w:eastAsia="Calibri" w:cs="Arial"/>
          <w:color w:val="000000"/>
          <w:sz w:val="26"/>
          <w:szCs w:val="26"/>
        </w:rPr>
      </w:pPr>
      <w:r w:rsidRPr="00463637">
        <w:rPr>
          <w:rFonts w:eastAsia="Calibri" w:cs="Arial"/>
          <w:b/>
          <w:color w:val="000000"/>
          <w:sz w:val="26"/>
          <w:szCs w:val="26"/>
        </w:rPr>
        <w:lastRenderedPageBreak/>
        <w:t>SEGUNDO.-</w:t>
      </w:r>
      <w:r w:rsidRPr="00463637">
        <w:rPr>
          <w:rFonts w:eastAsia="Calibri" w:cs="Arial"/>
          <w:color w:val="000000"/>
          <w:sz w:val="26"/>
          <w:szCs w:val="26"/>
        </w:rPr>
        <w:t xml:space="preserve"> Que las iniciativas con proyecto de Decreto por el que se reforman diversas disposiciones de la Ley de Transporte y Movilidad Sustentable para el Estado de Coahuila de Zaragoza planteadas por el Diputado Gerardo Abraham Aguado Gómez, así como por el Diputado Edgar Gerardo Sánchez Garza, se basan entre otras en las consideraciones siguientes:</w:t>
      </w:r>
    </w:p>
    <w:p w:rsidR="00463637" w:rsidRPr="00463637" w:rsidRDefault="00463637" w:rsidP="00463637">
      <w:pPr>
        <w:spacing w:line="360" w:lineRule="auto"/>
        <w:rPr>
          <w:rFonts w:eastAsia="Calibri" w:cs="Arial"/>
          <w:color w:val="000000"/>
          <w:sz w:val="26"/>
          <w:szCs w:val="26"/>
        </w:rPr>
      </w:pPr>
    </w:p>
    <w:p w:rsidR="00463637" w:rsidRPr="00463637" w:rsidRDefault="00463637" w:rsidP="00463637">
      <w:pPr>
        <w:spacing w:line="360" w:lineRule="auto"/>
        <w:jc w:val="center"/>
        <w:rPr>
          <w:rFonts w:eastAsia="Calibri" w:cs="Arial"/>
          <w:b/>
          <w:color w:val="000000"/>
          <w:sz w:val="26"/>
          <w:szCs w:val="26"/>
        </w:rPr>
      </w:pPr>
      <w:r w:rsidRPr="00463637">
        <w:rPr>
          <w:rFonts w:eastAsia="Calibri" w:cs="Arial"/>
          <w:b/>
          <w:color w:val="000000"/>
          <w:sz w:val="26"/>
          <w:szCs w:val="26"/>
        </w:rPr>
        <w:t>E X P O S I C I Ó N   D E   M O T I V O S</w:t>
      </w:r>
    </w:p>
    <w:p w:rsidR="00463637" w:rsidRPr="00463637" w:rsidRDefault="00463637" w:rsidP="00463637">
      <w:pPr>
        <w:spacing w:line="360" w:lineRule="auto"/>
        <w:jc w:val="center"/>
        <w:rPr>
          <w:rFonts w:eastAsia="Calibri" w:cs="Arial"/>
          <w:b/>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color w:val="000000"/>
          <w:sz w:val="26"/>
          <w:szCs w:val="26"/>
        </w:rPr>
        <w:t>Por lo que respecta a la iniciativa planteada por el Diputado Gerardo Abraham Aguado Gómez señala, que el artículo 177 de la Ley de Transporte y Movilidad Sustentable para el Estado de Coahuila de Zaragoza, establece:</w:t>
      </w:r>
    </w:p>
    <w:p w:rsidR="00463637" w:rsidRPr="00463637" w:rsidRDefault="00463637" w:rsidP="00463637">
      <w:pPr>
        <w:spacing w:line="360" w:lineRule="auto"/>
        <w:rPr>
          <w:rFonts w:eastAsia="Calibri" w:cs="Arial"/>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color w:val="000000"/>
          <w:sz w:val="26"/>
          <w:szCs w:val="26"/>
        </w:rPr>
        <w:t>ARTÍCULO 177. Las tarifas que se fijen para las diferentes modalidades del servicio, deberán ser suficientes para cubrir los costos fijos y variables de operación, costos de inversión, el mejoramiento de las condiciones generales del servicio y una utilidad razonable para el concesionario, propiciando el acceso de la población de bajos ingresos a dicho servicio, así como la autosuficiencia financiera del servicio concesionado o per misionado.</w:t>
      </w: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color w:val="000000"/>
          <w:sz w:val="26"/>
          <w:szCs w:val="26"/>
        </w:rPr>
        <w:t>Son costos fijos los gastos administrativos que no dependen de la operación del vehículo, tales como: sueldos y salarios del personal, contribuciones, seguros, papelería y arrendamientos.</w:t>
      </w: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cs="Arial"/>
          <w:sz w:val="26"/>
          <w:szCs w:val="26"/>
        </w:rPr>
      </w:pPr>
      <w:r w:rsidRPr="00463637">
        <w:rPr>
          <w:rFonts w:cs="Arial"/>
          <w:sz w:val="26"/>
          <w:szCs w:val="26"/>
        </w:rPr>
        <w:t>Son costos variables los gastos que dependen de la operación del vehículo, tales como: combustibles, llantas, lubricantes, mantenimiento preventivo y correctivo, servicios de lavado y engrasado.</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lastRenderedPageBreak/>
        <w:t>Son costos de inversión los que se derivan de la depreciación de las instalaciones, equipamiento y la flota de vehículos.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ARTÍCULO 178. La fijación de las tarifas del servicio en sus diversas modalidades, deberá basarse en un estudio técnico que incluya entre otros aspectos los siguientes: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I.</w:t>
      </w:r>
      <w:r w:rsidRPr="00463637">
        <w:rPr>
          <w:rFonts w:cs="Arial"/>
          <w:sz w:val="26"/>
          <w:szCs w:val="26"/>
        </w:rPr>
        <w:tab/>
        <w:t>Estimación de la demanda de cada ruta durante el horario del servicio, en una semana representativa. Esta información se obtendrá entre otros, de reportes de ascenso y descenso, cierre de circuito y de los equipos de control de movilidad y cobro de la tarifa;</w:t>
      </w:r>
    </w:p>
    <w:p w:rsidR="00463637" w:rsidRPr="00463637" w:rsidRDefault="00463637" w:rsidP="00463637">
      <w:pPr>
        <w:spacing w:line="360" w:lineRule="auto"/>
        <w:rPr>
          <w:rFonts w:cs="Arial"/>
          <w:sz w:val="26"/>
          <w:szCs w:val="26"/>
        </w:rPr>
      </w:pPr>
      <w:r w:rsidRPr="00463637">
        <w:rPr>
          <w:rFonts w:cs="Arial"/>
          <w:sz w:val="26"/>
          <w:szCs w:val="26"/>
        </w:rPr>
        <w:t>II.</w:t>
      </w:r>
      <w:r w:rsidRPr="00463637">
        <w:rPr>
          <w:rFonts w:cs="Arial"/>
          <w:sz w:val="26"/>
          <w:szCs w:val="26"/>
        </w:rPr>
        <w:tab/>
        <w:t>Inventario de los vehículos que prestan el servicio de que se trate, considerando marcas, año de fabricación y tipo de combustible;</w:t>
      </w:r>
    </w:p>
    <w:p w:rsidR="00463637" w:rsidRPr="00463637" w:rsidRDefault="00463637" w:rsidP="00463637">
      <w:pPr>
        <w:spacing w:line="360" w:lineRule="auto"/>
        <w:rPr>
          <w:rFonts w:cs="Arial"/>
          <w:sz w:val="26"/>
          <w:szCs w:val="26"/>
        </w:rPr>
      </w:pPr>
      <w:r w:rsidRPr="00463637">
        <w:rPr>
          <w:rFonts w:cs="Arial"/>
          <w:sz w:val="26"/>
          <w:szCs w:val="26"/>
        </w:rPr>
        <w:t>III.</w:t>
      </w:r>
      <w:r w:rsidRPr="00463637">
        <w:rPr>
          <w:rFonts w:cs="Arial"/>
          <w:sz w:val="26"/>
          <w:szCs w:val="26"/>
        </w:rPr>
        <w:tab/>
        <w:t>Longitud del recorrido por ruta;</w:t>
      </w:r>
    </w:p>
    <w:p w:rsidR="00463637" w:rsidRPr="00463637" w:rsidRDefault="00463637" w:rsidP="00463637">
      <w:pPr>
        <w:spacing w:line="360" w:lineRule="auto"/>
        <w:rPr>
          <w:rFonts w:cs="Arial"/>
          <w:sz w:val="26"/>
          <w:szCs w:val="26"/>
        </w:rPr>
      </w:pPr>
      <w:r w:rsidRPr="00463637">
        <w:rPr>
          <w:rFonts w:cs="Arial"/>
          <w:sz w:val="26"/>
          <w:szCs w:val="26"/>
        </w:rPr>
        <w:t>IV.</w:t>
      </w:r>
      <w:r w:rsidRPr="00463637">
        <w:rPr>
          <w:rFonts w:cs="Arial"/>
          <w:sz w:val="26"/>
          <w:szCs w:val="26"/>
        </w:rPr>
        <w:tab/>
        <w:t>Estudios de costos de refacciones, combustibles y mantenimiento, que permitan determinar el costo de operación de los vehículos. Se deberá incluir pruebas de rendimiento de combustibles por tipos y año de fabricación de los vehículos;</w:t>
      </w:r>
    </w:p>
    <w:p w:rsidR="00463637" w:rsidRPr="00463637" w:rsidRDefault="00463637" w:rsidP="00463637">
      <w:pPr>
        <w:spacing w:line="360" w:lineRule="auto"/>
        <w:rPr>
          <w:rFonts w:cs="Arial"/>
          <w:sz w:val="26"/>
          <w:szCs w:val="26"/>
        </w:rPr>
      </w:pPr>
      <w:r w:rsidRPr="00463637">
        <w:rPr>
          <w:rFonts w:cs="Arial"/>
          <w:sz w:val="26"/>
          <w:szCs w:val="26"/>
        </w:rPr>
        <w:t>V.</w:t>
      </w:r>
      <w:r w:rsidRPr="00463637">
        <w:rPr>
          <w:rFonts w:cs="Arial"/>
          <w:sz w:val="26"/>
          <w:szCs w:val="26"/>
        </w:rPr>
        <w:tab/>
        <w:t>Costos administrativos, que incluyan la depreciación de los bienes e instalaciones de los concesionarios y las remuneraciones a su personal;</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VI.</w:t>
      </w:r>
      <w:r w:rsidRPr="00463637">
        <w:rPr>
          <w:rFonts w:cs="Arial"/>
          <w:sz w:val="26"/>
          <w:szCs w:val="26"/>
        </w:rPr>
        <w:tab/>
        <w:t>Análisis de la estructura de costos y tarifa para un vehículo de características promedio en el sistema de rutas;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VII.</w:t>
      </w:r>
      <w:r w:rsidRPr="00463637">
        <w:rPr>
          <w:rFonts w:cs="Arial"/>
          <w:sz w:val="26"/>
          <w:szCs w:val="26"/>
        </w:rPr>
        <w:tab/>
        <w:t>Análisis de la estructura de costos del sistema expresado en costo por kilómetro para cada tipo de vehículo según los montos de inversión del concesionario, para el caso del sistema de rutas integradas;</w:t>
      </w:r>
    </w:p>
    <w:p w:rsidR="00463637" w:rsidRPr="00463637" w:rsidRDefault="00463637" w:rsidP="00463637">
      <w:pPr>
        <w:spacing w:line="360" w:lineRule="auto"/>
        <w:rPr>
          <w:rFonts w:cs="Arial"/>
          <w:sz w:val="26"/>
          <w:szCs w:val="26"/>
        </w:rPr>
      </w:pPr>
      <w:r w:rsidRPr="00463637">
        <w:rPr>
          <w:rFonts w:cs="Arial"/>
          <w:sz w:val="26"/>
          <w:szCs w:val="26"/>
        </w:rPr>
        <w:lastRenderedPageBreak/>
        <w:t>VIII.</w:t>
      </w:r>
      <w:r w:rsidRPr="00463637">
        <w:rPr>
          <w:rFonts w:cs="Arial"/>
          <w:sz w:val="26"/>
          <w:szCs w:val="26"/>
        </w:rPr>
        <w:tab/>
        <w:t>Análisis de la estructura de costos del servicio intermunicipal, considerando un vehículo de características promedio así como los tipos y condiciones de las vialidades o caminos en los que se presta el servicio;</w:t>
      </w:r>
    </w:p>
    <w:p w:rsidR="00463637" w:rsidRPr="00463637" w:rsidRDefault="00463637" w:rsidP="00463637">
      <w:pPr>
        <w:spacing w:line="360" w:lineRule="auto"/>
        <w:rPr>
          <w:rFonts w:cs="Arial"/>
          <w:sz w:val="26"/>
          <w:szCs w:val="26"/>
        </w:rPr>
      </w:pPr>
      <w:r w:rsidRPr="00463637">
        <w:rPr>
          <w:rFonts w:cs="Arial"/>
          <w:sz w:val="26"/>
          <w:szCs w:val="26"/>
        </w:rPr>
        <w:t>IX.</w:t>
      </w:r>
      <w:r w:rsidRPr="00463637">
        <w:rPr>
          <w:rFonts w:cs="Arial"/>
          <w:sz w:val="26"/>
          <w:szCs w:val="26"/>
        </w:rPr>
        <w:tab/>
        <w:t>Análisis del impacto en la tarifa por las variaciones de los principales componentes de la estructura de costos, tales como: demanda, costos, utilidad y descuentos;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X.</w:t>
      </w:r>
      <w:r w:rsidRPr="00463637">
        <w:rPr>
          <w:rFonts w:cs="Arial"/>
          <w:sz w:val="26"/>
          <w:szCs w:val="26"/>
        </w:rPr>
        <w:tab/>
        <w:t xml:space="preserve">Diagnóstico del servicio que incluya el análisis de la oferta, la demanda y la relación entre sí; </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XI.</w:t>
      </w:r>
      <w:r w:rsidRPr="00463637">
        <w:rPr>
          <w:rFonts w:cs="Arial"/>
          <w:sz w:val="26"/>
          <w:szCs w:val="26"/>
        </w:rPr>
        <w:tab/>
        <w:t>Planes o compromisos para el mejoramiento del servicio, que incluya entre otros aspectos la organización administrativa, infraestructura, renovación de flota vehicular, capacitación, operación y calidad.</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 xml:space="preserve">El transporte público, es el medio de movilización de personas, incluyendo todas sus modalidades y tipos de unidad, más utilizado en todo el mundo. De éste dependen todos los días miles de seres humanos en cada ciudad, grande, mediana o pequeña y en las zonas rurales para transportarse a sus empleos, escuelas y otros destinos menos frecuentes como las citas al médico y las visitas familiares. </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 xml:space="preserve">De origen, los autobuses o “camiones”, como se les llama de manera más coloquial, han sido el medio de transporte colectivo más común en todos los lugares del planeta, el más predominante y el que más personas moviliza, las unidades pueden ser pequeñas, tipo “Van” o “Combi”, medianas, para 20 o 22 pasajeros y grandes. En países como el nuestro se clasifica en municipal e intermunicipal, pudiendo comprender también rutas entre municipios de distintos </w:t>
      </w:r>
      <w:r w:rsidRPr="00463637">
        <w:rPr>
          <w:rFonts w:cs="Arial"/>
          <w:sz w:val="26"/>
          <w:szCs w:val="26"/>
        </w:rPr>
        <w:lastRenderedPageBreak/>
        <w:t>estados, en cuyo caso es interestatal. Se le debe distinguir del transporte federal de pasajeros, que comprende generalmente rutas muy largas dentro de un mismo estado, entre estados y entre países.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En este caso nos referimos al medio de transporte municipal e intermunicipal, que es el que más personas moviliza en promedio en cualquier región del México; el porcentaje de usuarios está directamente relacionado al tamaño y densidad poblacional de cada municipio, región o zona metropolitana.</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Desafortunadamente existen discrepancias a la hora de establecer las tarifas del servicio público las cuales permiten establecer con facilidad que se arrastran vicios, fallas y acciones que no son del todo apegadas a derecho desde hace años o lustros en los incrementos de tarifas, lo que al final resulta en una disparidad total.</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Generalmente, cuando se concede un aumento de tarifas de parte de un municipio, se presentan dos situaciones: los concesionarios aducen factores como el incremento de los combustibles, de los insumos y la inflación, y el municipio en contraparte, impone condiciones de modernidad, eficiencia y calidad en las unidades  y en el servicio. Generalmente ambas partes aceptan sus respectivas condiciones y se llega a un acuerdo; sin embargo, lo más común, es que transcurrido el tiempo, al llegar el nuevo aumento de tarifas, los transportistas no cumplieron con su parte, y vuelven a prometer lo mismo, el ciclo se repite.</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sz w:val="26"/>
          <w:szCs w:val="26"/>
        </w:rPr>
      </w:pPr>
      <w:r w:rsidRPr="00463637">
        <w:rPr>
          <w:rFonts w:cs="Arial"/>
          <w:sz w:val="26"/>
          <w:szCs w:val="26"/>
        </w:rPr>
        <w:t xml:space="preserve">Por lo que respecta a la iniciativa de ley del </w:t>
      </w:r>
      <w:r w:rsidRPr="00463637">
        <w:rPr>
          <w:rFonts w:eastAsia="Calibri" w:cs="Arial"/>
          <w:sz w:val="26"/>
          <w:szCs w:val="26"/>
        </w:rPr>
        <w:t xml:space="preserve">Diputado Edgar Gerardo Sánchez Garza, esta refiere que  </w:t>
      </w:r>
      <w:r w:rsidRPr="00463637">
        <w:rPr>
          <w:rFonts w:cs="Arial"/>
          <w:bCs/>
          <w:color w:val="000000"/>
          <w:sz w:val="26"/>
          <w:szCs w:val="26"/>
        </w:rPr>
        <w:t xml:space="preserve">durante estos recién concluidos ocho meses del año, tanto un servidor como mis compañeras y compañeros diputados de los diversos grupos </w:t>
      </w:r>
      <w:r w:rsidRPr="00463637">
        <w:rPr>
          <w:rFonts w:cs="Arial"/>
          <w:bCs/>
          <w:color w:val="000000"/>
          <w:sz w:val="26"/>
          <w:szCs w:val="26"/>
        </w:rPr>
        <w:lastRenderedPageBreak/>
        <w:t xml:space="preserve">parlamentarios que conformamos la </w:t>
      </w:r>
      <w:r w:rsidRPr="00463637">
        <w:rPr>
          <w:rFonts w:cs="Arial"/>
          <w:sz w:val="26"/>
          <w:szCs w:val="26"/>
        </w:rPr>
        <w:t xml:space="preserve">Comisión de Desarrollo Urbano, Infraestructura y Transporte, </w:t>
      </w:r>
      <w:r w:rsidRPr="00463637">
        <w:rPr>
          <w:rFonts w:cs="Arial"/>
          <w:bCs/>
          <w:color w:val="000000"/>
          <w:sz w:val="26"/>
          <w:szCs w:val="26"/>
        </w:rPr>
        <w:t>nos hemos venido reuniendo con diversas organizaciones y e</w:t>
      </w:r>
      <w:r w:rsidRPr="00463637">
        <w:rPr>
          <w:sz w:val="26"/>
          <w:szCs w:val="26"/>
        </w:rPr>
        <w:t>mpresas de redes de transporte, que prestan el servicio de alquiler en el estado.</w:t>
      </w:r>
    </w:p>
    <w:p w:rsidR="00463637" w:rsidRPr="00463637" w:rsidRDefault="00463637" w:rsidP="00463637">
      <w:pPr>
        <w:spacing w:line="360" w:lineRule="auto"/>
        <w:rPr>
          <w:sz w:val="26"/>
          <w:szCs w:val="26"/>
        </w:rPr>
      </w:pPr>
    </w:p>
    <w:p w:rsidR="00463637" w:rsidRPr="00463637" w:rsidRDefault="00463637" w:rsidP="00463637">
      <w:pPr>
        <w:spacing w:line="360" w:lineRule="auto"/>
        <w:rPr>
          <w:rFonts w:cs="Arial"/>
          <w:bCs/>
          <w:color w:val="000000"/>
          <w:sz w:val="26"/>
          <w:szCs w:val="26"/>
        </w:rPr>
      </w:pPr>
      <w:r w:rsidRPr="00463637">
        <w:rPr>
          <w:sz w:val="26"/>
          <w:szCs w:val="26"/>
        </w:rPr>
        <w:t>Durante esas reuniones, hemos escuchado un sin número de situaciones tanto favorables como adversas que se encuentran plasmadas actualmente en la ley</w:t>
      </w:r>
      <w:r w:rsidRPr="00463637">
        <w:rPr>
          <w:rFonts w:cs="Arial"/>
          <w:bCs/>
          <w:color w:val="000000"/>
          <w:sz w:val="26"/>
          <w:szCs w:val="26"/>
        </w:rPr>
        <w:t xml:space="preserve"> Estatal de Transporte y Movilidad Sustentable. </w:t>
      </w:r>
    </w:p>
    <w:p w:rsidR="00463637" w:rsidRPr="00463637" w:rsidRDefault="00463637" w:rsidP="00463637">
      <w:pPr>
        <w:spacing w:line="360" w:lineRule="auto"/>
        <w:rPr>
          <w:rFonts w:cs="Arial"/>
          <w:bCs/>
          <w:color w:val="000000"/>
          <w:sz w:val="26"/>
          <w:szCs w:val="26"/>
        </w:rPr>
      </w:pPr>
    </w:p>
    <w:p w:rsidR="00463637" w:rsidRPr="00463637" w:rsidRDefault="00463637" w:rsidP="00463637">
      <w:pPr>
        <w:spacing w:line="360" w:lineRule="auto"/>
        <w:rPr>
          <w:rFonts w:cs="Arial"/>
          <w:bCs/>
          <w:color w:val="000000"/>
          <w:sz w:val="26"/>
          <w:szCs w:val="26"/>
        </w:rPr>
      </w:pPr>
      <w:r w:rsidRPr="00463637">
        <w:rPr>
          <w:rFonts w:cs="Arial"/>
          <w:bCs/>
          <w:color w:val="000000"/>
          <w:sz w:val="26"/>
          <w:szCs w:val="26"/>
        </w:rPr>
        <w:t>Situaciones que sin lugar a dudas, merecen especial atención y en su momento deben ser modificadas, buscando siempre que esas modificaciones resulten lo más favorable para la ciudadanía, pues al final de día ese es el objetivo primordial, velar por lo que en su momento se consideren las mejores condiciones de servicio y seguridad para en este caso, los usuarios de los diversos servicios de transporte privado que se prestan en todas las regiones del estado.</w:t>
      </w:r>
    </w:p>
    <w:p w:rsidR="00463637" w:rsidRPr="00463637" w:rsidRDefault="00463637" w:rsidP="00463637">
      <w:pPr>
        <w:spacing w:line="360" w:lineRule="auto"/>
        <w:rPr>
          <w:rFonts w:cs="Arial"/>
          <w:bCs/>
          <w:color w:val="000000"/>
          <w:sz w:val="26"/>
          <w:szCs w:val="26"/>
        </w:rPr>
      </w:pPr>
    </w:p>
    <w:p w:rsidR="00463637" w:rsidRPr="00463637" w:rsidRDefault="00463637" w:rsidP="00463637">
      <w:pPr>
        <w:spacing w:line="360" w:lineRule="auto"/>
        <w:rPr>
          <w:sz w:val="26"/>
          <w:szCs w:val="26"/>
        </w:rPr>
      </w:pPr>
      <w:r w:rsidRPr="00463637">
        <w:rPr>
          <w:rFonts w:cs="Arial"/>
          <w:bCs/>
          <w:color w:val="000000"/>
          <w:sz w:val="26"/>
          <w:szCs w:val="26"/>
        </w:rPr>
        <w:t>En efecto, últimamente han surgido situaciones de que no existen las mismas condiciones para las organizaciones y e</w:t>
      </w:r>
      <w:r w:rsidRPr="00463637">
        <w:rPr>
          <w:sz w:val="26"/>
          <w:szCs w:val="26"/>
        </w:rPr>
        <w:t>mpresas de redes de transporte, que prestan el servicio de alquiler, pero sobre todo se han incrementado en la sociedad el sentir de que las empresas que brindan el servicio de alquiler a través de una apps, no brindan las condiciones de seguridad necesarias especialmente para las jovencitas que utilizan este servicio por la noche.</w:t>
      </w:r>
    </w:p>
    <w:p w:rsidR="00463637" w:rsidRPr="00463637" w:rsidRDefault="00463637" w:rsidP="00463637">
      <w:pPr>
        <w:spacing w:line="360" w:lineRule="auto"/>
        <w:rPr>
          <w:sz w:val="26"/>
          <w:szCs w:val="26"/>
        </w:rPr>
      </w:pPr>
    </w:p>
    <w:p w:rsidR="00463637" w:rsidRPr="00463637" w:rsidRDefault="00463637" w:rsidP="00463637">
      <w:pPr>
        <w:spacing w:line="360" w:lineRule="auto"/>
        <w:rPr>
          <w:sz w:val="26"/>
          <w:szCs w:val="26"/>
        </w:rPr>
      </w:pPr>
      <w:r w:rsidRPr="00463637">
        <w:rPr>
          <w:sz w:val="26"/>
          <w:szCs w:val="26"/>
        </w:rPr>
        <w:t xml:space="preserve">Sin lugar a dudas, la diversidad de opciones es buena para la ciudadanía, lo que si debemos cuidar es que todo aquel que preste un servicio de transporte privado a los ciudadanos, deba de cumplir ciertos requisitos que brinden la seguridad que las y los coahuilenses se merecen, de ahí que como legisladores debemos hacer </w:t>
      </w:r>
      <w:r w:rsidRPr="00463637">
        <w:rPr>
          <w:sz w:val="26"/>
          <w:szCs w:val="26"/>
        </w:rPr>
        <w:lastRenderedPageBreak/>
        <w:t>nuestro trabajo, legislando con el fin de buscar una solución a las situaciones que se nos van presentando antes de que se conviertan en problemas que sean difíciles de controlar.</w:t>
      </w:r>
    </w:p>
    <w:p w:rsidR="00463637" w:rsidRPr="00463637" w:rsidRDefault="00463637" w:rsidP="00463637">
      <w:pPr>
        <w:spacing w:line="360" w:lineRule="auto"/>
        <w:rPr>
          <w:sz w:val="26"/>
          <w:szCs w:val="26"/>
        </w:rPr>
      </w:pPr>
    </w:p>
    <w:p w:rsidR="00463637" w:rsidRPr="00463637" w:rsidRDefault="00463637" w:rsidP="00463637">
      <w:pPr>
        <w:spacing w:line="360" w:lineRule="auto"/>
        <w:rPr>
          <w:sz w:val="26"/>
          <w:szCs w:val="26"/>
        </w:rPr>
      </w:pPr>
    </w:p>
    <w:p w:rsidR="00463637" w:rsidRPr="00463637" w:rsidRDefault="00463637" w:rsidP="00463637">
      <w:pPr>
        <w:spacing w:line="360" w:lineRule="auto"/>
        <w:rPr>
          <w:rFonts w:cs="Arial"/>
          <w:sz w:val="26"/>
          <w:szCs w:val="26"/>
        </w:rPr>
      </w:pPr>
      <w:r w:rsidRPr="00463637">
        <w:rPr>
          <w:sz w:val="26"/>
          <w:szCs w:val="26"/>
        </w:rPr>
        <w:t>Así mismo, y con la misma finalidad de buscar el cuidado de la seguridad así como la integridad física de los usuarios que utilizan este tipo de transporte público, mediante esta iniciativa de ley, se está proponiendo que l</w:t>
      </w:r>
      <w:r w:rsidRPr="00463637">
        <w:rPr>
          <w:rFonts w:cs="Arial"/>
          <w:sz w:val="26"/>
          <w:szCs w:val="26"/>
        </w:rPr>
        <w:t>os vehículos que presten el servicio de transporte entre particulares, deberán contratar con una póliza de seguro de cobertura amplia para servicio público de transporte, que cubra la responsabilidad civil por daños, lesiones o muerte de los usuarios y de terceros, porque por desgracia ha ocurrido en varias ocasiones cuando se ha suscitado un accidente y queda lesionado uno o varios usuarios de este servicio, al arribar al lugar del accidente la aseguradora les hace mención, que ellos no se hacen responsables de las lesiones ni los daños que pudieran presentar los usuarios, toda vez que se tiene contratada una póliza de seguro privado y dicha póliza no tiene cobertura para ese tipo de situaciones, por tanto los usuarios que utilizan este tipo de servicio de transporte, quedan en total desamparo pudiendo ocasionarles consecuencias graves por la falta de atención médica inmediata en caso de requerirla.</w:t>
      </w:r>
    </w:p>
    <w:p w:rsidR="00463637" w:rsidRPr="00463637" w:rsidRDefault="00463637" w:rsidP="00463637">
      <w:pPr>
        <w:spacing w:line="360" w:lineRule="auto"/>
        <w:rPr>
          <w:sz w:val="26"/>
          <w:szCs w:val="26"/>
        </w:rPr>
      </w:pPr>
    </w:p>
    <w:p w:rsidR="00463637" w:rsidRPr="00463637" w:rsidRDefault="00463637" w:rsidP="00463637">
      <w:pPr>
        <w:spacing w:line="360" w:lineRule="auto"/>
        <w:rPr>
          <w:sz w:val="26"/>
          <w:szCs w:val="26"/>
        </w:rPr>
      </w:pPr>
      <w:r w:rsidRPr="00463637">
        <w:rPr>
          <w:sz w:val="26"/>
          <w:szCs w:val="26"/>
        </w:rPr>
        <w:t>Además esta exigencia de que todo vehículo que preste un servicio de transporte público debe contar con este tipo de póliza de cobertura amplia, es una disposición que estableció desde hace tres años la Secretaría de Comunicaciones y Transportes, la cual debe ser acatada por la seguridad y tranquilidad de quienes utilizan este tipo de servicio de transporte.</w:t>
      </w:r>
    </w:p>
    <w:p w:rsidR="00463637" w:rsidRPr="00463637" w:rsidRDefault="00463637" w:rsidP="00463637">
      <w:pPr>
        <w:spacing w:line="360" w:lineRule="auto"/>
        <w:rPr>
          <w:rFonts w:cs="Arial"/>
          <w:sz w:val="26"/>
          <w:szCs w:val="26"/>
        </w:rPr>
      </w:pPr>
    </w:p>
    <w:p w:rsidR="00463637" w:rsidRPr="00463637" w:rsidRDefault="00463637" w:rsidP="00463637">
      <w:pPr>
        <w:spacing w:after="240" w:line="360" w:lineRule="auto"/>
        <w:rPr>
          <w:rFonts w:cs="Arial"/>
          <w:sz w:val="26"/>
          <w:szCs w:val="26"/>
        </w:rPr>
      </w:pPr>
      <w:r w:rsidRPr="00463637">
        <w:rPr>
          <w:rFonts w:cs="Arial"/>
          <w:b/>
          <w:sz w:val="26"/>
          <w:szCs w:val="26"/>
        </w:rPr>
        <w:lastRenderedPageBreak/>
        <w:t xml:space="preserve">TERCERO.- </w:t>
      </w:r>
      <w:r w:rsidRPr="00463637">
        <w:rPr>
          <w:rFonts w:cs="Arial"/>
          <w:sz w:val="26"/>
          <w:szCs w:val="26"/>
        </w:rPr>
        <w:t xml:space="preserve">Del análisisde la propuesta de la iniciativa planteada </w:t>
      </w:r>
      <w:r w:rsidRPr="00463637">
        <w:rPr>
          <w:rFonts w:cs="Arial"/>
          <w:color w:val="000000"/>
          <w:sz w:val="26"/>
          <w:szCs w:val="26"/>
        </w:rPr>
        <w:t xml:space="preserve">por </w:t>
      </w:r>
      <w:r w:rsidRPr="00463637">
        <w:rPr>
          <w:rFonts w:eastAsia="Calibri" w:cs="Arial"/>
          <w:sz w:val="26"/>
          <w:szCs w:val="26"/>
        </w:rPr>
        <w:t xml:space="preserve">el Diputado Gerardo Abraham Aguado Gómez observamos que tiene como objetivo que el </w:t>
      </w:r>
      <w:r w:rsidRPr="00463637">
        <w:rPr>
          <w:rFonts w:cs="Arial"/>
          <w:sz w:val="26"/>
          <w:szCs w:val="26"/>
        </w:rPr>
        <w:t xml:space="preserve">aumento de tarifas de transporte público, si bien obedece a un derecho lógico, legal y comercial que tienen los concesionarios del transporte, es un proceso que debe sujetarse a las consideraciones y análisis de las condiciones establecidas en la ley, así como de un correcto estudio de mercado, costos, inflación, aumento de combustibles y demás.  </w:t>
      </w:r>
    </w:p>
    <w:p w:rsidR="00463637" w:rsidRPr="00463637" w:rsidRDefault="00463637" w:rsidP="00463637">
      <w:pPr>
        <w:spacing w:line="360" w:lineRule="auto"/>
        <w:rPr>
          <w:rFonts w:cs="Arial"/>
          <w:sz w:val="26"/>
          <w:szCs w:val="26"/>
        </w:rPr>
      </w:pPr>
      <w:r w:rsidRPr="00463637">
        <w:rPr>
          <w:rFonts w:cs="Arial"/>
          <w:sz w:val="26"/>
          <w:szCs w:val="26"/>
        </w:rPr>
        <w:t>Así mismo, establece la iniciativa de referencia, que la mejor prueba de que existen aumentos injustos y desproporcionados, es que podemos apreciar a lo largo y ancho del país que, para municipios iguales en densidad de población, no existen las mismas tarifas, incluso a veces la diferencia es de dos pesos o más de un municipio a otro, de un estado a otro. Otra prueba es que se cobran tarifas iguales con unidades totalmente distintas en condiciones y antigüedad, nuevos y viejos cobrando lo mismo. Sin embargo, consideramos que son múltiples las causas para que el análisis que se menciona se pueda tomar como base para la determinación de la tarifa, ya que de un municipio que tenga la misma densidad poblacional, a otro, existen factores que no son coincidentes entre sí, como puede ser la infraestructura vial, las condiciones físicas de calles o avenidas, las condiciones del parque vehicular, el aforo de usuarios, etc. por lo que en la práctica no sería viable llevar a cabo este análisis y que esté sea un factor para determinar la tarifa de un municipio en específico, además que, tratándose de rutas intermunicipales, dentro del estado este aspecto sería casi imposible de cumplir, por la diferencia poblacional de zonas en donde se presta este servicio.</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 xml:space="preserve">Por último, refiere la iniciativa del Diputado </w:t>
      </w:r>
      <w:r w:rsidRPr="00463637">
        <w:rPr>
          <w:rFonts w:eastAsia="Calibri" w:cs="Arial"/>
          <w:sz w:val="26"/>
          <w:szCs w:val="26"/>
        </w:rPr>
        <w:t>Gerardo Abraham Aguado Gómez, que e</w:t>
      </w:r>
      <w:r w:rsidRPr="00463637">
        <w:rPr>
          <w:rFonts w:cs="Arial"/>
          <w:sz w:val="26"/>
          <w:szCs w:val="26"/>
        </w:rPr>
        <w:t xml:space="preserve">s una demanda social que los concesionarios cumplan con las promesas que hacen al momento de que se les autorizan las nuevas tarifas. Como lo es el que </w:t>
      </w:r>
      <w:r w:rsidRPr="00463637">
        <w:rPr>
          <w:rFonts w:cs="Arial"/>
          <w:sz w:val="26"/>
          <w:szCs w:val="26"/>
        </w:rPr>
        <w:lastRenderedPageBreak/>
        <w:t>los municipios realicen verdaderos y profesionales estudios de mercado, y de costo-beneficio, comparando las tarifas incluso con las de otros municipios de la entidad o de otros estados, para entender y valorar las diferencias y sus justificaciones; con lo cual coincidimos los integrantes de esta comisión dictaminadora.</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 xml:space="preserve">Por lo que respecta, al análisis de la iniciativa de ley del Dip. Edgar Gerardo Sánchez Garza, se desprende que con el fin de darle </w:t>
      </w:r>
      <w:r w:rsidRPr="00463637">
        <w:rPr>
          <w:sz w:val="26"/>
          <w:szCs w:val="26"/>
        </w:rPr>
        <w:t>seguridad y protección a la ciudadanía que utiliza el servicio de transporte privado de alquiler, se tiene como objetivo que l</w:t>
      </w:r>
      <w:r w:rsidRPr="00463637">
        <w:rPr>
          <w:rFonts w:cs="Arial"/>
          <w:sz w:val="26"/>
          <w:szCs w:val="26"/>
        </w:rPr>
        <w:t>os vehículos que presten el servicio de transporte mediante una aplicación digital, cuenten con una póliza de seguro de cobertura amplia para servicio público de transporte, que cubra la responsabilidad civil por daños, lesiones o muerte de los usuarios y de terceros, tal y como lo establece la desde hace tres años la normatividad que emite la Secretaría de Comunicaciones y transportes en materia de servicio de transporte público, por seguridad de las personas que transitan a bordo de dichas unidades; propuesta con la cual coincidimos en cuanto a su procedencia quienes integramos la presente comisión dictaminadora.</w:t>
      </w:r>
    </w:p>
    <w:p w:rsidR="00463637" w:rsidRPr="00463637" w:rsidRDefault="00463637" w:rsidP="00463637">
      <w:pPr>
        <w:spacing w:line="360" w:lineRule="auto"/>
        <w:rPr>
          <w:rFonts w:cs="Arial"/>
          <w:sz w:val="26"/>
          <w:szCs w:val="26"/>
        </w:rPr>
      </w:pPr>
    </w:p>
    <w:p w:rsidR="00463637" w:rsidRPr="00463637" w:rsidRDefault="00463637" w:rsidP="00463637">
      <w:pPr>
        <w:widowControl w:val="0"/>
        <w:autoSpaceDE w:val="0"/>
        <w:autoSpaceDN w:val="0"/>
        <w:adjustRightInd w:val="0"/>
        <w:spacing w:line="360" w:lineRule="auto"/>
        <w:rPr>
          <w:rFonts w:cs="Arial"/>
          <w:sz w:val="26"/>
          <w:szCs w:val="26"/>
        </w:rPr>
      </w:pPr>
      <w:r w:rsidRPr="00463637">
        <w:rPr>
          <w:rFonts w:cs="Arial"/>
          <w:b/>
          <w:bCs/>
          <w:kern w:val="36"/>
          <w:sz w:val="26"/>
          <w:szCs w:val="26"/>
          <w:lang w:eastAsia="es-MX"/>
        </w:rPr>
        <w:t>CUARTO.-</w:t>
      </w:r>
      <w:r w:rsidRPr="00463637">
        <w:rPr>
          <w:rFonts w:cs="Arial"/>
          <w:bCs/>
          <w:kern w:val="36"/>
          <w:sz w:val="26"/>
          <w:szCs w:val="26"/>
          <w:lang w:eastAsia="es-MX"/>
        </w:rPr>
        <w:t xml:space="preserve"> Por las consideraciones antes expuestas, es que</w:t>
      </w:r>
      <w:r w:rsidRPr="00463637">
        <w:rPr>
          <w:rFonts w:cs="Arial"/>
          <w:sz w:val="26"/>
          <w:szCs w:val="26"/>
        </w:rPr>
        <w:t xml:space="preserve"> estimamos pertinente emitir y poner a consideración del pleno el siguiente:</w:t>
      </w:r>
    </w:p>
    <w:p w:rsidR="00463637" w:rsidRPr="00463637" w:rsidRDefault="00463637" w:rsidP="00463637">
      <w:pPr>
        <w:spacing w:line="360" w:lineRule="auto"/>
        <w:jc w:val="center"/>
        <w:rPr>
          <w:rFonts w:cs="Arial"/>
          <w:b/>
          <w:sz w:val="26"/>
          <w:szCs w:val="26"/>
        </w:rPr>
      </w:pPr>
    </w:p>
    <w:p w:rsidR="00463637" w:rsidRPr="00463637" w:rsidRDefault="00463637" w:rsidP="00463637">
      <w:pPr>
        <w:spacing w:line="360" w:lineRule="auto"/>
        <w:jc w:val="center"/>
        <w:rPr>
          <w:rFonts w:cs="Arial"/>
          <w:b/>
          <w:sz w:val="26"/>
          <w:szCs w:val="26"/>
        </w:rPr>
      </w:pPr>
      <w:r w:rsidRPr="00463637">
        <w:rPr>
          <w:rFonts w:cs="Arial"/>
          <w:b/>
          <w:sz w:val="26"/>
          <w:szCs w:val="26"/>
        </w:rPr>
        <w:t>PROYECTO DE DECRETO.</w:t>
      </w:r>
    </w:p>
    <w:p w:rsidR="00463637" w:rsidRPr="00463637" w:rsidRDefault="00463637" w:rsidP="00463637">
      <w:pPr>
        <w:widowControl w:val="0"/>
        <w:autoSpaceDE w:val="0"/>
        <w:autoSpaceDN w:val="0"/>
        <w:adjustRightInd w:val="0"/>
        <w:spacing w:line="360" w:lineRule="auto"/>
        <w:rPr>
          <w:rFonts w:cs="Arial"/>
          <w:sz w:val="28"/>
          <w:szCs w:val="28"/>
        </w:rPr>
      </w:pPr>
      <w:r w:rsidRPr="00463637">
        <w:rPr>
          <w:rFonts w:cs="Arial"/>
          <w:b/>
          <w:bCs/>
          <w:sz w:val="26"/>
          <w:szCs w:val="26"/>
        </w:rPr>
        <w:t xml:space="preserve">ARTÍCULO ÚNICO: </w:t>
      </w:r>
      <w:r w:rsidRPr="00463637">
        <w:rPr>
          <w:rFonts w:cs="Arial"/>
          <w:bCs/>
          <w:sz w:val="26"/>
          <w:szCs w:val="26"/>
        </w:rPr>
        <w:t>Se reforma la fracción VI del artículo 100</w:t>
      </w:r>
      <w:r w:rsidRPr="00463637">
        <w:rPr>
          <w:rFonts w:cs="Arial"/>
          <w:b/>
          <w:bCs/>
          <w:sz w:val="26"/>
          <w:szCs w:val="26"/>
        </w:rPr>
        <w:t xml:space="preserve">, </w:t>
      </w:r>
      <w:r w:rsidRPr="00463637">
        <w:rPr>
          <w:rFonts w:cs="Arial"/>
          <w:bCs/>
          <w:sz w:val="26"/>
          <w:szCs w:val="26"/>
        </w:rPr>
        <w:t>así mismos</w:t>
      </w:r>
      <w:r w:rsidRPr="00463637">
        <w:rPr>
          <w:rFonts w:cs="Arial"/>
          <w:sz w:val="28"/>
          <w:szCs w:val="28"/>
        </w:rPr>
        <w:t>e adiciona la fracción XII del artículo 178, ambos de la Ley de Transporte y Movilidad Sustentable para el Estado de Coahuila de Zaragoza, para quedar como siguen:</w:t>
      </w:r>
    </w:p>
    <w:p w:rsidR="00463637" w:rsidRPr="00463637" w:rsidRDefault="00463637" w:rsidP="00463637">
      <w:pPr>
        <w:widowControl w:val="0"/>
        <w:autoSpaceDE w:val="0"/>
        <w:autoSpaceDN w:val="0"/>
        <w:adjustRightInd w:val="0"/>
        <w:spacing w:line="360" w:lineRule="auto"/>
        <w:rPr>
          <w:rFonts w:cs="Arial"/>
          <w:bCs/>
          <w:sz w:val="26"/>
          <w:szCs w:val="26"/>
        </w:rPr>
      </w:pPr>
    </w:p>
    <w:p w:rsidR="00463637" w:rsidRPr="00463637" w:rsidRDefault="00463637" w:rsidP="00463637">
      <w:pPr>
        <w:autoSpaceDE w:val="0"/>
        <w:autoSpaceDN w:val="0"/>
        <w:adjustRightInd w:val="0"/>
        <w:spacing w:line="360" w:lineRule="auto"/>
        <w:rPr>
          <w:rFonts w:cs="Arial"/>
          <w:sz w:val="26"/>
          <w:szCs w:val="26"/>
        </w:rPr>
      </w:pPr>
      <w:r w:rsidRPr="00463637">
        <w:rPr>
          <w:rFonts w:cs="Arial"/>
          <w:b/>
          <w:sz w:val="26"/>
          <w:szCs w:val="26"/>
        </w:rPr>
        <w:t xml:space="preserve">ARTÍCULO 100. </w:t>
      </w:r>
      <w:r w:rsidRPr="00463637">
        <w:rPr>
          <w:rFonts w:cs="Arial"/>
          <w:sz w:val="26"/>
          <w:szCs w:val="26"/>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rsidR="00463637" w:rsidRPr="00463637" w:rsidRDefault="00463637" w:rsidP="00463637">
      <w:pPr>
        <w:spacing w:line="360" w:lineRule="auto"/>
        <w:rPr>
          <w:rFonts w:cs="Arial"/>
          <w:sz w:val="26"/>
          <w:szCs w:val="26"/>
        </w:rPr>
      </w:pPr>
      <w:r w:rsidRPr="00463637">
        <w:rPr>
          <w:rFonts w:cs="Arial"/>
          <w:sz w:val="26"/>
          <w:szCs w:val="26"/>
        </w:rPr>
        <w:t>I a V……</w:t>
      </w:r>
    </w:p>
    <w:p w:rsidR="00463637" w:rsidRPr="00463637" w:rsidRDefault="00463637" w:rsidP="00463637">
      <w:pPr>
        <w:spacing w:line="360" w:lineRule="auto"/>
        <w:ind w:left="454" w:hanging="454"/>
        <w:contextualSpacing/>
        <w:rPr>
          <w:rFonts w:cs="Arial"/>
          <w:sz w:val="26"/>
          <w:szCs w:val="26"/>
        </w:rPr>
      </w:pPr>
      <w:r w:rsidRPr="00463637">
        <w:rPr>
          <w:rFonts w:cs="Arial"/>
          <w:b/>
          <w:sz w:val="26"/>
          <w:szCs w:val="26"/>
        </w:rPr>
        <w:t>VI.</w:t>
      </w:r>
      <w:r w:rsidRPr="00463637">
        <w:rPr>
          <w:rFonts w:cs="Arial"/>
          <w:sz w:val="26"/>
          <w:szCs w:val="26"/>
        </w:rPr>
        <w:tab/>
        <w:t>Póliza de seguro de cobertura amplia para el tipo de servicio que presta, y que cubra la responsabilidad civil por daños, lesiones o muerte de los usuarios y de terceros;</w:t>
      </w:r>
    </w:p>
    <w:p w:rsidR="00463637" w:rsidRPr="00463637" w:rsidRDefault="00463637" w:rsidP="00463637">
      <w:pPr>
        <w:spacing w:line="360" w:lineRule="auto"/>
        <w:rPr>
          <w:rFonts w:cs="Arial"/>
          <w:sz w:val="26"/>
          <w:szCs w:val="26"/>
        </w:rPr>
      </w:pPr>
      <w:r w:rsidRPr="00463637">
        <w:rPr>
          <w:rFonts w:cs="Arial"/>
          <w:sz w:val="26"/>
          <w:szCs w:val="26"/>
        </w:rPr>
        <w:t>VII a VIII….</w:t>
      </w:r>
    </w:p>
    <w:p w:rsidR="00463637" w:rsidRPr="00463637" w:rsidRDefault="00463637" w:rsidP="00463637">
      <w:pPr>
        <w:spacing w:line="360" w:lineRule="auto"/>
        <w:rPr>
          <w:rFonts w:cs="Arial"/>
          <w:sz w:val="26"/>
          <w:szCs w:val="26"/>
        </w:rPr>
      </w:pPr>
    </w:p>
    <w:p w:rsidR="00463637" w:rsidRPr="00463637" w:rsidRDefault="00463637" w:rsidP="00463637">
      <w:pPr>
        <w:widowControl w:val="0"/>
        <w:tabs>
          <w:tab w:val="left" w:pos="1134"/>
        </w:tabs>
        <w:autoSpaceDE w:val="0"/>
        <w:autoSpaceDN w:val="0"/>
        <w:adjustRightInd w:val="0"/>
        <w:spacing w:line="360" w:lineRule="auto"/>
        <w:rPr>
          <w:rFonts w:cs="Arial"/>
          <w:b/>
          <w:sz w:val="26"/>
          <w:szCs w:val="26"/>
        </w:rPr>
      </w:pPr>
      <w:r w:rsidRPr="00463637">
        <w:rPr>
          <w:rFonts w:cs="Arial"/>
          <w:b/>
          <w:sz w:val="26"/>
          <w:szCs w:val="26"/>
        </w:rPr>
        <w:t>ARTÍCULO 178….</w:t>
      </w:r>
    </w:p>
    <w:p w:rsidR="00463637" w:rsidRPr="00463637" w:rsidRDefault="00463637" w:rsidP="00463637">
      <w:pPr>
        <w:widowControl w:val="0"/>
        <w:tabs>
          <w:tab w:val="left" w:pos="1134"/>
        </w:tabs>
        <w:autoSpaceDE w:val="0"/>
        <w:autoSpaceDN w:val="0"/>
        <w:adjustRightInd w:val="0"/>
        <w:spacing w:line="360" w:lineRule="auto"/>
        <w:rPr>
          <w:rFonts w:cs="Arial"/>
          <w:sz w:val="26"/>
          <w:szCs w:val="26"/>
        </w:rPr>
      </w:pPr>
      <w:r w:rsidRPr="00463637">
        <w:rPr>
          <w:rFonts w:cs="Arial"/>
          <w:sz w:val="26"/>
          <w:szCs w:val="26"/>
        </w:rPr>
        <w:t>I a la XI….</w:t>
      </w:r>
    </w:p>
    <w:p w:rsidR="00463637" w:rsidRPr="00463637" w:rsidRDefault="00463637" w:rsidP="00463637">
      <w:pPr>
        <w:widowControl w:val="0"/>
        <w:tabs>
          <w:tab w:val="left" w:pos="1134"/>
        </w:tabs>
        <w:autoSpaceDE w:val="0"/>
        <w:autoSpaceDN w:val="0"/>
        <w:adjustRightInd w:val="0"/>
        <w:spacing w:line="360" w:lineRule="auto"/>
        <w:rPr>
          <w:rFonts w:cs="Arial"/>
          <w:b/>
          <w:sz w:val="26"/>
          <w:szCs w:val="26"/>
        </w:rPr>
      </w:pPr>
    </w:p>
    <w:p w:rsidR="00463637" w:rsidRPr="00463637" w:rsidRDefault="00463637" w:rsidP="00463637">
      <w:pPr>
        <w:widowControl w:val="0"/>
        <w:tabs>
          <w:tab w:val="left" w:pos="1134"/>
        </w:tabs>
        <w:autoSpaceDE w:val="0"/>
        <w:autoSpaceDN w:val="0"/>
        <w:adjustRightInd w:val="0"/>
        <w:spacing w:line="360" w:lineRule="auto"/>
        <w:rPr>
          <w:rFonts w:cs="Arial"/>
          <w:sz w:val="26"/>
          <w:szCs w:val="26"/>
        </w:rPr>
      </w:pPr>
      <w:r w:rsidRPr="00463637">
        <w:rPr>
          <w:rFonts w:cs="Arial"/>
          <w:b/>
          <w:sz w:val="26"/>
          <w:szCs w:val="26"/>
        </w:rPr>
        <w:t>XII.</w:t>
      </w:r>
      <w:r w:rsidRPr="00463637">
        <w:rPr>
          <w:rFonts w:cs="Arial"/>
          <w:sz w:val="26"/>
          <w:szCs w:val="26"/>
        </w:rPr>
        <w:t xml:space="preserve"> El análisis detallado de los compromisos, de ser el caso, que fueron cumplidos  o incumplidos por los concesionarios en relación al último incremento de tarifas que les fue autorizado.</w:t>
      </w:r>
    </w:p>
    <w:p w:rsidR="00463637" w:rsidRPr="00463637" w:rsidRDefault="00463637" w:rsidP="00463637">
      <w:pPr>
        <w:widowControl w:val="0"/>
        <w:tabs>
          <w:tab w:val="left" w:pos="1134"/>
        </w:tabs>
        <w:autoSpaceDE w:val="0"/>
        <w:autoSpaceDN w:val="0"/>
        <w:adjustRightInd w:val="0"/>
        <w:spacing w:line="360" w:lineRule="auto"/>
        <w:rPr>
          <w:rFonts w:cs="Arial"/>
          <w:sz w:val="26"/>
          <w:szCs w:val="26"/>
        </w:rPr>
      </w:pPr>
    </w:p>
    <w:p w:rsidR="00463637" w:rsidRPr="00463637" w:rsidRDefault="00463637" w:rsidP="00463637">
      <w:pPr>
        <w:spacing w:line="360" w:lineRule="auto"/>
        <w:jc w:val="center"/>
        <w:rPr>
          <w:rFonts w:cs="Arial"/>
          <w:b/>
          <w:sz w:val="26"/>
          <w:szCs w:val="26"/>
        </w:rPr>
      </w:pPr>
      <w:r w:rsidRPr="00463637">
        <w:rPr>
          <w:rFonts w:cs="Arial"/>
          <w:b/>
          <w:sz w:val="26"/>
          <w:szCs w:val="26"/>
        </w:rPr>
        <w:t>TRANSITORIOS</w:t>
      </w:r>
    </w:p>
    <w:p w:rsidR="00463637" w:rsidRPr="00463637" w:rsidRDefault="00463637" w:rsidP="00463637">
      <w:pPr>
        <w:spacing w:line="360" w:lineRule="auto"/>
        <w:rPr>
          <w:rFonts w:cs="Arial"/>
          <w:b/>
          <w:sz w:val="26"/>
          <w:szCs w:val="26"/>
        </w:rPr>
      </w:pPr>
    </w:p>
    <w:p w:rsidR="00463637" w:rsidRPr="00463637" w:rsidRDefault="00463637" w:rsidP="00463637">
      <w:pPr>
        <w:spacing w:line="360" w:lineRule="auto"/>
        <w:rPr>
          <w:rFonts w:cs="Arial"/>
          <w:sz w:val="26"/>
          <w:szCs w:val="26"/>
        </w:rPr>
      </w:pPr>
      <w:r w:rsidRPr="00463637">
        <w:rPr>
          <w:rFonts w:cs="Arial"/>
          <w:b/>
          <w:sz w:val="26"/>
          <w:szCs w:val="26"/>
        </w:rPr>
        <w:t xml:space="preserve">PRIMERO.- </w:t>
      </w:r>
      <w:r w:rsidRPr="00463637">
        <w:rPr>
          <w:rFonts w:cs="Arial"/>
          <w:sz w:val="26"/>
          <w:szCs w:val="26"/>
        </w:rPr>
        <w:t>El presente decreto entrará en vigor al día siguiente de su publicación en el Periódico Oficial del Gobierno del Estado.</w:t>
      </w:r>
    </w:p>
    <w:p w:rsidR="00463637" w:rsidRPr="00463637" w:rsidRDefault="00463637" w:rsidP="00463637">
      <w:pPr>
        <w:spacing w:line="360" w:lineRule="auto"/>
        <w:rPr>
          <w:rFonts w:cs="Arial"/>
          <w:sz w:val="26"/>
          <w:szCs w:val="26"/>
        </w:rPr>
      </w:pPr>
    </w:p>
    <w:p w:rsidR="00463637" w:rsidRPr="00463637" w:rsidRDefault="00463637" w:rsidP="00463637">
      <w:pPr>
        <w:spacing w:after="240" w:line="360" w:lineRule="auto"/>
        <w:rPr>
          <w:rFonts w:cs="Arial"/>
          <w:sz w:val="26"/>
          <w:szCs w:val="26"/>
        </w:rPr>
      </w:pPr>
      <w:r w:rsidRPr="00463637">
        <w:rPr>
          <w:rFonts w:cs="Arial"/>
          <w:b/>
          <w:sz w:val="26"/>
          <w:szCs w:val="26"/>
        </w:rPr>
        <w:t>SEGUNDO.-</w:t>
      </w:r>
      <w:r w:rsidRPr="00463637">
        <w:rPr>
          <w:rFonts w:cs="Arial"/>
          <w:sz w:val="26"/>
          <w:szCs w:val="26"/>
        </w:rPr>
        <w:t>Se derogan las disposiciones que se opongan al presente decreto.</w:t>
      </w:r>
    </w:p>
    <w:p w:rsidR="00463637" w:rsidRDefault="00463637" w:rsidP="00463637">
      <w:pPr>
        <w:autoSpaceDE w:val="0"/>
        <w:autoSpaceDN w:val="0"/>
        <w:adjustRightInd w:val="0"/>
        <w:spacing w:line="360" w:lineRule="auto"/>
        <w:rPr>
          <w:rFonts w:eastAsia="Calibri" w:cs="Arial"/>
          <w:color w:val="000000"/>
          <w:sz w:val="26"/>
          <w:szCs w:val="26"/>
        </w:rPr>
      </w:pPr>
      <w:r w:rsidRPr="00463637">
        <w:rPr>
          <w:rFonts w:eastAsia="Calibri" w:cs="Arial"/>
          <w:color w:val="000000"/>
          <w:sz w:val="26"/>
          <w:szCs w:val="26"/>
        </w:rPr>
        <w:t>Así lo acuerdan las y los Diputados integrantes de la Comisión</w:t>
      </w:r>
      <w:r w:rsidRPr="00463637">
        <w:rPr>
          <w:rFonts w:eastAsia="Calibri" w:cs="Arial"/>
          <w:sz w:val="26"/>
          <w:szCs w:val="26"/>
        </w:rPr>
        <w:t xml:space="preserve">de Desarrollo Urbano, Infraestructura y Transporte </w:t>
      </w:r>
      <w:r w:rsidRPr="00463637">
        <w:rPr>
          <w:rFonts w:eastAsia="Calibri" w:cs="Arial"/>
          <w:color w:val="000000"/>
          <w:sz w:val="26"/>
          <w:szCs w:val="26"/>
        </w:rPr>
        <w:t xml:space="preserve">de la Sexagésima Primera Legislatura del Congreso del Estado, Independiente, Libre y Soberano de Coahuila de </w:t>
      </w:r>
      <w:r w:rsidRPr="00463637">
        <w:rPr>
          <w:rFonts w:eastAsia="Calibri" w:cs="Arial"/>
          <w:color w:val="000000"/>
          <w:sz w:val="26"/>
          <w:szCs w:val="26"/>
        </w:rPr>
        <w:lastRenderedPageBreak/>
        <w:t xml:space="preserve">Zaragoza,Dip. Edgar Gerardo Sánchez Garza, (Coordinador), Dip. Josefina Garza Barrera (Secretaria), </w:t>
      </w:r>
      <w:r w:rsidRPr="00463637">
        <w:rPr>
          <w:rFonts w:eastAsia="Calibri" w:cs="Arial"/>
          <w:color w:val="000000"/>
          <w:sz w:val="26"/>
          <w:szCs w:val="26"/>
          <w:lang w:val="es-ES"/>
        </w:rPr>
        <w:t>Dip. Juan Antonio García Villa, Dip. Jesús Berino Granados y Dip. María Eugenia Cázares</w:t>
      </w:r>
      <w:r w:rsidRPr="00463637">
        <w:rPr>
          <w:rFonts w:eastAsia="Calibri" w:cs="Arial"/>
          <w:color w:val="000000"/>
          <w:sz w:val="26"/>
          <w:szCs w:val="26"/>
        </w:rPr>
        <w:t>.En la Ciudad de Saltillo, Coahuila de Zaragoza, a 07 de Octubre de 2019.</w:t>
      </w:r>
    </w:p>
    <w:p w:rsidR="00463637" w:rsidRPr="00463637" w:rsidRDefault="00463637" w:rsidP="00463637">
      <w:pPr>
        <w:autoSpaceDE w:val="0"/>
        <w:autoSpaceDN w:val="0"/>
        <w:adjustRightInd w:val="0"/>
        <w:spacing w:line="360" w:lineRule="auto"/>
        <w:rPr>
          <w:rFonts w:eastAsia="Calibri" w:cs="Arial"/>
          <w:color w:val="000000"/>
          <w:sz w:val="26"/>
          <w:szCs w:val="26"/>
        </w:rPr>
      </w:pPr>
    </w:p>
    <w:p w:rsidR="00463637" w:rsidRDefault="00463637" w:rsidP="00463637">
      <w:pPr>
        <w:jc w:val="center"/>
        <w:rPr>
          <w:rFonts w:cs="Arial"/>
          <w:b/>
          <w:sz w:val="22"/>
          <w:szCs w:val="22"/>
        </w:rPr>
      </w:pPr>
      <w:r w:rsidRPr="00463637">
        <w:rPr>
          <w:rFonts w:cs="Arial"/>
          <w:b/>
          <w:sz w:val="22"/>
          <w:szCs w:val="22"/>
        </w:rPr>
        <w:t>POR LA COMISIÓN DE DESARROLLO URBANO, INFRAESTRUCTURA Y TRANSPORTE</w:t>
      </w:r>
    </w:p>
    <w:p w:rsidR="00463637" w:rsidRPr="00463637" w:rsidRDefault="00463637" w:rsidP="00463637">
      <w:pPr>
        <w:jc w:val="center"/>
        <w:rPr>
          <w:rFonts w:cs="Arial"/>
          <w:b/>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320"/>
        <w:gridCol w:w="1777"/>
        <w:gridCol w:w="541"/>
        <w:gridCol w:w="1436"/>
      </w:tblGrid>
      <w:tr w:rsidR="00463637" w:rsidRPr="00463637" w:rsidTr="004E0A9E">
        <w:trPr>
          <w:jc w:val="center"/>
        </w:trPr>
        <w:tc>
          <w:tcPr>
            <w:tcW w:w="3231" w:type="dxa"/>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NOMBRE Y FIRMA</w:t>
            </w:r>
          </w:p>
        </w:tc>
        <w:tc>
          <w:tcPr>
            <w:tcW w:w="0" w:type="auto"/>
            <w:gridSpan w:val="3"/>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VOTO</w:t>
            </w:r>
          </w:p>
        </w:tc>
        <w:tc>
          <w:tcPr>
            <w:tcW w:w="0" w:type="auto"/>
            <w:gridSpan w:val="2"/>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RESERVA DE ARTÍCULOS</w:t>
            </w:r>
          </w:p>
        </w:tc>
      </w:tr>
      <w:tr w:rsidR="00463637" w:rsidRPr="00463637" w:rsidTr="004E0A9E">
        <w:trPr>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DIP. EDGAR GERARDO SANCHEZ GARZA</w:t>
            </w:r>
          </w:p>
          <w:p w:rsidR="00463637" w:rsidRPr="00463637" w:rsidRDefault="00463637" w:rsidP="00463637">
            <w:pPr>
              <w:rPr>
                <w:rFonts w:eastAsia="Calibri" w:cs="Arial"/>
                <w:sz w:val="24"/>
                <w:szCs w:val="24"/>
              </w:rPr>
            </w:pPr>
            <w:r w:rsidRPr="00463637">
              <w:rPr>
                <w:rFonts w:eastAsia="Calibri" w:cs="Arial"/>
                <w:sz w:val="24"/>
                <w:szCs w:val="24"/>
              </w:rPr>
              <w:t>(COORDINADOR)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 xml:space="preserve">DIP. JOSEFINA GARZA BARRERA </w:t>
            </w:r>
          </w:p>
          <w:p w:rsidR="00463637" w:rsidRPr="00463637" w:rsidRDefault="00463637" w:rsidP="00463637">
            <w:pPr>
              <w:rPr>
                <w:rFonts w:eastAsia="Calibri" w:cs="Arial"/>
                <w:sz w:val="24"/>
                <w:szCs w:val="24"/>
              </w:rPr>
            </w:pPr>
            <w:r w:rsidRPr="00463637">
              <w:rPr>
                <w:rFonts w:eastAsia="Calibri" w:cs="Arial"/>
                <w:sz w:val="24"/>
                <w:szCs w:val="24"/>
              </w:rPr>
              <w:t>(SECRETARIA)</w:t>
            </w:r>
          </w:p>
          <w:p w:rsidR="00463637" w:rsidRPr="00463637" w:rsidRDefault="00463637" w:rsidP="00463637">
            <w:pPr>
              <w:rPr>
                <w:rFonts w:eastAsia="Calibri" w:cs="Arial"/>
                <w:sz w:val="24"/>
                <w:szCs w:val="24"/>
              </w:rPr>
            </w:pP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 xml:space="preserve">DIP. JUAN ANTONIO GARCÍA VILLA </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 xml:space="preserve">DIP. JESUS BERINO GRANADOS </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DIP. MARÍA EUGENIA CÁZARES MARTÍNEZ</w:t>
            </w:r>
          </w:p>
          <w:p w:rsidR="00463637" w:rsidRPr="00463637" w:rsidRDefault="00463637" w:rsidP="00463637">
            <w:pPr>
              <w:rPr>
                <w:rFonts w:eastAsia="Calibri" w:cs="Arial"/>
                <w:sz w:val="24"/>
                <w:szCs w:val="24"/>
              </w:rPr>
            </w:pP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lastRenderedPageBreak/>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bl>
    <w:p w:rsidR="00463637" w:rsidRPr="00463637" w:rsidRDefault="00463637" w:rsidP="00463637">
      <w:pPr>
        <w:rPr>
          <w:rFonts w:cs="Arial"/>
          <w:sz w:val="24"/>
          <w:szCs w:val="24"/>
        </w:rPr>
      </w:pPr>
    </w:p>
    <w:p w:rsidR="00463637" w:rsidRDefault="00463637">
      <w:pPr>
        <w:jc w:val="left"/>
        <w:rPr>
          <w:sz w:val="26"/>
          <w:szCs w:val="26"/>
        </w:rPr>
      </w:pPr>
      <w:r>
        <w:rPr>
          <w:sz w:val="26"/>
          <w:szCs w:val="26"/>
        </w:rPr>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para reformar el artículo 58 del Código Electoral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58 del Código Electoral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lastRenderedPageBreak/>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rPr>
          <w:sz w:val="16"/>
          <w:szCs w:val="16"/>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TERCERO.-</w:t>
      </w:r>
      <w:r w:rsidRPr="00B6370F">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after="160" w:line="360" w:lineRule="auto"/>
        <w:rPr>
          <w:rFonts w:eastAsia="Calibri" w:cs="Arial"/>
          <w:sz w:val="24"/>
          <w:szCs w:val="24"/>
          <w:lang w:eastAsia="en-US"/>
        </w:rPr>
      </w:pPr>
      <w:r w:rsidRPr="00B6370F">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 xml:space="preserve">CUARTO.- </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Hacienda,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w:t>
      </w:r>
      <w:r w:rsidRPr="00B6370F">
        <w:rPr>
          <w:rFonts w:eastAsia="Calibri" w:cs="Arial"/>
          <w:sz w:val="24"/>
          <w:szCs w:val="24"/>
          <w:lang w:eastAsia="en-US"/>
        </w:rPr>
        <w:lastRenderedPageBreak/>
        <w:t>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inciso A fracción I e inciso B, fracción I y II del artículo 58 del Código Electoral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 xml:space="preserve">Jaime Bueno </w:t>
      </w:r>
      <w:r w:rsidRPr="00B6370F">
        <w:rPr>
          <w:rFonts w:eastAsia="Calibri" w:cs="Arial"/>
          <w:color w:val="000000"/>
          <w:sz w:val="24"/>
          <w:szCs w:val="24"/>
          <w:lang w:val="es-ES"/>
        </w:rPr>
        <w:lastRenderedPageBreak/>
        <w:t>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spacing w:line="360" w:lineRule="auto"/>
        <w:rPr>
          <w:rFonts w:cs="Arial"/>
          <w:sz w:val="24"/>
          <w:szCs w:val="24"/>
        </w:rPr>
      </w:pPr>
    </w:p>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Código Fiscal para el Estado de Coahuila de Zaragoza, al Código Financiero para los Municipios del Estado de Coahuila de Zaragoza y a la Ley de Desarrollo Económico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Código Fiscal para el Estado de Coahuila de Zaragoza, al Código Financiero para los Municipios del Estado de Coahuila de Zaragoza y a la Ley de Desarrollo Económico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rPr>
          <w:sz w:val="16"/>
          <w:szCs w:val="16"/>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lastRenderedPageBreak/>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w:t>
      </w:r>
      <w:r w:rsidRPr="00B6370F">
        <w:rPr>
          <w:rFonts w:eastAsia="Calibri" w:cs="Arial"/>
          <w:sz w:val="24"/>
          <w:szCs w:val="24"/>
          <w:lang w:eastAsia="en-US"/>
        </w:rPr>
        <w:lastRenderedPageBreak/>
        <w:t>ante el Pleno del Congreso o ante el Presidente de la Mesa Directiva,  más adelante en el propio texto se señala que el Ciudadano se permite “presentar (…) a este H. Congreso del Estado de Coahuila de Zaragoza la Iniciativa(…)”, en virtud de lo cual se reitera que la iniciativa se ajusta a lo dispuesto por el artículo 42.</w:t>
      </w:r>
    </w:p>
    <w:p w:rsidR="00B6370F" w:rsidRPr="00B6370F" w:rsidRDefault="00B6370F" w:rsidP="00B6370F">
      <w:pPr>
        <w:rPr>
          <w:sz w:val="16"/>
          <w:szCs w:val="16"/>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Código Fiscal para el Estado de Coahuila de Zaragoza, al Código Financiero para los Municipios del Estado de Coahuila de Zaragoza y a la Ley de Desarrollo Económico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B6370F">
        <w:rPr>
          <w:rFonts w:eastAsia="Calibri" w:cs="Arial"/>
          <w:color w:val="000000"/>
          <w:sz w:val="24"/>
          <w:szCs w:val="24"/>
        </w:rPr>
        <w:lastRenderedPageBreak/>
        <w:t xml:space="preserve">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188 y una adición de los artículos 188 Bis, 188 Ter, 188 Quater y 188 Quinquies del Código Penal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188 y una adición de los artículos 188 Bis, 188 Ter, 188 Quater y 188 Quinquies del Código Penal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lastRenderedPageBreak/>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jc w:val="left"/>
        <w:rPr>
          <w:b/>
          <w:sz w:val="16"/>
          <w:szCs w:val="16"/>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w:t>
      </w:r>
      <w:r w:rsidRPr="00B6370F">
        <w:rPr>
          <w:rFonts w:eastAsia="Calibri" w:cs="Arial"/>
          <w:sz w:val="24"/>
          <w:szCs w:val="24"/>
          <w:lang w:eastAsia="en-US"/>
        </w:rPr>
        <w:lastRenderedPageBreak/>
        <w:t>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188 y una adición de los artículos 188 Bis, 188 Ter, 188 Quater y 188 Quinquies del Código Penal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 xml:space="preserve">Dip. Lucía Azucena Ramos Ramos, Dip. Gerardo Abraham Aguado Gómez, Dip. Emilio Alejandro de Hoyos Montemayor, Dip. José Benito Ramírez Rosas, Dip. Claudia Isela Ramírez </w:t>
      </w:r>
      <w:r w:rsidRPr="00B6370F">
        <w:rPr>
          <w:rFonts w:eastAsia="Calibri" w:cs="Arial"/>
          <w:color w:val="000000"/>
          <w:sz w:val="24"/>
          <w:szCs w:val="24"/>
          <w:lang w:val="es-ES"/>
        </w:rPr>
        <w:lastRenderedPageBreak/>
        <w:t>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23 de la Ley de Adquisiciones, Arrendamientos y Contratación de Servicios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23 de la Ley de Adquisiciones, Arrendamientos y Contratación de Servicios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lastRenderedPageBreak/>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sz w:val="16"/>
          <w:szCs w:val="16"/>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CUARTO.-</w:t>
      </w:r>
      <w:r w:rsidRPr="00B6370F">
        <w:rPr>
          <w:rFonts w:eastAsia="Calibri" w:cs="Arial"/>
          <w:sz w:val="24"/>
          <w:szCs w:val="24"/>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Auditoría Gubernamental y Cuenta Pública,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w:t>
      </w:r>
      <w:r w:rsidRPr="00B6370F">
        <w:rPr>
          <w:rFonts w:eastAsia="Calibri" w:cs="Arial"/>
          <w:sz w:val="24"/>
          <w:szCs w:val="24"/>
          <w:lang w:eastAsia="en-US"/>
        </w:rPr>
        <w:lastRenderedPageBreak/>
        <w:t>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23 de la Ley de Adquisiciones, Arrendamientos y Contratación de Servicios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16"/>
          <w:szCs w:val="16"/>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 xml:space="preserve">Dip. Lucía Azucena Ramos Ramos, Dip. Gerardo Abraham Aguado Gómez, Dip. Emilio Alejandro de Hoyos Montemayor, Dip. José Benito Ramírez Rosas, Dip. Claudia Isela Ramírez </w:t>
      </w:r>
      <w:r w:rsidRPr="00B6370F">
        <w:rPr>
          <w:rFonts w:eastAsia="Calibri" w:cs="Arial"/>
          <w:color w:val="000000"/>
          <w:sz w:val="24"/>
          <w:szCs w:val="24"/>
          <w:lang w:val="es-ES"/>
        </w:rPr>
        <w:lastRenderedPageBreak/>
        <w:t>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86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86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lastRenderedPageBreak/>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CUARTO.-</w:t>
      </w:r>
      <w:r w:rsidRPr="00B6370F">
        <w:rPr>
          <w:rFonts w:eastAsia="Calibri" w:cs="Arial"/>
          <w:sz w:val="24"/>
          <w:szCs w:val="24"/>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w:t>
      </w:r>
      <w:r w:rsidRPr="00B6370F">
        <w:rPr>
          <w:rFonts w:eastAsia="Calibri" w:cs="Arial"/>
          <w:sz w:val="24"/>
          <w:szCs w:val="24"/>
          <w:lang w:eastAsia="en-US"/>
        </w:rPr>
        <w:lastRenderedPageBreak/>
        <w:t>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86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156 bis y 156 quater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SEGUNDO.-Que</w:t>
      </w:r>
      <w:r w:rsidRPr="00B6370F">
        <w:rPr>
          <w:rFonts w:cs="Arial"/>
          <w:sz w:val="24"/>
          <w:szCs w:val="24"/>
        </w:rPr>
        <w:t xml:space="preserv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156 bis y 156 quater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lastRenderedPageBreak/>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sz w:val="16"/>
          <w:szCs w:val="16"/>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CUARTO.-</w:t>
      </w:r>
      <w:r w:rsidRPr="00B6370F">
        <w:rPr>
          <w:rFonts w:eastAsia="Calibri" w:cs="Arial"/>
          <w:sz w:val="24"/>
          <w:szCs w:val="24"/>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w:t>
      </w:r>
      <w:r w:rsidRPr="00B6370F">
        <w:rPr>
          <w:rFonts w:eastAsia="Calibri" w:cs="Arial"/>
          <w:sz w:val="24"/>
          <w:szCs w:val="24"/>
          <w:lang w:eastAsia="en-US"/>
        </w:rPr>
        <w:lastRenderedPageBreak/>
        <w:t>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156 bis y 156 quater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 xml:space="preserve">Dip. Lucía Azucena Ramos Ramos, Dip. Gerardo Abraham Aguado Gómez, Dip. Emilio Alejandro </w:t>
      </w:r>
      <w:r w:rsidRPr="00B6370F">
        <w:rPr>
          <w:rFonts w:eastAsia="Calibri" w:cs="Arial"/>
          <w:color w:val="000000"/>
          <w:sz w:val="24"/>
          <w:szCs w:val="24"/>
          <w:lang w:val="es-ES"/>
        </w:rPr>
        <w:lastRenderedPageBreak/>
        <w:t>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spacing w:line="360" w:lineRule="auto"/>
        <w:jc w:val="center"/>
        <w:rPr>
          <w:rFonts w:cs="Arial"/>
          <w:b/>
          <w:sz w:val="24"/>
          <w:szCs w:val="24"/>
        </w:rPr>
      </w:pPr>
    </w:p>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183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183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sz w:val="16"/>
          <w:szCs w:val="16"/>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w:t>
      </w:r>
      <w:r w:rsidRPr="00B6370F">
        <w:rPr>
          <w:rFonts w:eastAsia="Calibri" w:cs="Arial"/>
          <w:sz w:val="24"/>
          <w:szCs w:val="24"/>
          <w:lang w:eastAsia="en-US"/>
        </w:rPr>
        <w:lastRenderedPageBreak/>
        <w:t>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plantean una reforma al artículo 183 de la Ley del Equilibrio Ecológico y Protección al Ambiente del Estado de Coahuila de Zaragoza</w:t>
      </w:r>
      <w:r w:rsidRPr="00B6370F">
        <w:rPr>
          <w:rFonts w:cs="Arial"/>
          <w:sz w:val="24"/>
          <w:szCs w:val="24"/>
          <w:lang w:eastAsia="es-MX"/>
        </w:rPr>
        <w:t xml:space="preserve">, planteada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 xml:space="preserve">Dip. Lucía Azucena Ramos Ramos, Dip. Gerardo Abraham Aguado Gómez, Dip. Emilio Alejandro </w:t>
      </w:r>
      <w:r w:rsidRPr="00B6370F">
        <w:rPr>
          <w:rFonts w:eastAsia="Calibri" w:cs="Arial"/>
          <w:color w:val="000000"/>
          <w:sz w:val="24"/>
          <w:szCs w:val="24"/>
          <w:lang w:val="es-ES"/>
        </w:rPr>
        <w:lastRenderedPageBreak/>
        <w:t>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spacing w:line="360" w:lineRule="auto"/>
        <w:jc w:val="center"/>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los artículos 30 y 31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los artículos 30 y 31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lastRenderedPageBreak/>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w:t>
      </w:r>
      <w:r w:rsidRPr="00B6370F">
        <w:rPr>
          <w:rFonts w:eastAsia="Calibri" w:cs="Arial"/>
          <w:sz w:val="24"/>
          <w:szCs w:val="24"/>
          <w:lang w:eastAsia="en-US"/>
        </w:rPr>
        <w:lastRenderedPageBreak/>
        <w:t>fracción II del ya citado artículo 42, si bien es cierto a primera instancia se observa que el proyecto normativo va dirigido a la Coordinadora de la Comisión de Hacienda,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los artículos 30 y 31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lastRenderedPageBreak/>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5F6C30">
        <w:trPr>
          <w:trHeight w:val="951"/>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114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114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lastRenderedPageBreak/>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w:t>
      </w:r>
      <w:r w:rsidRPr="00B6370F">
        <w:rPr>
          <w:rFonts w:eastAsia="Calibri" w:cs="Arial"/>
          <w:sz w:val="24"/>
          <w:szCs w:val="24"/>
          <w:lang w:eastAsia="en-US"/>
        </w:rPr>
        <w:lastRenderedPageBreak/>
        <w:t>fracción II del ya citado artículo 42, si bien es cierto a primera instancia se observa que el proyecto normativo va dirigido a la Coordinadora de la Comisión de Hacienda,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114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lastRenderedPageBreak/>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de Prevención del Suicidio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de Prevención del Suicidio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lastRenderedPageBreak/>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w:t>
      </w:r>
      <w:r w:rsidRPr="00B6370F">
        <w:rPr>
          <w:rFonts w:eastAsia="Calibri" w:cs="Arial"/>
          <w:sz w:val="24"/>
          <w:szCs w:val="24"/>
          <w:lang w:eastAsia="en-US"/>
        </w:rPr>
        <w:lastRenderedPageBreak/>
        <w:t>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de Prevención del Suicidio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lastRenderedPageBreak/>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5F6C30">
        <w:trPr>
          <w:trHeight w:val="1036"/>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5F6C30">
        <w:trPr>
          <w:trHeight w:val="918"/>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de la Comisi</w:t>
      </w:r>
      <w:r w:rsidR="003F06EE">
        <w:rPr>
          <w:rFonts w:cs="Arial"/>
          <w:sz w:val="24"/>
          <w:szCs w:val="24"/>
          <w:lang w:eastAsia="es-MX"/>
        </w:rPr>
        <w:t>3</w:t>
      </w:r>
      <w:r w:rsidRPr="00B6370F">
        <w:rPr>
          <w:rFonts w:cs="Arial"/>
          <w:sz w:val="24"/>
          <w:szCs w:val="24"/>
          <w:lang w:eastAsia="es-MX"/>
        </w:rPr>
        <w:t xml:space="preserve">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20 de la Ley de Protección y Trato Digno a los Animales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20 de la Ley de Protección y Trato Digno a los Animales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lastRenderedPageBreak/>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w:t>
      </w:r>
      <w:r w:rsidRPr="00B6370F">
        <w:rPr>
          <w:rFonts w:eastAsia="Calibri" w:cs="Arial"/>
          <w:sz w:val="24"/>
          <w:szCs w:val="24"/>
          <w:lang w:eastAsia="en-US"/>
        </w:rPr>
        <w:lastRenderedPageBreak/>
        <w:t>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20 de la Ley de Protección y Trato Digno a los Animales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Estatal de Educación</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Estatal de Educación</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lastRenderedPageBreak/>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Educación, Cultura y Actividades Cívicas, lo cual contravendría lo dispuesto por el artículo 167 de la Ley Orgánica del Congreso que refiere que las iniciativas deberán presentarse ante el Pleno </w:t>
      </w:r>
      <w:r w:rsidRPr="00B6370F">
        <w:rPr>
          <w:rFonts w:eastAsia="Calibri" w:cs="Arial"/>
          <w:sz w:val="24"/>
          <w:szCs w:val="24"/>
          <w:lang w:eastAsia="en-US"/>
        </w:rPr>
        <w:lastRenderedPageBreak/>
        <w:t>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spacing w:line="360" w:lineRule="auto"/>
        <w:ind w:left="360"/>
        <w:rPr>
          <w:rFonts w:cs="Arial"/>
          <w:sz w:val="24"/>
          <w:szCs w:val="24"/>
          <w:lang w:eastAsia="es-MX"/>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Estatal de Educación</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B6370F">
        <w:rPr>
          <w:rFonts w:eastAsia="Calibri" w:cs="Arial"/>
          <w:color w:val="000000"/>
          <w:sz w:val="24"/>
          <w:szCs w:val="24"/>
        </w:rPr>
        <w:lastRenderedPageBreak/>
        <w:t xml:space="preserve">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Orgánica de la Fiscalía General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Orgánica de la Fiscalía General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w:t>
      </w:r>
      <w:r w:rsidRPr="00B6370F">
        <w:rPr>
          <w:rFonts w:eastAsia="Calibri" w:cs="Arial"/>
          <w:sz w:val="24"/>
          <w:szCs w:val="24"/>
          <w:lang w:eastAsia="en-US"/>
        </w:rPr>
        <w:lastRenderedPageBreak/>
        <w:t>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spacing w:line="360" w:lineRule="auto"/>
        <w:ind w:left="360"/>
        <w:rPr>
          <w:rFonts w:cs="Arial"/>
          <w:sz w:val="24"/>
          <w:szCs w:val="24"/>
          <w:lang w:eastAsia="es-MX"/>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Orgánica de la Fiscalía General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B6370F">
        <w:rPr>
          <w:rFonts w:eastAsia="Calibri" w:cs="Arial"/>
          <w:color w:val="000000"/>
          <w:sz w:val="24"/>
          <w:szCs w:val="24"/>
        </w:rPr>
        <w:lastRenderedPageBreak/>
        <w:t xml:space="preserve">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spacing w:line="360" w:lineRule="auto"/>
        <w:jc w:val="center"/>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lastRenderedPageBreak/>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para el Desarrollo Integral de la Juventud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para el Desarrollo Integral de la Juventud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lastRenderedPageBreak/>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spacing w:line="360" w:lineRule="auto"/>
        <w:rPr>
          <w:rFonts w:cs="Arial"/>
          <w:sz w:val="24"/>
          <w:szCs w:val="24"/>
          <w:lang w:eastAsia="es-MX"/>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after="160" w:line="360" w:lineRule="auto"/>
        <w:rPr>
          <w:rFonts w:eastAsia="Calibri" w:cs="Arial"/>
          <w:sz w:val="24"/>
          <w:szCs w:val="24"/>
          <w:lang w:eastAsia="en-US"/>
        </w:rPr>
      </w:pPr>
      <w:r w:rsidRPr="00B6370F">
        <w:rPr>
          <w:rFonts w:eastAsia="Calibri" w:cs="Arial"/>
          <w:b/>
          <w:sz w:val="24"/>
          <w:szCs w:val="24"/>
          <w:lang w:eastAsia="en-US"/>
        </w:rPr>
        <w:t xml:space="preserve">CUARTO.- </w:t>
      </w:r>
      <w:r w:rsidRPr="00B6370F">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w:t>
      </w:r>
      <w:r w:rsidRPr="00B6370F">
        <w:rPr>
          <w:rFonts w:eastAsia="Calibri" w:cs="Arial"/>
          <w:sz w:val="24"/>
          <w:szCs w:val="24"/>
          <w:lang w:eastAsia="en-US"/>
        </w:rPr>
        <w:lastRenderedPageBreak/>
        <w:t>fracción II del ya citado artículo 42, si bien es cierto a primera instancia se observa que el proyecto normativo va dirigido al Coordinador de la Comisión de Deporte y Juventud,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para el Desarrollo Integral de la Juventud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lastRenderedPageBreak/>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Default="00B6370F">
      <w:pPr>
        <w:jc w:val="left"/>
        <w:rPr>
          <w:sz w:val="26"/>
          <w:szCs w:val="26"/>
        </w:rPr>
      </w:pPr>
    </w:p>
    <w:sectPr w:rsidR="00B6370F" w:rsidSect="007D3497">
      <w:headerReference w:type="default" r:id="rId16"/>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C5" w:rsidRDefault="00EB3EC5">
      <w:r>
        <w:separator/>
      </w:r>
    </w:p>
  </w:endnote>
  <w:endnote w:type="continuationSeparator" w:id="0">
    <w:p w:rsidR="00EB3EC5" w:rsidRDefault="00EB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C5" w:rsidRDefault="00EB3EC5">
      <w:r>
        <w:separator/>
      </w:r>
    </w:p>
  </w:footnote>
  <w:footnote w:type="continuationSeparator" w:id="0">
    <w:p w:rsidR="00EB3EC5" w:rsidRDefault="00EB3EC5">
      <w:r>
        <w:continuationSeparator/>
      </w:r>
    </w:p>
  </w:footnote>
  <w:footnote w:id="1">
    <w:p w:rsidR="00433A65" w:rsidRPr="0014729F" w:rsidRDefault="00433A65" w:rsidP="00463637">
      <w:r>
        <w:footnoteRef/>
      </w:r>
      <w:r>
        <w:t xml:space="preserve"> La Convención sobre los Derechos del Niño </w:t>
      </w:r>
      <w:hyperlink r:id="rId1" w:history="1">
        <w:r w:rsidRPr="00A8562E">
          <w:t>https://www.unicef.org/mexico/spanish/mx_resources_textocdn.pdf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A65" w:rsidRPr="00D775E4" w:rsidTr="004836C4">
      <w:trPr>
        <w:jc w:val="center"/>
      </w:trPr>
      <w:tc>
        <w:tcPr>
          <w:tcW w:w="1253" w:type="dxa"/>
        </w:tcPr>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p w:rsidR="00433A65" w:rsidRPr="00D775E4" w:rsidRDefault="00433A65" w:rsidP="00C62362">
          <w:pPr>
            <w:jc w:val="center"/>
            <w:rPr>
              <w:b/>
              <w:bCs/>
              <w:sz w:val="12"/>
            </w:rPr>
          </w:pPr>
        </w:p>
      </w:tc>
      <w:tc>
        <w:tcPr>
          <w:tcW w:w="8623" w:type="dxa"/>
        </w:tcPr>
        <w:p w:rsidR="00433A65" w:rsidRPr="00815938" w:rsidRDefault="00433A65" w:rsidP="00C62362">
          <w:pPr>
            <w:jc w:val="center"/>
            <w:rPr>
              <w:b/>
              <w:bCs/>
              <w:sz w:val="24"/>
            </w:rPr>
          </w:pPr>
          <w:r>
            <w:rPr>
              <w:b/>
              <w:bCs/>
              <w:noProof/>
              <w:sz w:val="12"/>
              <w:lang w:eastAsia="es-MX"/>
            </w:rPr>
            <w:drawing>
              <wp:anchor distT="0" distB="0" distL="114300" distR="114300" simplePos="0" relativeHeight="251661312" behindDoc="0" locked="0" layoutInCell="1" allowOverlap="1">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anchor>
            </w:drawing>
          </w:r>
          <w:r>
            <w:rPr>
              <w:b/>
              <w:bCs/>
              <w:noProof/>
              <w:sz w:val="12"/>
              <w:lang w:eastAsia="es-MX"/>
            </w:rPr>
            <w:drawing>
              <wp:anchor distT="0" distB="0" distL="114300" distR="114300" simplePos="0" relativeHeight="251660288"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433A65" w:rsidRPr="002E1219" w:rsidRDefault="00433A65"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A65" w:rsidRDefault="00433A65"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A65" w:rsidRPr="00530EA8" w:rsidRDefault="00433A65" w:rsidP="00A02564">
          <w:pPr>
            <w:pStyle w:val="Encabezado"/>
            <w:tabs>
              <w:tab w:val="clear" w:pos="4252"/>
              <w:tab w:val="left" w:pos="-1528"/>
              <w:tab w:val="center" w:pos="-1386"/>
            </w:tabs>
            <w:jc w:val="center"/>
            <w:rPr>
              <w:rFonts w:cs="Arial"/>
              <w:bCs/>
              <w:smallCaps/>
              <w:spacing w:val="20"/>
              <w:sz w:val="16"/>
              <w:szCs w:val="32"/>
            </w:rPr>
          </w:pPr>
        </w:p>
        <w:p w:rsidR="00433A65" w:rsidRPr="00D775B7" w:rsidRDefault="00433A65"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433A65" w:rsidRPr="00D775E4" w:rsidRDefault="00433A65" w:rsidP="00C62362">
          <w:pPr>
            <w:ind w:left="-434" w:right="-672"/>
            <w:jc w:val="center"/>
            <w:rPr>
              <w:b/>
              <w:bCs/>
              <w:sz w:val="12"/>
            </w:rPr>
          </w:pPr>
        </w:p>
      </w:tc>
      <w:tc>
        <w:tcPr>
          <w:tcW w:w="1181" w:type="dxa"/>
        </w:tcPr>
        <w:p w:rsidR="00433A65" w:rsidRDefault="00433A65" w:rsidP="00C62362">
          <w:pPr>
            <w:jc w:val="center"/>
            <w:rPr>
              <w:b/>
              <w:bCs/>
              <w:sz w:val="12"/>
            </w:rPr>
          </w:pPr>
        </w:p>
        <w:p w:rsidR="00433A65" w:rsidRDefault="00433A65" w:rsidP="00C62362">
          <w:pPr>
            <w:jc w:val="center"/>
            <w:rPr>
              <w:b/>
              <w:bCs/>
              <w:sz w:val="12"/>
            </w:rPr>
          </w:pPr>
        </w:p>
        <w:p w:rsidR="00433A65" w:rsidRPr="00D775E4" w:rsidRDefault="00433A65" w:rsidP="00C62362">
          <w:pPr>
            <w:jc w:val="center"/>
            <w:rPr>
              <w:b/>
              <w:bCs/>
              <w:sz w:val="12"/>
            </w:rPr>
          </w:pPr>
        </w:p>
      </w:tc>
    </w:tr>
  </w:tbl>
  <w:p w:rsidR="00433A65" w:rsidRPr="00030032" w:rsidRDefault="00433A6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0"/>
  </w:num>
  <w:num w:numId="5">
    <w:abstractNumId w:val="9"/>
  </w:num>
  <w:num w:numId="6">
    <w:abstractNumId w:val="6"/>
  </w:num>
  <w:num w:numId="7">
    <w:abstractNumId w:val="4"/>
  </w:num>
  <w:num w:numId="8">
    <w:abstractNumId w:val="2"/>
  </w:num>
  <w:num w:numId="9">
    <w:abstractNumId w:val="1"/>
  </w:num>
  <w:num w:numId="10">
    <w:abstractNumId w:val="12"/>
  </w:num>
  <w:num w:numId="11">
    <w:abstractNumId w:val="8"/>
  </w:num>
  <w:num w:numId="12">
    <w:abstractNumId w:val="7"/>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958"/>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2BBD"/>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185"/>
    <w:rsid w:val="001A62AC"/>
    <w:rsid w:val="001A77E8"/>
    <w:rsid w:val="001A7AA2"/>
    <w:rsid w:val="001A7ABB"/>
    <w:rsid w:val="001B39D8"/>
    <w:rsid w:val="001B5EDF"/>
    <w:rsid w:val="001B6303"/>
    <w:rsid w:val="001C2191"/>
    <w:rsid w:val="001C4701"/>
    <w:rsid w:val="001C550D"/>
    <w:rsid w:val="001C64D6"/>
    <w:rsid w:val="001D1539"/>
    <w:rsid w:val="001D2B16"/>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5EED"/>
    <w:rsid w:val="003D66BF"/>
    <w:rsid w:val="003D74A5"/>
    <w:rsid w:val="003E2A8B"/>
    <w:rsid w:val="003E56D2"/>
    <w:rsid w:val="003E66A5"/>
    <w:rsid w:val="003F06EE"/>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1618"/>
    <w:rsid w:val="00433059"/>
    <w:rsid w:val="00433A65"/>
    <w:rsid w:val="00434C8F"/>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56F7D"/>
    <w:rsid w:val="00460295"/>
    <w:rsid w:val="00460D7F"/>
    <w:rsid w:val="0046205E"/>
    <w:rsid w:val="0046260D"/>
    <w:rsid w:val="00463637"/>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0A9E"/>
    <w:rsid w:val="004E16AC"/>
    <w:rsid w:val="004E24DE"/>
    <w:rsid w:val="004E2835"/>
    <w:rsid w:val="004E3889"/>
    <w:rsid w:val="004E5CD0"/>
    <w:rsid w:val="004E7546"/>
    <w:rsid w:val="004F0705"/>
    <w:rsid w:val="004F0AB1"/>
    <w:rsid w:val="004F18E2"/>
    <w:rsid w:val="004F24B9"/>
    <w:rsid w:val="004F293D"/>
    <w:rsid w:val="004F526F"/>
    <w:rsid w:val="004F561F"/>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4ECF"/>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1CD"/>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217"/>
    <w:rsid w:val="005D6412"/>
    <w:rsid w:val="005D65F1"/>
    <w:rsid w:val="005D7080"/>
    <w:rsid w:val="005E0EDD"/>
    <w:rsid w:val="005E1457"/>
    <w:rsid w:val="005E1F86"/>
    <w:rsid w:val="005E2B03"/>
    <w:rsid w:val="005E500C"/>
    <w:rsid w:val="005F4570"/>
    <w:rsid w:val="005F6C3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1DE"/>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1FED"/>
    <w:rsid w:val="0072347D"/>
    <w:rsid w:val="00724CDB"/>
    <w:rsid w:val="007254F3"/>
    <w:rsid w:val="00725501"/>
    <w:rsid w:val="00725A5B"/>
    <w:rsid w:val="007264D4"/>
    <w:rsid w:val="00727303"/>
    <w:rsid w:val="00730350"/>
    <w:rsid w:val="00732C38"/>
    <w:rsid w:val="00737144"/>
    <w:rsid w:val="00737687"/>
    <w:rsid w:val="00737793"/>
    <w:rsid w:val="007378AB"/>
    <w:rsid w:val="00737F69"/>
    <w:rsid w:val="007405D6"/>
    <w:rsid w:val="00742AD7"/>
    <w:rsid w:val="00742DED"/>
    <w:rsid w:val="007431CB"/>
    <w:rsid w:val="00747B94"/>
    <w:rsid w:val="00750FAA"/>
    <w:rsid w:val="00752DDD"/>
    <w:rsid w:val="007538A7"/>
    <w:rsid w:val="00754861"/>
    <w:rsid w:val="007576AD"/>
    <w:rsid w:val="007636C8"/>
    <w:rsid w:val="00763741"/>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4FE4"/>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C7A42"/>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0C11"/>
    <w:rsid w:val="00895F12"/>
    <w:rsid w:val="00895F16"/>
    <w:rsid w:val="00896045"/>
    <w:rsid w:val="008A017C"/>
    <w:rsid w:val="008A241C"/>
    <w:rsid w:val="008A38AD"/>
    <w:rsid w:val="008A41CC"/>
    <w:rsid w:val="008A4DEE"/>
    <w:rsid w:val="008A71CF"/>
    <w:rsid w:val="008A7311"/>
    <w:rsid w:val="008B0052"/>
    <w:rsid w:val="008B02EB"/>
    <w:rsid w:val="008B0959"/>
    <w:rsid w:val="008B10B6"/>
    <w:rsid w:val="008B223D"/>
    <w:rsid w:val="008B31B0"/>
    <w:rsid w:val="008B4D64"/>
    <w:rsid w:val="008B5BD3"/>
    <w:rsid w:val="008B5FDD"/>
    <w:rsid w:val="008B62E4"/>
    <w:rsid w:val="008B7485"/>
    <w:rsid w:val="008C2FF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350A"/>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2EA"/>
    <w:rsid w:val="009A2A3D"/>
    <w:rsid w:val="009A44B3"/>
    <w:rsid w:val="009A5289"/>
    <w:rsid w:val="009A5E48"/>
    <w:rsid w:val="009A63F9"/>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2FC7"/>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61E7"/>
    <w:rsid w:val="00A4073C"/>
    <w:rsid w:val="00A40E46"/>
    <w:rsid w:val="00A41424"/>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3F2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0C7"/>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62A"/>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370F"/>
    <w:rsid w:val="00B64F5D"/>
    <w:rsid w:val="00B661D2"/>
    <w:rsid w:val="00B72802"/>
    <w:rsid w:val="00B74C86"/>
    <w:rsid w:val="00B74F6E"/>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E6B5E"/>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87D"/>
    <w:rsid w:val="00D4351F"/>
    <w:rsid w:val="00D45A94"/>
    <w:rsid w:val="00D50060"/>
    <w:rsid w:val="00D50C09"/>
    <w:rsid w:val="00D51516"/>
    <w:rsid w:val="00D52A7E"/>
    <w:rsid w:val="00D540C4"/>
    <w:rsid w:val="00D60A8E"/>
    <w:rsid w:val="00D610BD"/>
    <w:rsid w:val="00D615F8"/>
    <w:rsid w:val="00D62BD6"/>
    <w:rsid w:val="00D63117"/>
    <w:rsid w:val="00D631A5"/>
    <w:rsid w:val="00D63281"/>
    <w:rsid w:val="00D66BE9"/>
    <w:rsid w:val="00D7105D"/>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3EC5"/>
    <w:rsid w:val="00EB404C"/>
    <w:rsid w:val="00EB47D7"/>
    <w:rsid w:val="00EB4FC0"/>
    <w:rsid w:val="00EB5D9A"/>
    <w:rsid w:val="00EB6CF8"/>
    <w:rsid w:val="00EB76EC"/>
    <w:rsid w:val="00EC0020"/>
    <w:rsid w:val="00EC1EA4"/>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651E"/>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3910"/>
    <w:rsid w:val="00F64228"/>
    <w:rsid w:val="00F6611A"/>
    <w:rsid w:val="00F7014F"/>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238C"/>
    <w:rsid w:val="00FA46E6"/>
    <w:rsid w:val="00FA60BF"/>
    <w:rsid w:val="00FA6FC3"/>
    <w:rsid w:val="00FA7762"/>
    <w:rsid w:val="00FB0D93"/>
    <w:rsid w:val="00FB1B5B"/>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96670"/>
  <w15:docId w15:val="{420A69BA-249C-4EC0-A365-B0BADFD6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B6370F"/>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B6370F"/>
    <w:pPr>
      <w:keepNext/>
      <w:spacing w:line="360" w:lineRule="auto"/>
      <w:outlineLvl w:val="2"/>
    </w:pPr>
    <w:rPr>
      <w:b/>
      <w:sz w:val="36"/>
    </w:rPr>
  </w:style>
  <w:style w:type="paragraph" w:styleId="Ttulo4">
    <w:name w:val="heading 4"/>
    <w:basedOn w:val="Normal"/>
    <w:next w:val="Normal"/>
    <w:link w:val="Ttulo4Car"/>
    <w:qFormat/>
    <w:rsid w:val="00B6370F"/>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B6370F"/>
    <w:pPr>
      <w:keepNext/>
      <w:spacing w:line="360" w:lineRule="auto"/>
      <w:outlineLvl w:val="5"/>
    </w:pPr>
    <w:rPr>
      <w:b/>
      <w:sz w:val="36"/>
    </w:rPr>
  </w:style>
  <w:style w:type="paragraph" w:styleId="Ttulo7">
    <w:name w:val="heading 7"/>
    <w:basedOn w:val="Normal"/>
    <w:next w:val="Normal"/>
    <w:link w:val="Ttulo7Car"/>
    <w:qFormat/>
    <w:rsid w:val="00B6370F"/>
    <w:pPr>
      <w:keepNext/>
      <w:spacing w:line="360" w:lineRule="auto"/>
      <w:outlineLvl w:val="6"/>
    </w:pPr>
    <w:rPr>
      <w:b/>
      <w:sz w:val="36"/>
    </w:rPr>
  </w:style>
  <w:style w:type="paragraph" w:styleId="Ttulo8">
    <w:name w:val="heading 8"/>
    <w:basedOn w:val="Normal"/>
    <w:next w:val="Normal"/>
    <w:link w:val="Ttulo8Car"/>
    <w:qFormat/>
    <w:rsid w:val="00B6370F"/>
    <w:pPr>
      <w:keepNext/>
      <w:tabs>
        <w:tab w:val="left" w:pos="6237"/>
      </w:tabs>
      <w:spacing w:line="360" w:lineRule="auto"/>
      <w:outlineLvl w:val="7"/>
    </w:pPr>
    <w:rPr>
      <w:b/>
      <w:sz w:val="36"/>
    </w:rPr>
  </w:style>
  <w:style w:type="paragraph" w:styleId="Ttulo9">
    <w:name w:val="heading 9"/>
    <w:basedOn w:val="Normal"/>
    <w:next w:val="Normal"/>
    <w:link w:val="Ttulo9Car"/>
    <w:qFormat/>
    <w:rsid w:val="00B6370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97350A"/>
  </w:style>
  <w:style w:type="character" w:customStyle="1" w:styleId="TextonotapieCar">
    <w:name w:val="Texto nota pie Car"/>
    <w:basedOn w:val="Fuentedeprrafopredeter"/>
    <w:link w:val="Textonotapie"/>
    <w:uiPriority w:val="99"/>
    <w:semiHidden/>
    <w:rsid w:val="0097350A"/>
    <w:rPr>
      <w:rFonts w:ascii="Arial" w:hAnsi="Arial"/>
      <w:lang w:eastAsia="es-ES"/>
    </w:rPr>
  </w:style>
  <w:style w:type="character" w:styleId="Refdenotaalpie">
    <w:name w:val="footnote reference"/>
    <w:uiPriority w:val="99"/>
    <w:unhideWhenUsed/>
    <w:rsid w:val="0097350A"/>
    <w:rPr>
      <w:vertAlign w:val="superscript"/>
    </w:rPr>
  </w:style>
  <w:style w:type="table" w:customStyle="1" w:styleId="Tablaconcuadrcula1">
    <w:name w:val="Tabla con cuadrícula1"/>
    <w:basedOn w:val="Tablanormal"/>
    <w:next w:val="Tablaconcuadrcula"/>
    <w:uiPriority w:val="39"/>
    <w:rsid w:val="00FA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A23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A23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A2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6370F"/>
    <w:rPr>
      <w:rFonts w:ascii="Arial" w:hAnsi="Arial"/>
      <w:b/>
      <w:sz w:val="22"/>
      <w:lang w:eastAsia="es-ES"/>
    </w:rPr>
  </w:style>
  <w:style w:type="character" w:customStyle="1" w:styleId="Ttulo3Car">
    <w:name w:val="Título 3 Car"/>
    <w:basedOn w:val="Fuentedeprrafopredeter"/>
    <w:link w:val="Ttulo3"/>
    <w:rsid w:val="00B6370F"/>
    <w:rPr>
      <w:rFonts w:ascii="Arial" w:hAnsi="Arial"/>
      <w:b/>
      <w:sz w:val="36"/>
      <w:lang w:eastAsia="es-ES"/>
    </w:rPr>
  </w:style>
  <w:style w:type="character" w:customStyle="1" w:styleId="Ttulo4Car">
    <w:name w:val="Título 4 Car"/>
    <w:basedOn w:val="Fuentedeprrafopredeter"/>
    <w:link w:val="Ttulo4"/>
    <w:rsid w:val="00B6370F"/>
    <w:rPr>
      <w:rFonts w:ascii="Arial" w:hAnsi="Arial"/>
      <w:b/>
      <w:sz w:val="36"/>
      <w:lang w:eastAsia="es-ES"/>
    </w:rPr>
  </w:style>
  <w:style w:type="character" w:customStyle="1" w:styleId="Ttulo6Car">
    <w:name w:val="Título 6 Car"/>
    <w:basedOn w:val="Fuentedeprrafopredeter"/>
    <w:link w:val="Ttulo6"/>
    <w:rsid w:val="00B6370F"/>
    <w:rPr>
      <w:rFonts w:ascii="Arial" w:hAnsi="Arial"/>
      <w:b/>
      <w:sz w:val="36"/>
      <w:lang w:eastAsia="es-ES"/>
    </w:rPr>
  </w:style>
  <w:style w:type="character" w:customStyle="1" w:styleId="Ttulo7Car">
    <w:name w:val="Título 7 Car"/>
    <w:basedOn w:val="Fuentedeprrafopredeter"/>
    <w:link w:val="Ttulo7"/>
    <w:rsid w:val="00B6370F"/>
    <w:rPr>
      <w:rFonts w:ascii="Arial" w:hAnsi="Arial"/>
      <w:b/>
      <w:sz w:val="36"/>
      <w:lang w:eastAsia="es-ES"/>
    </w:rPr>
  </w:style>
  <w:style w:type="character" w:customStyle="1" w:styleId="Ttulo8Car">
    <w:name w:val="Título 8 Car"/>
    <w:basedOn w:val="Fuentedeprrafopredeter"/>
    <w:link w:val="Ttulo8"/>
    <w:rsid w:val="00B6370F"/>
    <w:rPr>
      <w:rFonts w:ascii="Arial" w:hAnsi="Arial"/>
      <w:b/>
      <w:sz w:val="36"/>
      <w:lang w:eastAsia="es-ES"/>
    </w:rPr>
  </w:style>
  <w:style w:type="character" w:customStyle="1" w:styleId="Ttulo9Car">
    <w:name w:val="Título 9 Car"/>
    <w:basedOn w:val="Fuentedeprrafopredeter"/>
    <w:link w:val="Ttulo9"/>
    <w:rsid w:val="00B6370F"/>
    <w:rPr>
      <w:rFonts w:ascii="Arial" w:hAnsi="Arial"/>
      <w:b/>
      <w:sz w:val="36"/>
      <w:lang w:eastAsia="es-ES"/>
    </w:rPr>
  </w:style>
  <w:style w:type="paragraph" w:styleId="Textoindependiente">
    <w:name w:val="Body Text"/>
    <w:basedOn w:val="Normal"/>
    <w:link w:val="TextoindependienteCar"/>
    <w:semiHidden/>
    <w:unhideWhenUsed/>
    <w:rsid w:val="00B6370F"/>
    <w:pPr>
      <w:spacing w:after="120"/>
    </w:pPr>
  </w:style>
  <w:style w:type="character" w:customStyle="1" w:styleId="TextoindependienteCar">
    <w:name w:val="Texto independiente Car"/>
    <w:basedOn w:val="Fuentedeprrafopredeter"/>
    <w:link w:val="Textoindependiente"/>
    <w:semiHidden/>
    <w:rsid w:val="00B6370F"/>
    <w:rPr>
      <w:rFonts w:ascii="Arial" w:hAnsi="Arial"/>
      <w:lang w:eastAsia="es-ES"/>
    </w:rPr>
  </w:style>
  <w:style w:type="character" w:customStyle="1" w:styleId="TextoindependienteCar1">
    <w:name w:val="Texto independiente Car1"/>
    <w:uiPriority w:val="99"/>
    <w:semiHidden/>
    <w:rsid w:val="00B6370F"/>
    <w:rPr>
      <w:rFonts w:eastAsia="Times New Roman" w:cs="Times New Roman"/>
      <w:sz w:val="20"/>
      <w:szCs w:val="20"/>
      <w:lang w:eastAsia="es-ES"/>
    </w:rPr>
  </w:style>
  <w:style w:type="paragraph" w:styleId="Revisin">
    <w:name w:val="Revision"/>
    <w:hidden/>
    <w:uiPriority w:val="99"/>
    <w:semiHidden/>
    <w:rsid w:val="00B6370F"/>
    <w:rPr>
      <w:rFonts w:ascii="Arial" w:hAnsi="Arial"/>
      <w:lang w:eastAsia="es-ES"/>
    </w:rPr>
  </w:style>
  <w:style w:type="character" w:styleId="Textoennegrita">
    <w:name w:val="Strong"/>
    <w:basedOn w:val="Fuentedeprrafopredeter"/>
    <w:uiPriority w:val="22"/>
    <w:qFormat/>
    <w:rsid w:val="00B6370F"/>
    <w:rPr>
      <w:b/>
      <w:bCs/>
    </w:rPr>
  </w:style>
  <w:style w:type="character" w:customStyle="1" w:styleId="style10">
    <w:name w:val="style10"/>
    <w:basedOn w:val="Fuentedeprrafopredeter"/>
    <w:rsid w:val="00B6370F"/>
  </w:style>
  <w:style w:type="character" w:customStyle="1" w:styleId="style119">
    <w:name w:val="style119"/>
    <w:basedOn w:val="Fuentedeprrafopredeter"/>
    <w:rsid w:val="00B6370F"/>
  </w:style>
  <w:style w:type="table" w:customStyle="1" w:styleId="Tablaconcuadrcula11">
    <w:name w:val="Tabla con cuadrícula1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B6370F"/>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B6370F"/>
  </w:style>
  <w:style w:type="character" w:customStyle="1" w:styleId="contextualspellingandgrammarerror">
    <w:name w:val="contextualspellingandgrammarerror"/>
    <w:basedOn w:val="Fuentedeprrafopredeter"/>
    <w:rsid w:val="00B6370F"/>
  </w:style>
  <w:style w:type="character" w:customStyle="1" w:styleId="SinespaciadoCar">
    <w:name w:val="Sin espaciado Car"/>
    <w:aliases w:val="Centrado Negritas Car,ABA PIE PAG Car"/>
    <w:link w:val="Sinespaciado"/>
    <w:uiPriority w:val="1"/>
    <w:rsid w:val="00B6370F"/>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B6370F"/>
    <w:pPr>
      <w:jc w:val="left"/>
    </w:pPr>
    <w:rPr>
      <w:rFonts w:ascii="Times New Roman" w:hAnsi="Times New Roman"/>
      <w:lang w:eastAsia="es-MX"/>
    </w:rPr>
  </w:style>
  <w:style w:type="character" w:customStyle="1" w:styleId="Hipervnculo1">
    <w:name w:val="Hipervínculo1"/>
    <w:basedOn w:val="Fuentedeprrafopredeter"/>
    <w:uiPriority w:val="99"/>
    <w:unhideWhenUsed/>
    <w:rsid w:val="00B6370F"/>
    <w:rPr>
      <w:color w:val="0000FF"/>
      <w:u w:val="single"/>
    </w:rPr>
  </w:style>
  <w:style w:type="character" w:customStyle="1" w:styleId="TextonotapieCar1">
    <w:name w:val="Texto nota pie Car1"/>
    <w:basedOn w:val="Fuentedeprrafopredeter"/>
    <w:uiPriority w:val="99"/>
    <w:semiHidden/>
    <w:rsid w:val="00B6370F"/>
    <w:rPr>
      <w:rFonts w:ascii="Arial" w:hAnsi="Arial"/>
      <w:lang w:eastAsia="es-ES"/>
    </w:rPr>
  </w:style>
  <w:style w:type="table" w:customStyle="1" w:styleId="Tablaconcuadrcula8">
    <w:name w:val="Tabla con cuadrícula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370F"/>
    <w:rPr>
      <w:rFonts w:ascii="Calibri" w:hAnsi="Calibri"/>
      <w:sz w:val="22"/>
      <w:szCs w:val="22"/>
    </w:rPr>
    <w:tblPr>
      <w:tblCellMar>
        <w:top w:w="0" w:type="dxa"/>
        <w:left w:w="0" w:type="dxa"/>
        <w:bottom w:w="0" w:type="dxa"/>
        <w:right w:w="0" w:type="dxa"/>
      </w:tblCellMar>
    </w:tblPr>
  </w:style>
  <w:style w:type="table" w:customStyle="1" w:styleId="TableGrid1">
    <w:name w:val="TableGrid1"/>
    <w:rsid w:val="00B6370F"/>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6370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6370F"/>
    <w:pPr>
      <w:numPr>
        <w:numId w:val="5"/>
      </w:numPr>
    </w:pPr>
  </w:style>
  <w:style w:type="character" w:customStyle="1" w:styleId="Hyperlink0">
    <w:name w:val="Hyperlink.0"/>
    <w:basedOn w:val="Fuentedeprrafopredeter"/>
    <w:rsid w:val="00B6370F"/>
    <w:rPr>
      <w:sz w:val="16"/>
      <w:szCs w:val="16"/>
    </w:rPr>
  </w:style>
  <w:style w:type="table" w:customStyle="1" w:styleId="Tablaconcuadrcula37">
    <w:name w:val="Tabla con cuadrícula3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B637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B6370F"/>
    <w:pPr>
      <w:spacing w:after="120"/>
      <w:ind w:left="283"/>
    </w:pPr>
  </w:style>
  <w:style w:type="character" w:customStyle="1" w:styleId="SangradetextonormalCar">
    <w:name w:val="Sangría de texto normal Car"/>
    <w:basedOn w:val="Fuentedeprrafopredeter"/>
    <w:link w:val="Sangradetextonormal"/>
    <w:semiHidden/>
    <w:rsid w:val="00B6370F"/>
    <w:rPr>
      <w:rFonts w:ascii="Arial" w:hAnsi="Arial"/>
      <w:lang w:eastAsia="es-ES"/>
    </w:rPr>
  </w:style>
  <w:style w:type="table" w:customStyle="1" w:styleId="Tablaconcuadrcula54">
    <w:name w:val="Tabla con cuadrícula5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B6370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4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4E0A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4E0A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4E0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8C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9A6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9A6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Modal(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1)" TargetMode="External"/><Relationship Id="rId5" Type="http://schemas.openxmlformats.org/officeDocument/2006/relationships/webSettings" Target="webSettings.xml"/><Relationship Id="rId15" Type="http://schemas.openxmlformats.org/officeDocument/2006/relationships/hyperlink" Target="javascript:AbrirModal(2)" TargetMode="External"/><Relationship Id="rId10" Type="http://schemas.openxmlformats.org/officeDocument/2006/relationships/hyperlink" Target="javascript:AbrirModal(3)"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yperlink" Target="javascript:AbrirModal(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xico/spanish/mx_resources_textocd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s>
</file>

<file path=customXml/itemProps1.xml><?xml version="1.0" encoding="utf-8"?>
<ds:datastoreItem xmlns:ds="http://schemas.openxmlformats.org/officeDocument/2006/customXml" ds:itemID="{6F717F16-360C-4262-939E-BCD3043F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100</Pages>
  <Words>22350</Words>
  <Characters>122931</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2019-10-16T14:10:00Z</cp:lastPrinted>
  <dcterms:created xsi:type="dcterms:W3CDTF">2019-10-22T14:45:00Z</dcterms:created>
  <dcterms:modified xsi:type="dcterms:W3CDTF">2019-10-22T15:45:00Z</dcterms:modified>
</cp:coreProperties>
</file>