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C" w:rsidRPr="00B2078B" w:rsidRDefault="00A91366" w:rsidP="003C27DC">
      <w:pPr>
        <w:widowControl w:val="0"/>
        <w:rPr>
          <w:rFonts w:eastAsia="Calibri" w:cs="Arial"/>
          <w:b/>
          <w:snapToGrid w:val="0"/>
          <w:sz w:val="26"/>
          <w:szCs w:val="26"/>
        </w:rPr>
      </w:pPr>
      <w:r>
        <w:rPr>
          <w:rFonts w:eastAsia="Calibri" w:cs="Arial"/>
          <w:b/>
          <w:snapToGrid w:val="0"/>
          <w:sz w:val="26"/>
          <w:szCs w:val="26"/>
        </w:rPr>
        <w:t xml:space="preserve">Dictámenes y Acuerdos correspondientes a la </w:t>
      </w:r>
      <w:r w:rsidR="003C27DC" w:rsidRPr="00B2078B">
        <w:rPr>
          <w:rFonts w:eastAsia="Calibri" w:cs="Arial"/>
          <w:b/>
          <w:snapToGrid w:val="0"/>
          <w:sz w:val="26"/>
          <w:szCs w:val="26"/>
        </w:rPr>
        <w:t>Séptima Sesión del Primer Período Ordinario de Sesiones, del Primer Año de Ejercicio Constitucional de la Sexagésima Segunda Legislatura del Congreso del Estado Independiente, Libre y Soberano de Coahuila de Zaragoza.</w:t>
      </w:r>
    </w:p>
    <w:p w:rsidR="003C27DC" w:rsidRPr="00B2078B" w:rsidRDefault="003C27DC" w:rsidP="003C27DC">
      <w:pPr>
        <w:widowControl w:val="0"/>
        <w:rPr>
          <w:rFonts w:eastAsia="Calibri" w:cs="Arial"/>
          <w:snapToGrid w:val="0"/>
          <w:sz w:val="26"/>
          <w:szCs w:val="26"/>
        </w:rPr>
      </w:pPr>
    </w:p>
    <w:p w:rsidR="003C27DC" w:rsidRPr="00B2078B" w:rsidRDefault="003C27DC" w:rsidP="003C27DC">
      <w:pPr>
        <w:widowControl w:val="0"/>
        <w:jc w:val="center"/>
        <w:rPr>
          <w:rFonts w:eastAsia="Calibri" w:cs="Arial"/>
          <w:b/>
          <w:snapToGrid w:val="0"/>
          <w:sz w:val="26"/>
          <w:szCs w:val="26"/>
        </w:rPr>
      </w:pPr>
      <w:r w:rsidRPr="00B2078B">
        <w:rPr>
          <w:rFonts w:eastAsia="Calibri" w:cs="Arial"/>
          <w:b/>
          <w:snapToGrid w:val="0"/>
          <w:sz w:val="26"/>
          <w:szCs w:val="26"/>
        </w:rPr>
        <w:t>9 de abril del año 2021.</w:t>
      </w:r>
    </w:p>
    <w:p w:rsidR="003C27DC" w:rsidRPr="00B2078B" w:rsidRDefault="003C27DC" w:rsidP="003C27DC">
      <w:pPr>
        <w:widowControl w:val="0"/>
        <w:rPr>
          <w:rFonts w:eastAsia="Calibri" w:cs="Arial"/>
          <w:b/>
          <w:snapToGrid w:val="0"/>
          <w:sz w:val="26"/>
          <w:szCs w:val="26"/>
        </w:rPr>
      </w:pPr>
    </w:p>
    <w:p w:rsidR="003C27DC" w:rsidRPr="00B2078B" w:rsidRDefault="003C27DC" w:rsidP="00A91366">
      <w:pPr>
        <w:rPr>
          <w:rFonts w:eastAsia="Calibri" w:cs="Arial"/>
          <w:color w:val="000000"/>
          <w:sz w:val="26"/>
          <w:szCs w:val="26"/>
        </w:rPr>
      </w:pPr>
      <w:r w:rsidRPr="00B2078B">
        <w:rPr>
          <w:rFonts w:eastAsia="Calibri" w:cs="Arial"/>
          <w:sz w:val="26"/>
          <w:szCs w:val="26"/>
        </w:rPr>
        <w:t>Lectura, discusión y, en su caso, aprobación de Dictámenes en cartera:</w:t>
      </w:r>
      <w:r w:rsidRPr="00B2078B">
        <w:rPr>
          <w:rFonts w:eastAsia="Calibri" w:cs="Arial"/>
          <w:color w:val="000000"/>
          <w:sz w:val="26"/>
          <w:szCs w:val="26"/>
        </w:rPr>
        <w:t xml:space="preserve"> </w:t>
      </w:r>
    </w:p>
    <w:p w:rsidR="003C27DC" w:rsidRPr="00971A7E" w:rsidRDefault="003C27DC" w:rsidP="003C27DC">
      <w:pPr>
        <w:rPr>
          <w:rFonts w:cs="Arial"/>
          <w:sz w:val="26"/>
          <w:szCs w:val="26"/>
        </w:rPr>
      </w:pPr>
    </w:p>
    <w:p w:rsidR="003C27DC" w:rsidRPr="00971A7E" w:rsidRDefault="003C27DC" w:rsidP="003C27DC">
      <w:pPr>
        <w:shd w:val="clear" w:color="auto" w:fill="FFFFFF"/>
        <w:ind w:firstLine="708"/>
        <w:rPr>
          <w:rFonts w:cs="Arial"/>
          <w:sz w:val="26"/>
          <w:szCs w:val="26"/>
          <w:bdr w:val="none" w:sz="0" w:space="0" w:color="auto" w:frame="1"/>
          <w:lang w:eastAsia="es-MX"/>
        </w:rPr>
      </w:pPr>
      <w:r w:rsidRPr="00971A7E">
        <w:rPr>
          <w:rFonts w:cs="Arial"/>
          <w:b/>
          <w:sz w:val="26"/>
          <w:szCs w:val="26"/>
          <w:bdr w:val="none" w:sz="0" w:space="0" w:color="auto" w:frame="1"/>
          <w:lang w:eastAsia="es-MX"/>
        </w:rPr>
        <w:t>A.-</w:t>
      </w:r>
      <w:r w:rsidRPr="00971A7E">
        <w:rPr>
          <w:rFonts w:cs="Arial"/>
          <w:sz w:val="26"/>
          <w:szCs w:val="26"/>
          <w:bdr w:val="none" w:sz="0" w:space="0" w:color="auto" w:frame="1"/>
          <w:lang w:eastAsia="es-MX"/>
        </w:rPr>
        <w:t xml:space="preserve">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Veracruz de Ignacio de la Llave.</w:t>
      </w:r>
    </w:p>
    <w:p w:rsidR="003C27DC" w:rsidRPr="00971A7E" w:rsidRDefault="003C27DC" w:rsidP="003C27DC">
      <w:pPr>
        <w:shd w:val="clear" w:color="auto" w:fill="FFFFFF"/>
        <w:ind w:firstLine="708"/>
        <w:rPr>
          <w:rFonts w:cs="Arial"/>
          <w:sz w:val="26"/>
          <w:szCs w:val="26"/>
          <w:lang w:eastAsia="es-MX"/>
        </w:rPr>
      </w:pPr>
    </w:p>
    <w:p w:rsidR="003C27DC" w:rsidRPr="00971A7E" w:rsidRDefault="003C27DC" w:rsidP="003C27DC">
      <w:pPr>
        <w:shd w:val="clear" w:color="auto" w:fill="FFFFFF"/>
        <w:ind w:firstLine="708"/>
        <w:rPr>
          <w:rFonts w:cs="Arial"/>
          <w:sz w:val="26"/>
          <w:szCs w:val="26"/>
          <w:bdr w:val="none" w:sz="0" w:space="0" w:color="auto" w:frame="1"/>
          <w:lang w:eastAsia="es-MX"/>
        </w:rPr>
      </w:pPr>
      <w:r w:rsidRPr="00971A7E">
        <w:rPr>
          <w:rFonts w:cs="Arial"/>
          <w:b/>
          <w:sz w:val="26"/>
          <w:szCs w:val="26"/>
          <w:bdr w:val="none" w:sz="0" w:space="0" w:color="auto" w:frame="1"/>
          <w:lang w:eastAsia="es-MX"/>
        </w:rPr>
        <w:t>B.-</w:t>
      </w:r>
      <w:r w:rsidRPr="00971A7E">
        <w:rPr>
          <w:rFonts w:cs="Arial"/>
          <w:sz w:val="26"/>
          <w:szCs w:val="26"/>
          <w:bdr w:val="none" w:sz="0" w:space="0" w:color="auto" w:frame="1"/>
          <w:lang w:eastAsia="es-MX"/>
        </w:rPr>
        <w:t xml:space="preserve">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74 de la Constitución Política de los Estados Unidos Mexicanos, en materia de partida secreta.</w:t>
      </w:r>
    </w:p>
    <w:p w:rsidR="003C27DC" w:rsidRPr="00971A7E" w:rsidRDefault="003C27DC" w:rsidP="003C27DC">
      <w:pPr>
        <w:shd w:val="clear" w:color="auto" w:fill="FFFFFF"/>
        <w:ind w:firstLine="708"/>
        <w:rPr>
          <w:rFonts w:cs="Arial"/>
          <w:sz w:val="26"/>
          <w:szCs w:val="26"/>
          <w:lang w:eastAsia="es-MX"/>
        </w:rPr>
      </w:pPr>
    </w:p>
    <w:p w:rsidR="003C27DC" w:rsidRPr="00971A7E" w:rsidRDefault="003C27DC" w:rsidP="003C27DC">
      <w:pPr>
        <w:shd w:val="clear" w:color="auto" w:fill="FFFFFF"/>
        <w:ind w:firstLine="708"/>
        <w:rPr>
          <w:rFonts w:cs="Arial"/>
          <w:sz w:val="26"/>
          <w:szCs w:val="26"/>
          <w:bdr w:val="none" w:sz="0" w:space="0" w:color="auto" w:frame="1"/>
          <w:lang w:eastAsia="es-MX"/>
        </w:rPr>
      </w:pPr>
      <w:r w:rsidRPr="00971A7E">
        <w:rPr>
          <w:rFonts w:cs="Arial"/>
          <w:b/>
          <w:sz w:val="26"/>
          <w:szCs w:val="26"/>
          <w:bdr w:val="none" w:sz="0" w:space="0" w:color="auto" w:frame="1"/>
          <w:lang w:eastAsia="es-MX"/>
        </w:rPr>
        <w:t>C.-</w:t>
      </w:r>
      <w:r w:rsidRPr="00971A7E">
        <w:rPr>
          <w:rFonts w:cs="Arial"/>
          <w:sz w:val="26"/>
          <w:szCs w:val="26"/>
          <w:bdr w:val="none" w:sz="0" w:space="0" w:color="auto" w:frame="1"/>
          <w:lang w:eastAsia="es-MX"/>
        </w:rPr>
        <w:t xml:space="preserve">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adiciona una fracción XXIII BIS al artículo 73 de la Constitución Política de los Estados Unidos Mexicanos, en materia de seguridad privada.</w:t>
      </w:r>
    </w:p>
    <w:p w:rsidR="003C27DC" w:rsidRPr="00971A7E" w:rsidRDefault="003C27DC" w:rsidP="003C27DC">
      <w:pPr>
        <w:shd w:val="clear" w:color="auto" w:fill="FFFFFF"/>
        <w:ind w:firstLine="708"/>
        <w:rPr>
          <w:rFonts w:cs="Arial"/>
          <w:sz w:val="26"/>
          <w:szCs w:val="26"/>
          <w:bdr w:val="none" w:sz="0" w:space="0" w:color="auto" w:frame="1"/>
          <w:lang w:eastAsia="es-MX"/>
        </w:rPr>
      </w:pPr>
    </w:p>
    <w:p w:rsidR="003C27DC" w:rsidRPr="00971A7E" w:rsidRDefault="003C27DC" w:rsidP="003C27DC">
      <w:pPr>
        <w:autoSpaceDE w:val="0"/>
        <w:autoSpaceDN w:val="0"/>
        <w:adjustRightInd w:val="0"/>
        <w:ind w:firstLine="709"/>
        <w:rPr>
          <w:rFonts w:eastAsia="Calibri" w:cs="Arial"/>
          <w:snapToGrid w:val="0"/>
          <w:sz w:val="26"/>
          <w:szCs w:val="26"/>
        </w:rPr>
      </w:pPr>
      <w:r w:rsidRPr="00971A7E">
        <w:rPr>
          <w:rFonts w:cs="Arial"/>
          <w:b/>
          <w:sz w:val="26"/>
          <w:szCs w:val="26"/>
        </w:rPr>
        <w:t>D.-</w:t>
      </w:r>
      <w:r w:rsidRPr="00971A7E">
        <w:rPr>
          <w:rFonts w:cs="Arial"/>
          <w:sz w:val="26"/>
          <w:szCs w:val="26"/>
        </w:rPr>
        <w:t xml:space="preserve"> Dictamen de la Comisión de Finanzas, con relación a </w:t>
      </w:r>
      <w:r w:rsidR="00FC057F">
        <w:rPr>
          <w:rFonts w:cs="Arial"/>
          <w:sz w:val="26"/>
          <w:szCs w:val="26"/>
        </w:rPr>
        <w:t>la In</w:t>
      </w:r>
      <w:r w:rsidRPr="00971A7E">
        <w:rPr>
          <w:rFonts w:cs="Arial"/>
          <w:sz w:val="26"/>
          <w:szCs w:val="26"/>
        </w:rPr>
        <w:t xml:space="preserve">iciativa de Decreto enviada por el Presidente Municipal de Torreón, Coahuila de Zaragoza, mediante la cual solicita la validación de un acuerdo aprobado por el Ayuntamiento, </w:t>
      </w:r>
      <w:r w:rsidRPr="00971A7E">
        <w:rPr>
          <w:rFonts w:eastAsia="Calibri" w:cs="Arial"/>
          <w:snapToGrid w:val="0"/>
          <w:sz w:val="26"/>
          <w:szCs w:val="26"/>
        </w:rPr>
        <w:t xml:space="preserve">para enajenar a título oneroso, </w:t>
      </w:r>
      <w:r w:rsidRPr="00971A7E">
        <w:rPr>
          <w:rFonts w:cs="Arial"/>
          <w:sz w:val="26"/>
          <w:szCs w:val="26"/>
        </w:rPr>
        <w:t xml:space="preserve">una fracción del lote 1 de la manzana 1 del Fraccionamiento “Sol de Oriente II segunda etapa” de esa ciudad, con una superficie de 29.17 m2., a favor del C. J. Reyes Alvarado Quiñones, con objeto de llevar a cabo la ampliación de su vivienda, </w:t>
      </w:r>
      <w:r w:rsidRPr="00971A7E">
        <w:rPr>
          <w:rFonts w:eastAsia="Calibri" w:cs="Arial"/>
          <w:snapToGrid w:val="0"/>
          <w:sz w:val="26"/>
          <w:szCs w:val="26"/>
        </w:rPr>
        <w:t xml:space="preserve">la cual fue desincorporado </w:t>
      </w:r>
      <w:r w:rsidRPr="00971A7E">
        <w:rPr>
          <w:rFonts w:eastAsia="Calibri" w:cs="Arial"/>
          <w:snapToGrid w:val="0"/>
          <w:sz w:val="26"/>
          <w:szCs w:val="26"/>
        </w:rPr>
        <w:lastRenderedPageBreak/>
        <w:t>con Decreto número 734 publicado en el Periódico Oficial del Gobierno del Estado de fecha 29 de septiembre de 2020.</w:t>
      </w:r>
    </w:p>
    <w:p w:rsidR="003C27DC" w:rsidRPr="00971A7E" w:rsidRDefault="003C27DC" w:rsidP="003C27DC">
      <w:pPr>
        <w:autoSpaceDE w:val="0"/>
        <w:autoSpaceDN w:val="0"/>
        <w:adjustRightInd w:val="0"/>
        <w:ind w:firstLine="708"/>
        <w:rPr>
          <w:rFonts w:eastAsia="Calibri" w:cs="Arial"/>
          <w:snapToGrid w:val="0"/>
          <w:sz w:val="26"/>
          <w:szCs w:val="26"/>
        </w:rPr>
      </w:pPr>
    </w:p>
    <w:p w:rsidR="00644E7C" w:rsidRPr="00971A7E" w:rsidRDefault="00644E7C" w:rsidP="00644E7C">
      <w:pPr>
        <w:spacing w:line="276" w:lineRule="auto"/>
        <w:ind w:firstLine="708"/>
        <w:rPr>
          <w:rFonts w:cs="Arial"/>
          <w:sz w:val="26"/>
          <w:szCs w:val="26"/>
        </w:rPr>
      </w:pPr>
      <w:r w:rsidRPr="00971A7E">
        <w:rPr>
          <w:rFonts w:cs="Arial"/>
          <w:b/>
          <w:sz w:val="26"/>
          <w:szCs w:val="26"/>
        </w:rPr>
        <w:t>E.-</w:t>
      </w:r>
      <w:r w:rsidRPr="00971A7E">
        <w:rPr>
          <w:rFonts w:cs="Arial"/>
          <w:sz w:val="26"/>
          <w:szCs w:val="26"/>
        </w:rPr>
        <w:t xml:space="preserve"> Dictamen de la Comisión de Auditoría Gubernamental y Cuenta Pública de la Sexagésima Segunda Legislatura del Congreso del Estado Independiente, Libre y Soberano de Coahuila de Zaragoza, relativo al análisis del </w:t>
      </w:r>
      <w:r w:rsidRPr="00971A7E">
        <w:rPr>
          <w:rFonts w:cs="Arial"/>
          <w:i/>
          <w:sz w:val="26"/>
          <w:szCs w:val="26"/>
        </w:rPr>
        <w:t xml:space="preserve">Informe Anual de Resultados </w:t>
      </w:r>
      <w:r w:rsidRPr="00971A7E">
        <w:rPr>
          <w:rFonts w:cs="Arial"/>
          <w:sz w:val="26"/>
          <w:szCs w:val="26"/>
        </w:rPr>
        <w:t>de la revisión y fiscalización superior de las cuentas públicas correspondientes al ejercicio fiscal 2019, presentado por la Auditoría Superior del Estado de Coahuila.</w:t>
      </w:r>
    </w:p>
    <w:p w:rsidR="00644E7C" w:rsidRPr="00971A7E" w:rsidRDefault="00644E7C" w:rsidP="003C27DC">
      <w:pPr>
        <w:autoSpaceDE w:val="0"/>
        <w:autoSpaceDN w:val="0"/>
        <w:adjustRightInd w:val="0"/>
        <w:ind w:firstLine="708"/>
        <w:rPr>
          <w:rFonts w:eastAsia="Calibri" w:cs="Arial"/>
          <w:snapToGrid w:val="0"/>
          <w:sz w:val="26"/>
          <w:szCs w:val="26"/>
        </w:rPr>
      </w:pPr>
    </w:p>
    <w:p w:rsidR="00357374" w:rsidRDefault="00357374">
      <w:pPr>
        <w:spacing w:after="160" w:line="259" w:lineRule="auto"/>
        <w:jc w:val="left"/>
      </w:pPr>
      <w:r>
        <w:br w:type="page"/>
      </w:r>
    </w:p>
    <w:p w:rsidR="0022566A" w:rsidRPr="0022566A" w:rsidRDefault="0022566A" w:rsidP="0022566A">
      <w:pPr>
        <w:spacing w:line="360" w:lineRule="auto"/>
        <w:rPr>
          <w:rFonts w:eastAsia="Calibri" w:cs="Arial"/>
        </w:rPr>
      </w:pPr>
      <w:r w:rsidRPr="0022566A">
        <w:rPr>
          <w:rFonts w:eastAsia="Calibri" w:cs="Arial"/>
          <w:b/>
          <w:bCs/>
        </w:rPr>
        <w:lastRenderedPageBreak/>
        <w:t>DICTAMEN</w:t>
      </w:r>
      <w:r w:rsidRPr="0022566A">
        <w:rPr>
          <w:rFonts w:eastAsia="Calibri" w:cs="Arial"/>
        </w:rPr>
        <w:t xml:space="preserve"> de la Comisión de Gobernación, Puntos Constitucionales y Justicia de la Sexagésima Segunda Legislatura del Congreso del Estado Independiente, Libre y Soberano de Coahuila de Zaragoza, relativo al oficio de la Senadora María Merced González González, S</w:t>
      </w:r>
      <w:bookmarkStart w:id="0" w:name="_GoBack"/>
      <w:bookmarkEnd w:id="0"/>
      <w:r w:rsidRPr="0022566A">
        <w:rPr>
          <w:rFonts w:eastAsia="Calibri" w:cs="Arial"/>
        </w:rPr>
        <w:t xml:space="preserve">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Veracruz de Ignacio de la Llave.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R E S U L T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en sesión celebrada por el Pleno del Congreso el día 23 de marzo de 2021, se acordó turnar el oficio descrito en el título del presente Dictamen, a la Comisión de Gobernación, Puntos Constitucionales y Justicia.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el día 23 de marzo de 2021, el oficio en cuestión se turnó a esta Comisión de Gobernación, Puntos Constitucionales y Justicia, para su estudio y dictamen.</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C O N S I D E R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conforme lo dispuesto por el artículo 135 de la Constitución Política de los Estados Unidos Mexicanos, y el artículo 67 fracción LIV de la Constitución Política del </w:t>
      </w:r>
      <w:r w:rsidRPr="0022566A">
        <w:rPr>
          <w:rFonts w:eastAsia="Calibri" w:cs="Arial"/>
        </w:rPr>
        <w:lastRenderedPageBreak/>
        <w:t xml:space="preserve">Estado de Coahuila de Zaragoza, es facultad del Congreso aprobar las reformas o adiciones a la Constitución Política de los Estados Unidos Mexicanos.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TERCERO.-</w:t>
      </w:r>
      <w:r w:rsidRPr="0022566A">
        <w:rPr>
          <w:rFonts w:eastAsia="Calibri" w:cs="Arial"/>
        </w:rPr>
        <w:t xml:space="preserve"> Que debe reconocerse que las entidades federativas y los municipios tienen derecho a cambiar su denominación, de manera que refleje la identidad histórica compartida por sus habitantes, como es el caso del Estado de Coahuila de Zaragoza. </w:t>
      </w:r>
      <w:r w:rsidRPr="0022566A">
        <w:rPr>
          <w:rFonts w:eastAsia="Calibri" w:cs="Arial"/>
        </w:rPr>
        <w:br/>
      </w:r>
    </w:p>
    <w:p w:rsidR="0022566A" w:rsidRPr="0022566A" w:rsidRDefault="0022566A" w:rsidP="0022566A">
      <w:pPr>
        <w:spacing w:line="360" w:lineRule="auto"/>
        <w:rPr>
          <w:rFonts w:eastAsia="Calibri" w:cs="Arial"/>
        </w:rPr>
      </w:pPr>
      <w:r w:rsidRPr="0022566A">
        <w:rPr>
          <w:rFonts w:eastAsia="Calibri" w:cs="Arial"/>
        </w:rPr>
        <w:t>En virtud de lo anterior, esta Comisión somete a consideración, discusión y, en su caso, aprobación, el siguiente:</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jc w:val="center"/>
        <w:rPr>
          <w:rFonts w:eastAsia="Calibri" w:cs="Arial"/>
          <w:b/>
          <w:bCs/>
        </w:rPr>
      </w:pPr>
      <w:r w:rsidRPr="0022566A">
        <w:rPr>
          <w:rFonts w:eastAsia="Calibri" w:cs="Arial"/>
          <w:b/>
          <w:bCs/>
        </w:rPr>
        <w:t xml:space="preserve">PROYECTO DE DECRETO </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b/>
          <w:bCs/>
        </w:rPr>
      </w:pPr>
      <w:r w:rsidRPr="0022566A">
        <w:rPr>
          <w:rFonts w:eastAsia="Calibri" w:cs="Arial"/>
          <w:b/>
          <w:bCs/>
        </w:rPr>
        <w:t xml:space="preserve">POR EL QUE SE REFORMA EL ARTÍCULO 43 DE LA CONSTITUCIÓN POLÍTICA DE LOS ESTADOS UNIDOS MEXICANOS. </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 xml:space="preserve">Artículo Único. </w:t>
      </w:r>
      <w:r w:rsidRPr="0022566A">
        <w:rPr>
          <w:rFonts w:eastAsia="Calibri" w:cs="Arial"/>
        </w:rPr>
        <w:t>Se reforma el artículo 43 de la Constitución Política de los Estados Unidos Mexicanos, para quedar como sigue:</w:t>
      </w:r>
      <w:r w:rsidRPr="0022566A">
        <w:rPr>
          <w:rFonts w:eastAsia="Calibri" w:cs="Arial"/>
          <w:b/>
          <w:bCs/>
        </w:rPr>
        <w:t xml:space="preserve">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Artículo 43.</w:t>
      </w:r>
      <w:r w:rsidRPr="0022566A">
        <w:rPr>
          <w:rFonts w:eastAsia="Calibri" w:cs="Arial"/>
        </w:rPr>
        <w:t xml:space="preserve">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de Ignacio de la Llave, Yucatán y Zacatecas; así como la Ciudad de México.</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Transitorio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lastRenderedPageBreak/>
        <w:t>Único.</w:t>
      </w:r>
      <w:r w:rsidRPr="0022566A">
        <w:rPr>
          <w:rFonts w:eastAsia="Calibri" w:cs="Arial"/>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jc w:val="center"/>
        <w:rPr>
          <w:rFonts w:eastAsia="Calibri" w:cs="Arial"/>
          <w:b/>
          <w:bCs/>
          <w:lang w:val="en-US"/>
        </w:rPr>
      </w:pPr>
      <w:r w:rsidRPr="0022566A">
        <w:rPr>
          <w:rFonts w:eastAsia="Calibri" w:cs="Arial"/>
          <w:b/>
          <w:bCs/>
          <w:lang w:val="en-US"/>
        </w:rPr>
        <w:t xml:space="preserve">T R A N S I T O R I O S </w:t>
      </w:r>
    </w:p>
    <w:p w:rsidR="0022566A" w:rsidRPr="0022566A" w:rsidRDefault="0022566A" w:rsidP="0022566A">
      <w:pPr>
        <w:spacing w:line="360" w:lineRule="auto"/>
        <w:rPr>
          <w:rFonts w:eastAsia="Calibri" w:cs="Arial"/>
          <w:b/>
          <w:bCs/>
          <w:lang w:val="en-U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Publíquese el presente Decreto en el Periódico Oficial del Gobierno del Estado.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Envíese a la Cámara de Senadores del Congreso de la Unión para su conocimiento, y para los efectos del artículo 135 de la Constitución Política de los Estados Unidos Mexicanos. </w:t>
      </w:r>
    </w:p>
    <w:p w:rsidR="0022566A" w:rsidRPr="0022566A" w:rsidRDefault="0022566A" w:rsidP="0022566A">
      <w:pPr>
        <w:spacing w:line="360" w:lineRule="auto"/>
        <w:rPr>
          <w:rFonts w:eastAsia="Calibri" w:cs="Arial"/>
        </w:rPr>
      </w:pPr>
    </w:p>
    <w:p w:rsidR="0022566A" w:rsidRPr="0022566A" w:rsidRDefault="0022566A" w:rsidP="0022566A">
      <w:pPr>
        <w:autoSpaceDE w:val="0"/>
        <w:autoSpaceDN w:val="0"/>
        <w:adjustRightInd w:val="0"/>
        <w:spacing w:line="360" w:lineRule="auto"/>
        <w:rPr>
          <w:rFonts w:eastAsia="Calibri" w:cs="Arial"/>
          <w:color w:val="000000"/>
        </w:rPr>
      </w:pPr>
      <w:r w:rsidRPr="0022566A">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22566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22566A">
        <w:rPr>
          <w:rFonts w:eastAsia="Calibri" w:cs="Arial"/>
          <w:color w:val="000000"/>
        </w:rPr>
        <w:t>.</w:t>
      </w:r>
      <w:r w:rsidRPr="0022566A">
        <w:rPr>
          <w:rFonts w:eastAsia="Calibri" w:cs="Arial"/>
          <w:b/>
          <w:color w:val="000000"/>
        </w:rPr>
        <w:t xml:space="preserve"> </w:t>
      </w:r>
      <w:r w:rsidRPr="0022566A">
        <w:rPr>
          <w:rFonts w:eastAsia="Calibri" w:cs="Arial"/>
          <w:color w:val="000000"/>
        </w:rPr>
        <w:t>En la Ciudad de Saltillo, Coahuila de Zaragoza, a 24 de marzo de 2021.</w:t>
      </w:r>
    </w:p>
    <w:p w:rsidR="0022566A" w:rsidRPr="0022566A" w:rsidRDefault="0022566A" w:rsidP="0022566A">
      <w:pPr>
        <w:autoSpaceDE w:val="0"/>
        <w:autoSpaceDN w:val="0"/>
        <w:adjustRightInd w:val="0"/>
        <w:spacing w:line="360" w:lineRule="auto"/>
        <w:rPr>
          <w:rFonts w:eastAsia="Calibri" w:cs="Arial"/>
          <w:color w:val="000000"/>
        </w:rPr>
      </w:pPr>
    </w:p>
    <w:p w:rsidR="0022566A" w:rsidRPr="0022566A" w:rsidRDefault="0022566A" w:rsidP="0022566A">
      <w:pPr>
        <w:spacing w:before="120" w:after="120"/>
        <w:jc w:val="center"/>
        <w:rPr>
          <w:rFonts w:eastAsia="Calibri" w:cs="Arial"/>
          <w:b/>
        </w:rPr>
      </w:pPr>
      <w:r w:rsidRPr="0022566A">
        <w:rPr>
          <w:rFonts w:eastAsia="Calibri" w:cs="Arial"/>
          <w:b/>
        </w:rPr>
        <w:t>COMISIÓN DE GOBERNACIÓN, PUNTOS CONSTITUCIONALES Y JUSTICIA</w:t>
      </w:r>
    </w:p>
    <w:p w:rsidR="0022566A" w:rsidRPr="0022566A" w:rsidRDefault="0022566A" w:rsidP="0022566A">
      <w:pPr>
        <w:spacing w:before="120" w:after="120"/>
        <w:jc w:val="left"/>
        <w:rPr>
          <w:rFonts w:eastAsia="Calibri"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22"/>
        <w:gridCol w:w="1550"/>
        <w:gridCol w:w="1803"/>
      </w:tblGrid>
      <w:tr w:rsidR="0022566A" w:rsidRPr="0022566A" w:rsidTr="008253E2">
        <w:trPr>
          <w:jc w:val="center"/>
        </w:trPr>
        <w:tc>
          <w:tcPr>
            <w:tcW w:w="508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NOMBRE Y FIRMA</w:t>
            </w:r>
          </w:p>
          <w:p w:rsidR="0022566A" w:rsidRPr="0022566A" w:rsidRDefault="0022566A" w:rsidP="0022566A">
            <w:pPr>
              <w:jc w:val="center"/>
              <w:rPr>
                <w:rFonts w:eastAsia="Calibri" w:cs="Arial"/>
                <w:b/>
              </w:rPr>
            </w:pPr>
          </w:p>
        </w:tc>
        <w:tc>
          <w:tcPr>
            <w:tcW w:w="4693" w:type="dxa"/>
            <w:gridSpan w:val="3"/>
            <w:shd w:val="clear" w:color="auto" w:fill="auto"/>
            <w:vAlign w:val="center"/>
          </w:tcPr>
          <w:p w:rsidR="0022566A" w:rsidRPr="0022566A" w:rsidRDefault="0022566A" w:rsidP="0022566A">
            <w:pPr>
              <w:jc w:val="center"/>
              <w:rPr>
                <w:rFonts w:eastAsia="Calibri" w:cs="Arial"/>
                <w:b/>
              </w:rPr>
            </w:pPr>
            <w:r w:rsidRPr="0022566A">
              <w:rPr>
                <w:rFonts w:eastAsia="Calibri" w:cs="Arial"/>
                <w:b/>
              </w:rPr>
              <w:t>VOTO</w:t>
            </w:r>
          </w:p>
          <w:p w:rsidR="0022566A" w:rsidRPr="0022566A" w:rsidRDefault="0022566A" w:rsidP="0022566A">
            <w:pPr>
              <w:jc w:val="center"/>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lastRenderedPageBreak/>
              <w:t>DIP. RICARDO LÓPEZ CAMPOS</w:t>
            </w:r>
          </w:p>
          <w:p w:rsidR="0022566A" w:rsidRPr="0022566A" w:rsidRDefault="0022566A" w:rsidP="0022566A">
            <w:pPr>
              <w:ind w:right="-142"/>
              <w:jc w:val="center"/>
              <w:rPr>
                <w:rFonts w:eastAsia="Calibri" w:cs="Arial"/>
                <w:b/>
              </w:rPr>
            </w:pPr>
            <w:r w:rsidRPr="0022566A">
              <w:rPr>
                <w:rFonts w:eastAsia="Calibri" w:cs="Arial"/>
                <w:b/>
              </w:rPr>
              <w:t>(COORDINADOR)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0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LUZ ELENA GUADALUPE MORALES NÚÑEZ</w:t>
            </w:r>
          </w:p>
          <w:p w:rsidR="0022566A" w:rsidRPr="0022566A" w:rsidRDefault="0022566A" w:rsidP="0022566A">
            <w:pPr>
              <w:ind w:right="-142"/>
              <w:jc w:val="center"/>
              <w:rPr>
                <w:rFonts w:eastAsia="Calibri" w:cs="Arial"/>
                <w:b/>
              </w:rPr>
            </w:pPr>
            <w:r w:rsidRPr="0022566A">
              <w:rPr>
                <w:rFonts w:eastAsia="Calibri" w:cs="Arial"/>
                <w:b/>
              </w:rPr>
              <w:t>(SECRETARIA)</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63"/>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OLIVIA MARTÍNEZ LEYVA</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46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GUADALUPE OYERVIDES VALDEZ</w:t>
            </w:r>
          </w:p>
          <w:p w:rsidR="0022566A" w:rsidRPr="0022566A" w:rsidRDefault="0022566A" w:rsidP="0022566A">
            <w:pPr>
              <w:ind w:right="-142"/>
              <w:jc w:val="left"/>
              <w:rPr>
                <w:rFonts w:eastAsia="Calibri" w:cs="Arial"/>
                <w:b/>
              </w:rPr>
            </w:pPr>
          </w:p>
        </w:tc>
        <w:tc>
          <w:tcPr>
            <w:tcW w:w="1433" w:type="dxa"/>
            <w:shd w:val="clear" w:color="auto" w:fill="auto"/>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463"/>
          <w:jc w:val="center"/>
        </w:trPr>
        <w:tc>
          <w:tcPr>
            <w:tcW w:w="5083" w:type="dxa"/>
            <w:vMerge/>
            <w:shd w:val="clear" w:color="auto" w:fill="auto"/>
          </w:tcPr>
          <w:p w:rsidR="0022566A" w:rsidRPr="0022566A" w:rsidRDefault="0022566A" w:rsidP="0022566A">
            <w:pPr>
              <w:ind w:right="-142"/>
              <w:jc w:val="center"/>
              <w:rPr>
                <w:rFonts w:eastAsia="Calibri" w:cs="Arial"/>
                <w:b/>
              </w:rPr>
            </w:pPr>
          </w:p>
        </w:tc>
        <w:tc>
          <w:tcPr>
            <w:tcW w:w="1433" w:type="dxa"/>
            <w:shd w:val="clear" w:color="auto" w:fill="auto"/>
          </w:tcPr>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
              </w:rPr>
            </w:pPr>
          </w:p>
          <w:p w:rsidR="0022566A" w:rsidRPr="0022566A" w:rsidRDefault="0022566A" w:rsidP="0022566A">
            <w:pPr>
              <w:jc w:val="left"/>
              <w:rPr>
                <w:rFonts w:eastAsia="Calibri" w:cs="Arial"/>
                <w:b/>
              </w:rPr>
            </w:pPr>
          </w:p>
        </w:tc>
        <w:tc>
          <w:tcPr>
            <w:tcW w:w="1559" w:type="dxa"/>
            <w:shd w:val="clear" w:color="auto" w:fill="auto"/>
          </w:tcPr>
          <w:p w:rsidR="0022566A" w:rsidRPr="0022566A" w:rsidRDefault="0022566A" w:rsidP="0022566A">
            <w:pPr>
              <w:jc w:val="center"/>
              <w:rPr>
                <w:rFonts w:eastAsia="Calibri" w:cs="Arial"/>
                <w:b/>
              </w:rPr>
            </w:pPr>
          </w:p>
        </w:tc>
        <w:tc>
          <w:tcPr>
            <w:tcW w:w="1701" w:type="dxa"/>
            <w:shd w:val="clear" w:color="auto" w:fill="auto"/>
          </w:tcPr>
          <w:p w:rsidR="0022566A" w:rsidRPr="0022566A" w:rsidRDefault="0022566A" w:rsidP="0022566A">
            <w:pPr>
              <w:jc w:val="center"/>
              <w:rPr>
                <w:rFonts w:eastAsia="Calibri" w:cs="Arial"/>
                <w:b/>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BÁRBARA CEPEDA BOEHRINGER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RODOLFO GERARDO WALSS AURIOLES</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7"/>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lastRenderedPageBreak/>
              <w:t>DIP. YOLANDA ELIZONDO MALTOS</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82"/>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CLAUDIA ELVIRA RODRÍGUEZ MÁRQUEZ</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09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b/>
              </w:rPr>
            </w:pPr>
            <w:r w:rsidRPr="0022566A">
              <w:rPr>
                <w:rFonts w:eastAsia="Calibri" w:cs="Arial"/>
                <w:b/>
              </w:rPr>
              <w:t>DIP. LIZBETH OGAZÓN NAVA</w:t>
            </w:r>
          </w:p>
          <w:p w:rsidR="0022566A" w:rsidRPr="0022566A" w:rsidRDefault="0022566A" w:rsidP="0022566A">
            <w:pPr>
              <w:jc w:val="left"/>
              <w:rPr>
                <w:rFonts w:eastAsia="Calibri" w:cs="Arial"/>
                <w:b/>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75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bl>
    <w:p w:rsidR="0022566A" w:rsidRPr="0022566A" w:rsidRDefault="0022566A" w:rsidP="0022566A">
      <w:pPr>
        <w:spacing w:before="120" w:after="120"/>
        <w:jc w:val="left"/>
        <w:rPr>
          <w:rFonts w:eastAsia="Calibri" w:cs="Arial"/>
        </w:rPr>
      </w:pPr>
    </w:p>
    <w:p w:rsidR="0022566A" w:rsidRDefault="0022566A">
      <w:pPr>
        <w:spacing w:after="160" w:line="259" w:lineRule="auto"/>
        <w:jc w:val="left"/>
        <w:rPr>
          <w:rFonts w:eastAsia="Times New Roman" w:cs="Arial"/>
          <w:sz w:val="16"/>
          <w:szCs w:val="16"/>
          <w:lang w:eastAsia="es-ES"/>
        </w:rPr>
      </w:pPr>
      <w:r>
        <w:rPr>
          <w:rFonts w:eastAsia="Times New Roman" w:cs="Arial"/>
          <w:sz w:val="16"/>
          <w:szCs w:val="16"/>
          <w:lang w:eastAsia="es-ES"/>
        </w:rPr>
        <w:br w:type="page"/>
      </w:r>
    </w:p>
    <w:p w:rsidR="0022566A" w:rsidRPr="0022566A" w:rsidRDefault="0022566A" w:rsidP="0022566A">
      <w:pPr>
        <w:spacing w:line="360" w:lineRule="auto"/>
        <w:rPr>
          <w:rFonts w:eastAsia="Calibri" w:cs="Arial"/>
        </w:rPr>
      </w:pPr>
      <w:r w:rsidRPr="0022566A">
        <w:rPr>
          <w:rFonts w:eastAsia="Calibri" w:cs="Arial"/>
          <w:b/>
          <w:bCs/>
        </w:rPr>
        <w:lastRenderedPageBreak/>
        <w:t>DICTAMEN</w:t>
      </w:r>
      <w:r w:rsidRPr="0022566A">
        <w:rPr>
          <w:rFonts w:eastAsia="Calibri" w:cs="Arial"/>
        </w:rPr>
        <w:t xml:space="preserve"> de la Comisión de Gobernación, Puntos Constitucionales y Justicia de la Sexagésima Segunda Legislatura del Congreso del Estado Independiente, Libre y Soberano de Coahuila de Zaragoza, relativo al oficio de la Senadora María Merced González González, Secretaria de la Mesa Directiva de la Cámara de Senadores del Congreso de la Unión, por el que remite el expediente que contiene el Proyecto de Decreto por el que se reforma el artículo 74 de la Constitución Política de los Estados Unidos Mexicanos, en materia de partida secreta.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R E S U L T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en sesión celebrada por el Pleno del Congreso el día 23 de marzo de 2021, se acordó turnar el oficio descrito en el título del presente Dictamen, a la Comisión de Gobernación, Puntos Constitucionales y Justicia.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el día 23 de marzo de 2021, el oficio en cuestión se turnó a esta Comisión de Gobernación, Puntos Constitucionales y Justicia, para su estudio y dictamen.</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C O N S I D E R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TERCERO.-</w:t>
      </w:r>
      <w:r w:rsidRPr="0022566A">
        <w:rPr>
          <w:rFonts w:eastAsia="Calibri" w:cs="Arial"/>
        </w:rPr>
        <w:t xml:space="preserve"> Que esta Comisión Dictaminadora opina que las partidas secretas impiden el cumplimiento del principio de transparencia previsto en el artículo 134 de la Constitución Política de los Estados Unidos Mexicanos.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rPr>
        <w:t>En virtud de lo anterior, esta Comisión somete a consideración, discusión y, en su caso, aprobación, el siguiente:</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center"/>
        <w:rPr>
          <w:rFonts w:eastAsia="Calibri" w:cs="Arial"/>
          <w:b/>
          <w:bCs/>
        </w:rPr>
      </w:pPr>
      <w:r w:rsidRPr="0022566A">
        <w:rPr>
          <w:rFonts w:eastAsia="Calibri" w:cs="Arial"/>
          <w:b/>
          <w:bCs/>
        </w:rPr>
        <w:t xml:space="preserve">PROYECTO DE DECRETO </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b/>
          <w:bCs/>
        </w:rPr>
      </w:pPr>
      <w:r w:rsidRPr="0022566A">
        <w:rPr>
          <w:rFonts w:eastAsia="Calibri" w:cs="Arial"/>
          <w:b/>
          <w:bCs/>
        </w:rPr>
        <w:t>POR EL QUE SE REFORMA EL ARTICULO 74 DE LA CONSTITUCIÓN POLÍTICA DE LOS ESTADOS UNIDOS MEXICANOS, EN MATERIA DE PARTIDAS SECRETAS.</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 xml:space="preserve">Artículo Único. </w:t>
      </w:r>
      <w:r w:rsidRPr="0022566A">
        <w:rPr>
          <w:rFonts w:eastAsia="Calibri" w:cs="Arial"/>
        </w:rPr>
        <w:t>Se reforma el párrafo cuarto de la fracción IV del artículo 74 de la Constitución Política de los Estados Unidos Mexicanos, para quedar como sigue:</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left"/>
        <w:rPr>
          <w:rFonts w:eastAsia="Calibri" w:cs="Arial"/>
          <w:b/>
          <w:bCs/>
        </w:rPr>
      </w:pPr>
      <w:r w:rsidRPr="0022566A">
        <w:rPr>
          <w:rFonts w:eastAsia="Calibri" w:cs="Arial"/>
          <w:b/>
          <w:bCs/>
        </w:rPr>
        <w:t>Artículo 74.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 xml:space="preserve">I. </w:t>
      </w:r>
      <w:r w:rsidRPr="0022566A">
        <w:rPr>
          <w:rFonts w:eastAsia="Calibri" w:cs="Arial"/>
        </w:rPr>
        <w:t>a</w:t>
      </w:r>
      <w:r w:rsidRPr="0022566A">
        <w:rPr>
          <w:rFonts w:eastAsia="Calibri" w:cs="Arial"/>
          <w:b/>
          <w:bCs/>
        </w:rPr>
        <w:t xml:space="preserve"> III.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IV.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left"/>
        <w:rPr>
          <w:rFonts w:eastAsia="Calibri" w:cs="Arial"/>
        </w:rPr>
      </w:pPr>
      <w:r w:rsidRPr="0022566A">
        <w:rPr>
          <w:rFonts w:eastAsia="Calibri" w:cs="Arial"/>
        </w:rPr>
        <w:t xml:space="preserve">No podrá haber partidas secretas en el Presupuesto de Egresos de la Federación.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left"/>
        <w:rPr>
          <w:rFonts w:eastAsia="Calibri" w:cs="Arial"/>
          <w:b/>
          <w:bCs/>
        </w:rPr>
      </w:pPr>
      <w:r w:rsidRPr="0022566A">
        <w:rPr>
          <w:rFonts w:eastAsia="Calibri" w:cs="Arial"/>
          <w:b/>
          <w:bCs/>
        </w:rPr>
        <w:lastRenderedPageBreak/>
        <w:t>…</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 xml:space="preserve">V. </w:t>
      </w:r>
      <w:r w:rsidRPr="0022566A">
        <w:rPr>
          <w:rFonts w:eastAsia="Calibri" w:cs="Arial"/>
        </w:rPr>
        <w:t>a</w:t>
      </w:r>
      <w:r w:rsidRPr="0022566A">
        <w:rPr>
          <w:rFonts w:eastAsia="Calibri" w:cs="Arial"/>
          <w:b/>
          <w:bCs/>
        </w:rPr>
        <w:t xml:space="preserve"> IX.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Transitorio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 xml:space="preserve">Único. </w:t>
      </w:r>
      <w:r w:rsidRPr="0022566A">
        <w:rPr>
          <w:rFonts w:eastAsia="Calibri" w:cs="Arial"/>
        </w:rPr>
        <w:t xml:space="preserve">El presente Decreto entrará en vigor el día siguiente al de su publicación en el Diario Oficial de la Federación.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lang w:val="en-US"/>
        </w:rPr>
      </w:pPr>
      <w:r w:rsidRPr="0022566A">
        <w:rPr>
          <w:rFonts w:eastAsia="Calibri" w:cs="Arial"/>
          <w:b/>
          <w:bCs/>
          <w:lang w:val="en-US"/>
        </w:rPr>
        <w:t xml:space="preserve">T R A N S I T O R I O S </w:t>
      </w:r>
    </w:p>
    <w:p w:rsidR="0022566A" w:rsidRPr="0022566A" w:rsidRDefault="0022566A" w:rsidP="0022566A">
      <w:pPr>
        <w:spacing w:line="360" w:lineRule="auto"/>
        <w:rPr>
          <w:rFonts w:eastAsia="Calibri" w:cs="Arial"/>
          <w:b/>
          <w:bCs/>
          <w:lang w:val="en-U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Publíquese el presente Decreto en el Periódico Oficial del Gobierno del Estado.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Envíese a la Cámara de Senadores del Congreso de la Unión para su conocimiento, y para los efectos del artículo 135 de la Constitución Política de los Estados Unidos Mexicanos. </w:t>
      </w:r>
    </w:p>
    <w:p w:rsidR="0022566A" w:rsidRPr="0022566A" w:rsidRDefault="0022566A" w:rsidP="0022566A">
      <w:pPr>
        <w:spacing w:line="360" w:lineRule="auto"/>
        <w:rPr>
          <w:rFonts w:eastAsia="Calibri" w:cs="Arial"/>
        </w:rPr>
      </w:pPr>
    </w:p>
    <w:p w:rsidR="0022566A" w:rsidRPr="0022566A" w:rsidRDefault="0022566A" w:rsidP="0022566A">
      <w:pPr>
        <w:autoSpaceDE w:val="0"/>
        <w:autoSpaceDN w:val="0"/>
        <w:adjustRightInd w:val="0"/>
        <w:spacing w:line="360" w:lineRule="auto"/>
        <w:rPr>
          <w:rFonts w:eastAsia="Calibri" w:cs="Arial"/>
          <w:color w:val="000000"/>
        </w:rPr>
      </w:pPr>
      <w:r w:rsidRPr="0022566A">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22566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22566A">
        <w:rPr>
          <w:rFonts w:eastAsia="Calibri" w:cs="Arial"/>
          <w:color w:val="000000"/>
        </w:rPr>
        <w:t>.</w:t>
      </w:r>
      <w:r w:rsidRPr="0022566A">
        <w:rPr>
          <w:rFonts w:eastAsia="Calibri" w:cs="Arial"/>
          <w:b/>
          <w:color w:val="000000"/>
        </w:rPr>
        <w:t xml:space="preserve"> </w:t>
      </w:r>
      <w:r w:rsidRPr="0022566A">
        <w:rPr>
          <w:rFonts w:eastAsia="Calibri" w:cs="Arial"/>
          <w:color w:val="000000"/>
        </w:rPr>
        <w:t>En la Ciudad de Saltillo, Coahuila de Zaragoza, a 24 de marzo de 2021.</w:t>
      </w:r>
    </w:p>
    <w:p w:rsidR="0022566A" w:rsidRPr="0022566A" w:rsidRDefault="0022566A" w:rsidP="0022566A">
      <w:pPr>
        <w:autoSpaceDE w:val="0"/>
        <w:autoSpaceDN w:val="0"/>
        <w:adjustRightInd w:val="0"/>
        <w:spacing w:line="360" w:lineRule="auto"/>
        <w:rPr>
          <w:rFonts w:eastAsia="Calibri" w:cs="Arial"/>
          <w:color w:val="000000"/>
        </w:rPr>
      </w:pPr>
    </w:p>
    <w:p w:rsidR="0022566A" w:rsidRPr="0022566A" w:rsidRDefault="0022566A" w:rsidP="0022566A">
      <w:pPr>
        <w:spacing w:before="120" w:after="120"/>
        <w:jc w:val="center"/>
        <w:rPr>
          <w:rFonts w:eastAsia="Calibri" w:cs="Arial"/>
          <w:b/>
        </w:rPr>
      </w:pPr>
      <w:r w:rsidRPr="0022566A">
        <w:rPr>
          <w:rFonts w:eastAsia="Calibri" w:cs="Arial"/>
          <w:b/>
        </w:rPr>
        <w:t>COMISIÓN DE GOBERNACIÓN, PUNTOS CONSTITUCIONALES Y JUSTICIA</w:t>
      </w:r>
    </w:p>
    <w:p w:rsidR="0022566A" w:rsidRPr="0022566A" w:rsidRDefault="0022566A" w:rsidP="0022566A">
      <w:pPr>
        <w:spacing w:before="120" w:after="120"/>
        <w:jc w:val="left"/>
        <w:rPr>
          <w:rFonts w:eastAsia="Calibri"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22"/>
        <w:gridCol w:w="1550"/>
        <w:gridCol w:w="1803"/>
      </w:tblGrid>
      <w:tr w:rsidR="0022566A" w:rsidRPr="0022566A" w:rsidTr="008253E2">
        <w:trPr>
          <w:jc w:val="center"/>
        </w:trPr>
        <w:tc>
          <w:tcPr>
            <w:tcW w:w="508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NOMBRE Y FIRMA</w:t>
            </w:r>
          </w:p>
          <w:p w:rsidR="0022566A" w:rsidRPr="0022566A" w:rsidRDefault="0022566A" w:rsidP="0022566A">
            <w:pPr>
              <w:jc w:val="center"/>
              <w:rPr>
                <w:rFonts w:eastAsia="Calibri" w:cs="Arial"/>
                <w:b/>
              </w:rPr>
            </w:pPr>
          </w:p>
        </w:tc>
        <w:tc>
          <w:tcPr>
            <w:tcW w:w="4693" w:type="dxa"/>
            <w:gridSpan w:val="3"/>
            <w:shd w:val="clear" w:color="auto" w:fill="auto"/>
            <w:vAlign w:val="center"/>
          </w:tcPr>
          <w:p w:rsidR="0022566A" w:rsidRPr="0022566A" w:rsidRDefault="0022566A" w:rsidP="0022566A">
            <w:pPr>
              <w:jc w:val="center"/>
              <w:rPr>
                <w:rFonts w:eastAsia="Calibri" w:cs="Arial"/>
                <w:b/>
              </w:rPr>
            </w:pPr>
            <w:r w:rsidRPr="0022566A">
              <w:rPr>
                <w:rFonts w:eastAsia="Calibri" w:cs="Arial"/>
                <w:b/>
              </w:rPr>
              <w:t>VOTO</w:t>
            </w:r>
          </w:p>
          <w:p w:rsidR="0022566A" w:rsidRPr="0022566A" w:rsidRDefault="0022566A" w:rsidP="0022566A">
            <w:pPr>
              <w:jc w:val="center"/>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RICARDO LÓPEZ CAMPOS</w:t>
            </w:r>
          </w:p>
          <w:p w:rsidR="0022566A" w:rsidRPr="0022566A" w:rsidRDefault="0022566A" w:rsidP="0022566A">
            <w:pPr>
              <w:ind w:right="-142"/>
              <w:jc w:val="center"/>
              <w:rPr>
                <w:rFonts w:eastAsia="Calibri" w:cs="Arial"/>
                <w:b/>
              </w:rPr>
            </w:pPr>
            <w:r w:rsidRPr="0022566A">
              <w:rPr>
                <w:rFonts w:eastAsia="Calibri" w:cs="Arial"/>
                <w:b/>
              </w:rPr>
              <w:t>(COORDINADOR)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0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LUZ ELENA GUADALUPE MORALES NÚÑEZ</w:t>
            </w:r>
          </w:p>
          <w:p w:rsidR="0022566A" w:rsidRPr="0022566A" w:rsidRDefault="0022566A" w:rsidP="0022566A">
            <w:pPr>
              <w:ind w:right="-142"/>
              <w:jc w:val="center"/>
              <w:rPr>
                <w:rFonts w:eastAsia="Calibri" w:cs="Arial"/>
                <w:b/>
              </w:rPr>
            </w:pPr>
            <w:r w:rsidRPr="0022566A">
              <w:rPr>
                <w:rFonts w:eastAsia="Calibri" w:cs="Arial"/>
                <w:b/>
              </w:rPr>
              <w:t>(SECRETARIA)</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63"/>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OLIVIA MARTÍNEZ LEYVA</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46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GUADALUPE OYERVIDES VALDEZ</w:t>
            </w:r>
          </w:p>
          <w:p w:rsidR="0022566A" w:rsidRPr="0022566A" w:rsidRDefault="0022566A" w:rsidP="0022566A">
            <w:pPr>
              <w:ind w:right="-142"/>
              <w:jc w:val="left"/>
              <w:rPr>
                <w:rFonts w:eastAsia="Calibri" w:cs="Arial"/>
                <w:b/>
              </w:rPr>
            </w:pPr>
          </w:p>
        </w:tc>
        <w:tc>
          <w:tcPr>
            <w:tcW w:w="1433" w:type="dxa"/>
            <w:shd w:val="clear" w:color="auto" w:fill="auto"/>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463"/>
          <w:jc w:val="center"/>
        </w:trPr>
        <w:tc>
          <w:tcPr>
            <w:tcW w:w="5083" w:type="dxa"/>
            <w:vMerge/>
            <w:shd w:val="clear" w:color="auto" w:fill="auto"/>
          </w:tcPr>
          <w:p w:rsidR="0022566A" w:rsidRPr="0022566A" w:rsidRDefault="0022566A" w:rsidP="0022566A">
            <w:pPr>
              <w:ind w:right="-142"/>
              <w:jc w:val="center"/>
              <w:rPr>
                <w:rFonts w:eastAsia="Calibri" w:cs="Arial"/>
                <w:b/>
              </w:rPr>
            </w:pPr>
          </w:p>
        </w:tc>
        <w:tc>
          <w:tcPr>
            <w:tcW w:w="1433" w:type="dxa"/>
            <w:shd w:val="clear" w:color="auto" w:fill="auto"/>
          </w:tcPr>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
              </w:rPr>
            </w:pPr>
          </w:p>
          <w:p w:rsidR="0022566A" w:rsidRPr="0022566A" w:rsidRDefault="0022566A" w:rsidP="0022566A">
            <w:pPr>
              <w:jc w:val="left"/>
              <w:rPr>
                <w:rFonts w:eastAsia="Calibri" w:cs="Arial"/>
                <w:b/>
              </w:rPr>
            </w:pPr>
          </w:p>
        </w:tc>
        <w:tc>
          <w:tcPr>
            <w:tcW w:w="1559" w:type="dxa"/>
            <w:shd w:val="clear" w:color="auto" w:fill="auto"/>
          </w:tcPr>
          <w:p w:rsidR="0022566A" w:rsidRPr="0022566A" w:rsidRDefault="0022566A" w:rsidP="0022566A">
            <w:pPr>
              <w:jc w:val="center"/>
              <w:rPr>
                <w:rFonts w:eastAsia="Calibri" w:cs="Arial"/>
                <w:b/>
              </w:rPr>
            </w:pPr>
          </w:p>
        </w:tc>
        <w:tc>
          <w:tcPr>
            <w:tcW w:w="1701" w:type="dxa"/>
            <w:shd w:val="clear" w:color="auto" w:fill="auto"/>
          </w:tcPr>
          <w:p w:rsidR="0022566A" w:rsidRPr="0022566A" w:rsidRDefault="0022566A" w:rsidP="0022566A">
            <w:pPr>
              <w:jc w:val="center"/>
              <w:rPr>
                <w:rFonts w:eastAsia="Calibri" w:cs="Arial"/>
                <w:b/>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BÁRBARA CEPEDA BOEHRINGER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RODOLFO GERARDO WALSS AURIOLES</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7"/>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lastRenderedPageBreak/>
              <w:t>DIP. YOLANDA ELIZONDO MALTOS</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82"/>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CLAUDIA ELVIRA RODRÍGUEZ MÁRQUEZ</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09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b/>
              </w:rPr>
            </w:pPr>
            <w:r w:rsidRPr="0022566A">
              <w:rPr>
                <w:rFonts w:eastAsia="Calibri" w:cs="Arial"/>
                <w:b/>
              </w:rPr>
              <w:t>DIP. LIZBETH OGAZÓN NAVA</w:t>
            </w:r>
          </w:p>
          <w:p w:rsidR="0022566A" w:rsidRPr="0022566A" w:rsidRDefault="0022566A" w:rsidP="0022566A">
            <w:pPr>
              <w:jc w:val="left"/>
              <w:rPr>
                <w:rFonts w:eastAsia="Calibri" w:cs="Arial"/>
                <w:b/>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75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bl>
    <w:p w:rsidR="0022566A" w:rsidRPr="0022566A" w:rsidRDefault="0022566A" w:rsidP="0022566A">
      <w:pPr>
        <w:spacing w:before="120" w:after="120"/>
        <w:jc w:val="left"/>
        <w:rPr>
          <w:rFonts w:eastAsia="Calibri" w:cs="Arial"/>
        </w:rPr>
      </w:pPr>
    </w:p>
    <w:p w:rsidR="0022566A" w:rsidRDefault="0022566A">
      <w:pPr>
        <w:spacing w:after="160" w:line="259" w:lineRule="auto"/>
        <w:jc w:val="left"/>
        <w:rPr>
          <w:rFonts w:eastAsia="Times New Roman" w:cs="Arial"/>
          <w:sz w:val="16"/>
          <w:szCs w:val="16"/>
          <w:lang w:eastAsia="es-ES"/>
        </w:rPr>
      </w:pPr>
      <w:r>
        <w:rPr>
          <w:rFonts w:eastAsia="Times New Roman" w:cs="Arial"/>
          <w:sz w:val="16"/>
          <w:szCs w:val="16"/>
          <w:lang w:eastAsia="es-ES"/>
        </w:rPr>
        <w:br w:type="page"/>
      </w:r>
    </w:p>
    <w:p w:rsidR="0022566A" w:rsidRPr="0022566A" w:rsidRDefault="0022566A" w:rsidP="0022566A">
      <w:pPr>
        <w:spacing w:line="360" w:lineRule="auto"/>
        <w:rPr>
          <w:rFonts w:eastAsia="Calibri" w:cs="Arial"/>
        </w:rPr>
      </w:pPr>
      <w:r w:rsidRPr="0022566A">
        <w:rPr>
          <w:rFonts w:eastAsia="Calibri" w:cs="Arial"/>
          <w:b/>
          <w:bCs/>
        </w:rPr>
        <w:lastRenderedPageBreak/>
        <w:t>DICTAMEN</w:t>
      </w:r>
      <w:r w:rsidRPr="0022566A">
        <w:rPr>
          <w:rFonts w:eastAsia="Calibri" w:cs="Arial"/>
        </w:rPr>
        <w:t xml:space="preserve"> de la Comisión de Gobernación, Puntos Constitucionales y Justicia de la Sexagésima Segunda Legislatura del Congreso del Estado Independiente, Libre y Soberano de Coahuila de Zaragoza, relativo al oficio de la Senadora María Merced González González, Secretaria de la Mesa Directiva de la Cámara de Senadores del Congreso de la Unión, por el que remite el expediente que contiene el Proyecto de Decreto por el que se adiciona una fracción XXIII BIS al artículo 73 de la Constitución Política de los Estados Unidos Mexicanos, en materia de seguridad privada.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R E S U L T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en sesión celebrada por el Pleno del Congreso el día 23 de marzo de 2021, se acordó turnar el oficio descrito en el título del presente Dictamen, a la Comisión de Gobernación, Puntos Constitucionales y Justicia.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el día 23 de marzo de 2021, el oficio en cuestión se turnó a esta Comisión de Gobernación, Puntos Constitucionales y Justicia, para su estudio y dictamen.</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C O N S I D E R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 xml:space="preserve">TERCERO.- </w:t>
      </w:r>
      <w:r w:rsidRPr="0022566A">
        <w:rPr>
          <w:rFonts w:eastAsia="Calibri" w:cs="Arial"/>
        </w:rPr>
        <w:t xml:space="preserve">Que la seguridad privada es parte de las actividades en las que la Federación, las entidades federativas y los Municipios de México, deben coordinarse.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rPr>
        <w:t>En virtud de lo anterior, esta Comisión somete a consideración, discusión y, en su caso, aprobación, el siguiente:</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 xml:space="preserve">PROYECTO DE DECRETO </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b/>
          <w:bCs/>
        </w:rPr>
      </w:pPr>
      <w:r w:rsidRPr="0022566A">
        <w:rPr>
          <w:rFonts w:eastAsia="Calibri" w:cs="Arial"/>
          <w:b/>
          <w:bCs/>
        </w:rPr>
        <w:t xml:space="preserve">POR EL QUE SE ADICIONA UNA FRACCIÓN XXIII BIS AL ARTÍCULO 73 DE LA CONSTITUCIÓN POLÍTICA DE LOS ESTADOS UNIDOS MEXICANOS, EN MATERIA DE SEGURIDAD PRIVADA.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Artículo Único.</w:t>
      </w:r>
      <w:r w:rsidRPr="0022566A">
        <w:rPr>
          <w:rFonts w:eastAsia="Calibri" w:cs="Arial"/>
        </w:rPr>
        <w:t xml:space="preserve"> Se adiciona una fracción XXIII Bis al artículo 73 de la Constitución Política de los Estados Unidos Mexicanos, para quedar como sigue:</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Artículo 73.</w:t>
      </w:r>
      <w:r w:rsidRPr="0022566A">
        <w:rPr>
          <w:rFonts w:eastAsia="Calibri" w:cs="Arial"/>
        </w:rPr>
        <w:t xml:space="preserve"> El Congreso tiene facultad:</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b/>
          <w:bCs/>
        </w:rPr>
      </w:pPr>
      <w:r w:rsidRPr="0022566A">
        <w:rPr>
          <w:rFonts w:eastAsia="Calibri" w:cs="Arial"/>
          <w:b/>
          <w:bCs/>
        </w:rPr>
        <w:t xml:space="preserve">I. </w:t>
      </w:r>
      <w:r w:rsidRPr="0022566A">
        <w:rPr>
          <w:rFonts w:eastAsia="Calibri" w:cs="Arial"/>
        </w:rPr>
        <w:t>a</w:t>
      </w:r>
      <w:r w:rsidRPr="0022566A">
        <w:rPr>
          <w:rFonts w:eastAsia="Calibri" w:cs="Arial"/>
          <w:b/>
          <w:bCs/>
        </w:rPr>
        <w:t xml:space="preserve"> XXIII.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XXIII Bis.</w:t>
      </w:r>
      <w:r w:rsidRPr="0022566A">
        <w:rPr>
          <w:rFonts w:eastAsia="Calibri" w:cs="Arial"/>
        </w:rPr>
        <w:t xml:space="preserve"> Para expedir la ley general en materia de seguridad privada, que establezca:</w:t>
      </w:r>
    </w:p>
    <w:p w:rsidR="0022566A" w:rsidRPr="0022566A" w:rsidRDefault="0022566A" w:rsidP="0022566A">
      <w:pPr>
        <w:spacing w:line="360" w:lineRule="auto"/>
        <w:rPr>
          <w:rFonts w:eastAsia="Calibri" w:cs="Arial"/>
        </w:rPr>
      </w:pPr>
    </w:p>
    <w:p w:rsidR="0022566A" w:rsidRPr="0022566A" w:rsidRDefault="0022566A" w:rsidP="008253E2">
      <w:pPr>
        <w:numPr>
          <w:ilvl w:val="0"/>
          <w:numId w:val="42"/>
        </w:numPr>
        <w:spacing w:after="160" w:line="360" w:lineRule="auto"/>
        <w:ind w:left="1560"/>
        <w:contextualSpacing/>
        <w:rPr>
          <w:rFonts w:eastAsia="Calibri" w:cs="Arial"/>
        </w:rPr>
      </w:pPr>
      <w:r w:rsidRPr="0022566A">
        <w:rPr>
          <w:rFonts w:eastAsia="Calibri" w:cs="Arial"/>
        </w:rPr>
        <w:t>Las reglas y la autoridad facultada para autorizar y regular a los prestadores de servicios de seguridad privada en todo el territorio nacional;</w:t>
      </w:r>
    </w:p>
    <w:p w:rsidR="0022566A" w:rsidRPr="0022566A" w:rsidRDefault="0022566A" w:rsidP="0022566A">
      <w:pPr>
        <w:spacing w:line="360" w:lineRule="auto"/>
        <w:ind w:left="720"/>
        <w:contextualSpacing/>
        <w:rPr>
          <w:rFonts w:eastAsia="Calibri" w:cs="Arial"/>
        </w:rPr>
      </w:pPr>
    </w:p>
    <w:p w:rsidR="0022566A" w:rsidRPr="0022566A" w:rsidRDefault="0022566A" w:rsidP="008253E2">
      <w:pPr>
        <w:numPr>
          <w:ilvl w:val="0"/>
          <w:numId w:val="42"/>
        </w:numPr>
        <w:spacing w:after="160" w:line="360" w:lineRule="auto"/>
        <w:ind w:left="1560"/>
        <w:contextualSpacing/>
        <w:rPr>
          <w:rFonts w:eastAsia="Calibri" w:cs="Arial"/>
        </w:rPr>
      </w:pPr>
      <w:r w:rsidRPr="0022566A">
        <w:rPr>
          <w:rFonts w:eastAsia="Calibri" w:cs="Arial"/>
        </w:rPr>
        <w:t xml:space="preserve">Las reglas de coordinación entre las personas autorizadas a prestar los servicios de seguridad privada y las autoridades correspondientes de la </w:t>
      </w:r>
      <w:r w:rsidRPr="0022566A">
        <w:rPr>
          <w:rFonts w:eastAsia="Calibri" w:cs="Arial"/>
        </w:rPr>
        <w:lastRenderedPageBreak/>
        <w:t>Federación, las entidades federativas y los municipios, para la adecuada organización y funcionamiento como auxiliares de la seguridad pública;</w:t>
      </w:r>
    </w:p>
    <w:p w:rsidR="0022566A" w:rsidRPr="0022566A" w:rsidRDefault="0022566A" w:rsidP="0022566A">
      <w:pPr>
        <w:spacing w:after="160" w:line="259" w:lineRule="auto"/>
        <w:ind w:left="720"/>
        <w:contextualSpacing/>
        <w:jc w:val="left"/>
        <w:rPr>
          <w:rFonts w:eastAsia="Calibri" w:cs="Arial"/>
        </w:rPr>
      </w:pPr>
    </w:p>
    <w:p w:rsidR="0022566A" w:rsidRPr="0022566A" w:rsidRDefault="0022566A" w:rsidP="008253E2">
      <w:pPr>
        <w:numPr>
          <w:ilvl w:val="0"/>
          <w:numId w:val="42"/>
        </w:numPr>
        <w:spacing w:after="160" w:line="360" w:lineRule="auto"/>
        <w:ind w:left="1560"/>
        <w:contextualSpacing/>
        <w:rPr>
          <w:rFonts w:eastAsia="Calibri" w:cs="Arial"/>
        </w:rPr>
      </w:pPr>
      <w:r w:rsidRPr="0022566A">
        <w:rPr>
          <w:rFonts w:eastAsia="Calibri" w:cs="Arial"/>
        </w:rPr>
        <w:t>La coordinación de esos prestadores con las instituciones de seguridad pública en situaciones de emergencia y desastre, y</w:t>
      </w:r>
    </w:p>
    <w:p w:rsidR="0022566A" w:rsidRPr="0022566A" w:rsidRDefault="0022566A" w:rsidP="008253E2">
      <w:pPr>
        <w:spacing w:after="160" w:line="259" w:lineRule="auto"/>
        <w:ind w:left="1560"/>
        <w:contextualSpacing/>
        <w:rPr>
          <w:rFonts w:eastAsia="Calibri" w:cs="Arial"/>
        </w:rPr>
      </w:pPr>
    </w:p>
    <w:p w:rsidR="0022566A" w:rsidRPr="0022566A" w:rsidRDefault="0022566A" w:rsidP="008253E2">
      <w:pPr>
        <w:numPr>
          <w:ilvl w:val="0"/>
          <w:numId w:val="42"/>
        </w:numPr>
        <w:spacing w:after="160" w:line="360" w:lineRule="auto"/>
        <w:ind w:left="1560"/>
        <w:contextualSpacing/>
        <w:rPr>
          <w:rFonts w:eastAsia="Calibri" w:cs="Arial"/>
        </w:rPr>
      </w:pPr>
      <w:r w:rsidRPr="0022566A">
        <w:rPr>
          <w:rFonts w:eastAsia="Calibri" w:cs="Arial"/>
        </w:rPr>
        <w:t>Los aspectos vinculados a la coordinación y supervisión de las policías complementarias en el país;</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b/>
          <w:bCs/>
        </w:rPr>
      </w:pPr>
      <w:r w:rsidRPr="0022566A">
        <w:rPr>
          <w:rFonts w:eastAsia="Calibri" w:cs="Arial"/>
          <w:b/>
          <w:bCs/>
        </w:rPr>
        <w:t xml:space="preserve">XXIV. </w:t>
      </w:r>
      <w:r w:rsidRPr="0022566A">
        <w:rPr>
          <w:rFonts w:eastAsia="Calibri" w:cs="Arial"/>
        </w:rPr>
        <w:t xml:space="preserve">a </w:t>
      </w:r>
      <w:r w:rsidRPr="0022566A">
        <w:rPr>
          <w:rFonts w:eastAsia="Calibri" w:cs="Arial"/>
          <w:b/>
          <w:bCs/>
        </w:rPr>
        <w:t>XXXI. …</w:t>
      </w:r>
    </w:p>
    <w:p w:rsidR="0022566A" w:rsidRPr="0022566A" w:rsidRDefault="0022566A" w:rsidP="0022566A">
      <w:pPr>
        <w:spacing w:line="360" w:lineRule="auto"/>
        <w:jc w:val="center"/>
        <w:rPr>
          <w:rFonts w:eastAsia="Calibri" w:cs="Arial"/>
          <w:b/>
          <w:bCs/>
        </w:rPr>
      </w:pPr>
      <w:r w:rsidRPr="0022566A">
        <w:rPr>
          <w:rFonts w:eastAsia="Calibri" w:cs="Arial"/>
          <w:b/>
          <w:bCs/>
        </w:rPr>
        <w:t>Transitorios</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 xml:space="preserve">Primero. </w:t>
      </w:r>
      <w:r w:rsidRPr="0022566A">
        <w:rPr>
          <w:rFonts w:eastAsia="Calibri" w:cs="Arial"/>
        </w:rPr>
        <w:t>El presente Decreto entrará en vigor el día siguiente al de su publicación en el Diario Oficial de la Federación.</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Tercero.</w:t>
      </w:r>
      <w:r w:rsidRPr="0022566A">
        <w:rPr>
          <w:rFonts w:eastAsia="Calibri" w:cs="Arial"/>
        </w:rPr>
        <w:t xml:space="preserve">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rPr>
      </w:pPr>
      <w:r w:rsidRPr="0022566A">
        <w:rPr>
          <w:rFonts w:eastAsia="Calibri" w:cs="Arial"/>
        </w:rPr>
        <w:lastRenderedPageBreak/>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Cuarto.</w:t>
      </w:r>
      <w:r w:rsidRPr="0022566A">
        <w:rPr>
          <w:rFonts w:eastAsia="Calibri" w:cs="Arial"/>
        </w:rPr>
        <w:t xml:space="preserve"> Los asuntos en trámite hasta el momento en que entre en vigor la ley general en materia de seguridad privada, se concluirán conforme a la legislación con que se iniciaron.</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lang w:val="en-US"/>
        </w:rPr>
      </w:pPr>
      <w:r w:rsidRPr="0022566A">
        <w:rPr>
          <w:rFonts w:eastAsia="Calibri" w:cs="Arial"/>
          <w:b/>
          <w:bCs/>
          <w:lang w:val="en-US"/>
        </w:rPr>
        <w:t xml:space="preserve">T R A N S I T O R I O S </w:t>
      </w:r>
    </w:p>
    <w:p w:rsidR="0022566A" w:rsidRPr="0022566A" w:rsidRDefault="0022566A" w:rsidP="0022566A">
      <w:pPr>
        <w:spacing w:line="360" w:lineRule="auto"/>
        <w:rPr>
          <w:rFonts w:eastAsia="Calibri" w:cs="Arial"/>
          <w:b/>
          <w:bCs/>
          <w:lang w:val="en-U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Publíquese el presente Decreto en el Periódico Oficial del Gobierno del Estado.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Envíese a la Cámara de Senadores del Congreso de la Unión para su conocimiento, y para los efectos del artículo 135 de la Constitución Política de los Estados Unidos Mexicanos. </w:t>
      </w:r>
    </w:p>
    <w:p w:rsidR="0022566A" w:rsidRPr="0022566A" w:rsidRDefault="0022566A" w:rsidP="0022566A">
      <w:pPr>
        <w:spacing w:line="360" w:lineRule="auto"/>
        <w:rPr>
          <w:rFonts w:eastAsia="Calibri" w:cs="Arial"/>
        </w:rPr>
      </w:pPr>
    </w:p>
    <w:p w:rsidR="0022566A" w:rsidRPr="0022566A" w:rsidRDefault="0022566A" w:rsidP="0022566A">
      <w:pPr>
        <w:autoSpaceDE w:val="0"/>
        <w:autoSpaceDN w:val="0"/>
        <w:adjustRightInd w:val="0"/>
        <w:spacing w:line="360" w:lineRule="auto"/>
        <w:rPr>
          <w:rFonts w:eastAsia="Calibri" w:cs="Arial"/>
          <w:color w:val="000000"/>
        </w:rPr>
      </w:pPr>
      <w:r w:rsidRPr="0022566A">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22566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22566A">
        <w:rPr>
          <w:rFonts w:eastAsia="Calibri" w:cs="Arial"/>
          <w:color w:val="000000"/>
        </w:rPr>
        <w:t>.</w:t>
      </w:r>
      <w:r w:rsidRPr="0022566A">
        <w:rPr>
          <w:rFonts w:eastAsia="Calibri" w:cs="Arial"/>
          <w:b/>
          <w:color w:val="000000"/>
        </w:rPr>
        <w:t xml:space="preserve"> </w:t>
      </w:r>
      <w:r w:rsidRPr="0022566A">
        <w:rPr>
          <w:rFonts w:eastAsia="Calibri" w:cs="Arial"/>
          <w:color w:val="000000"/>
        </w:rPr>
        <w:t>En la Ciudad de Saltillo, Coahuila de Zaragoza, a 24 de marzo de 2021.</w:t>
      </w:r>
    </w:p>
    <w:p w:rsidR="0022566A" w:rsidRPr="0022566A" w:rsidRDefault="0022566A" w:rsidP="0022566A">
      <w:pPr>
        <w:autoSpaceDE w:val="0"/>
        <w:autoSpaceDN w:val="0"/>
        <w:adjustRightInd w:val="0"/>
        <w:spacing w:line="360" w:lineRule="auto"/>
        <w:rPr>
          <w:rFonts w:eastAsia="Calibri" w:cs="Arial"/>
          <w:color w:val="000000"/>
        </w:rPr>
      </w:pPr>
    </w:p>
    <w:p w:rsidR="0022566A" w:rsidRPr="0022566A" w:rsidRDefault="0022566A" w:rsidP="0022566A">
      <w:pPr>
        <w:spacing w:before="120" w:after="120"/>
        <w:jc w:val="center"/>
        <w:rPr>
          <w:rFonts w:eastAsia="Calibri" w:cs="Arial"/>
          <w:b/>
        </w:rPr>
      </w:pPr>
      <w:r w:rsidRPr="0022566A">
        <w:rPr>
          <w:rFonts w:eastAsia="Calibri" w:cs="Arial"/>
          <w:b/>
        </w:rPr>
        <w:t>COMISIÓN DE GOBERNACIÓN, PUNTOS CONSTITUCIONALES Y JUSTICIA</w:t>
      </w:r>
    </w:p>
    <w:p w:rsidR="0022566A" w:rsidRPr="0022566A" w:rsidRDefault="0022566A" w:rsidP="0022566A">
      <w:pPr>
        <w:spacing w:before="120" w:after="120"/>
        <w:jc w:val="left"/>
        <w:rPr>
          <w:rFonts w:eastAsia="Calibri"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22"/>
        <w:gridCol w:w="1550"/>
        <w:gridCol w:w="1803"/>
      </w:tblGrid>
      <w:tr w:rsidR="0022566A" w:rsidRPr="0022566A" w:rsidTr="008253E2">
        <w:trPr>
          <w:jc w:val="center"/>
        </w:trPr>
        <w:tc>
          <w:tcPr>
            <w:tcW w:w="508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NOMBRE Y FIRMA</w:t>
            </w:r>
          </w:p>
          <w:p w:rsidR="0022566A" w:rsidRPr="0022566A" w:rsidRDefault="0022566A" w:rsidP="0022566A">
            <w:pPr>
              <w:jc w:val="center"/>
              <w:rPr>
                <w:rFonts w:eastAsia="Calibri" w:cs="Arial"/>
                <w:b/>
              </w:rPr>
            </w:pPr>
          </w:p>
        </w:tc>
        <w:tc>
          <w:tcPr>
            <w:tcW w:w="4693" w:type="dxa"/>
            <w:gridSpan w:val="3"/>
            <w:shd w:val="clear" w:color="auto" w:fill="auto"/>
            <w:vAlign w:val="center"/>
          </w:tcPr>
          <w:p w:rsidR="0022566A" w:rsidRPr="0022566A" w:rsidRDefault="0022566A" w:rsidP="0022566A">
            <w:pPr>
              <w:jc w:val="center"/>
              <w:rPr>
                <w:rFonts w:eastAsia="Calibri" w:cs="Arial"/>
                <w:b/>
              </w:rPr>
            </w:pPr>
            <w:r w:rsidRPr="0022566A">
              <w:rPr>
                <w:rFonts w:eastAsia="Calibri" w:cs="Arial"/>
                <w:b/>
              </w:rPr>
              <w:t>VOTO</w:t>
            </w:r>
          </w:p>
          <w:p w:rsidR="0022566A" w:rsidRPr="0022566A" w:rsidRDefault="0022566A" w:rsidP="0022566A">
            <w:pPr>
              <w:jc w:val="center"/>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RICARDO LÓPEZ CAMPOS</w:t>
            </w:r>
          </w:p>
          <w:p w:rsidR="0022566A" w:rsidRPr="0022566A" w:rsidRDefault="0022566A" w:rsidP="0022566A">
            <w:pPr>
              <w:ind w:right="-142"/>
              <w:jc w:val="center"/>
              <w:rPr>
                <w:rFonts w:eastAsia="Calibri" w:cs="Arial"/>
                <w:b/>
              </w:rPr>
            </w:pPr>
            <w:r w:rsidRPr="0022566A">
              <w:rPr>
                <w:rFonts w:eastAsia="Calibri" w:cs="Arial"/>
                <w:b/>
              </w:rPr>
              <w:t>(COORDINADOR)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0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LUZ ELENA GUADALUPE MORALES NÚÑEZ</w:t>
            </w:r>
          </w:p>
          <w:p w:rsidR="0022566A" w:rsidRPr="0022566A" w:rsidRDefault="0022566A" w:rsidP="0022566A">
            <w:pPr>
              <w:ind w:right="-142"/>
              <w:jc w:val="center"/>
              <w:rPr>
                <w:rFonts w:eastAsia="Calibri" w:cs="Arial"/>
                <w:b/>
              </w:rPr>
            </w:pPr>
            <w:r w:rsidRPr="0022566A">
              <w:rPr>
                <w:rFonts w:eastAsia="Calibri" w:cs="Arial"/>
                <w:b/>
              </w:rPr>
              <w:t>(SECRETARIA)</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63"/>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OLIVIA MARTÍNEZ LEYVA</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46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GUADALUPE OYERVIDES VALDEZ</w:t>
            </w:r>
          </w:p>
          <w:p w:rsidR="0022566A" w:rsidRPr="0022566A" w:rsidRDefault="0022566A" w:rsidP="0022566A">
            <w:pPr>
              <w:ind w:right="-142"/>
              <w:jc w:val="left"/>
              <w:rPr>
                <w:rFonts w:eastAsia="Calibri" w:cs="Arial"/>
                <w:b/>
              </w:rPr>
            </w:pPr>
          </w:p>
        </w:tc>
        <w:tc>
          <w:tcPr>
            <w:tcW w:w="1433" w:type="dxa"/>
            <w:shd w:val="clear" w:color="auto" w:fill="auto"/>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463"/>
          <w:jc w:val="center"/>
        </w:trPr>
        <w:tc>
          <w:tcPr>
            <w:tcW w:w="5083" w:type="dxa"/>
            <w:vMerge/>
            <w:shd w:val="clear" w:color="auto" w:fill="auto"/>
          </w:tcPr>
          <w:p w:rsidR="0022566A" w:rsidRPr="0022566A" w:rsidRDefault="0022566A" w:rsidP="0022566A">
            <w:pPr>
              <w:ind w:right="-142"/>
              <w:jc w:val="center"/>
              <w:rPr>
                <w:rFonts w:eastAsia="Calibri" w:cs="Arial"/>
                <w:b/>
              </w:rPr>
            </w:pPr>
          </w:p>
        </w:tc>
        <w:tc>
          <w:tcPr>
            <w:tcW w:w="1433" w:type="dxa"/>
            <w:shd w:val="clear" w:color="auto" w:fill="auto"/>
          </w:tcPr>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
              </w:rPr>
            </w:pPr>
          </w:p>
          <w:p w:rsidR="0022566A" w:rsidRPr="0022566A" w:rsidRDefault="0022566A" w:rsidP="0022566A">
            <w:pPr>
              <w:jc w:val="left"/>
              <w:rPr>
                <w:rFonts w:eastAsia="Calibri" w:cs="Arial"/>
                <w:b/>
              </w:rPr>
            </w:pPr>
          </w:p>
        </w:tc>
        <w:tc>
          <w:tcPr>
            <w:tcW w:w="1559" w:type="dxa"/>
            <w:shd w:val="clear" w:color="auto" w:fill="auto"/>
          </w:tcPr>
          <w:p w:rsidR="0022566A" w:rsidRPr="0022566A" w:rsidRDefault="0022566A" w:rsidP="0022566A">
            <w:pPr>
              <w:jc w:val="center"/>
              <w:rPr>
                <w:rFonts w:eastAsia="Calibri" w:cs="Arial"/>
                <w:b/>
              </w:rPr>
            </w:pPr>
          </w:p>
        </w:tc>
        <w:tc>
          <w:tcPr>
            <w:tcW w:w="1701" w:type="dxa"/>
            <w:shd w:val="clear" w:color="auto" w:fill="auto"/>
          </w:tcPr>
          <w:p w:rsidR="0022566A" w:rsidRPr="0022566A" w:rsidRDefault="0022566A" w:rsidP="0022566A">
            <w:pPr>
              <w:jc w:val="center"/>
              <w:rPr>
                <w:rFonts w:eastAsia="Calibri" w:cs="Arial"/>
                <w:b/>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BÁRBARA CEPEDA BOEHRINGER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RODOLFO GERARDO WALSS AURIOLES</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7"/>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lastRenderedPageBreak/>
              <w:t>DIP. YOLANDA ELIZONDO MALTOS</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82"/>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CLAUDIA ELVIRA RODRÍGUEZ MÁRQUEZ</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09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b/>
              </w:rPr>
            </w:pPr>
            <w:r w:rsidRPr="0022566A">
              <w:rPr>
                <w:rFonts w:eastAsia="Calibri" w:cs="Arial"/>
                <w:b/>
              </w:rPr>
              <w:t>DIP. LIZBETH OGAZÓN NAVA</w:t>
            </w:r>
          </w:p>
          <w:p w:rsidR="0022566A" w:rsidRPr="0022566A" w:rsidRDefault="0022566A" w:rsidP="0022566A">
            <w:pPr>
              <w:jc w:val="left"/>
              <w:rPr>
                <w:rFonts w:eastAsia="Calibri" w:cs="Arial"/>
                <w:b/>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75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bl>
    <w:p w:rsidR="0022566A" w:rsidRPr="0022566A" w:rsidRDefault="0022566A" w:rsidP="0022566A">
      <w:pPr>
        <w:spacing w:before="120" w:after="120"/>
        <w:jc w:val="left"/>
        <w:rPr>
          <w:rFonts w:eastAsia="Calibri" w:cs="Arial"/>
        </w:rPr>
      </w:pPr>
    </w:p>
    <w:p w:rsidR="0022566A" w:rsidRDefault="0022566A">
      <w:pPr>
        <w:spacing w:after="160" w:line="259" w:lineRule="auto"/>
        <w:jc w:val="left"/>
        <w:rPr>
          <w:rFonts w:eastAsia="Times New Roman" w:cs="Arial"/>
          <w:sz w:val="16"/>
          <w:szCs w:val="16"/>
          <w:lang w:eastAsia="es-ES"/>
        </w:rPr>
      </w:pPr>
      <w:r>
        <w:rPr>
          <w:rFonts w:eastAsia="Times New Roman" w:cs="Arial"/>
          <w:sz w:val="16"/>
          <w:szCs w:val="16"/>
          <w:lang w:eastAsia="es-ES"/>
        </w:rPr>
        <w:br w:type="page"/>
      </w:r>
    </w:p>
    <w:p w:rsidR="0022566A" w:rsidRPr="0022566A" w:rsidRDefault="0022566A" w:rsidP="0022566A">
      <w:pPr>
        <w:autoSpaceDE w:val="0"/>
        <w:autoSpaceDN w:val="0"/>
        <w:adjustRightInd w:val="0"/>
        <w:spacing w:line="276" w:lineRule="auto"/>
        <w:rPr>
          <w:rFonts w:eastAsia="Times New Roman" w:cs="Arial"/>
          <w:b/>
          <w:bCs/>
          <w:color w:val="000000"/>
          <w:lang w:eastAsia="es-MX"/>
        </w:rPr>
      </w:pPr>
    </w:p>
    <w:p w:rsidR="0022566A" w:rsidRPr="0022566A" w:rsidRDefault="0022566A" w:rsidP="0022566A">
      <w:pPr>
        <w:autoSpaceDE w:val="0"/>
        <w:autoSpaceDN w:val="0"/>
        <w:adjustRightInd w:val="0"/>
        <w:spacing w:line="276" w:lineRule="auto"/>
        <w:rPr>
          <w:rFonts w:eastAsia="Calibri" w:cs="Arial"/>
          <w:snapToGrid w:val="0"/>
          <w:color w:val="000000"/>
          <w:lang w:eastAsia="es-MX"/>
        </w:rPr>
      </w:pPr>
      <w:r w:rsidRPr="0022566A">
        <w:rPr>
          <w:rFonts w:eastAsia="Times New Roman" w:cs="Arial"/>
          <w:b/>
          <w:bCs/>
          <w:color w:val="000000"/>
          <w:lang w:eastAsia="es-MX"/>
        </w:rPr>
        <w:t>DICTAMEN</w:t>
      </w:r>
      <w:r w:rsidRPr="0022566A">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22566A">
        <w:rPr>
          <w:rFonts w:eastAsia="Calibri" w:cs="Arial"/>
          <w:snapToGrid w:val="0"/>
          <w:color w:val="000000"/>
          <w:lang w:eastAsia="es-MX"/>
        </w:rPr>
        <w:t xml:space="preserve">para enajenar a título oneroso, </w:t>
      </w:r>
      <w:r w:rsidRPr="0022566A">
        <w:rPr>
          <w:rFonts w:eastAsia="Times New Roman" w:cs="Arial"/>
          <w:color w:val="000000"/>
          <w:lang w:eastAsia="es-MX"/>
        </w:rPr>
        <w:t xml:space="preserve">una </w:t>
      </w:r>
      <w:r w:rsidRPr="0022566A">
        <w:rPr>
          <w:rFonts w:eastAsia="Times New Roman" w:cs="Arial"/>
          <w:lang w:eastAsia="es-MX"/>
        </w:rPr>
        <w:t xml:space="preserve">fracción del lote 1 de la manzana 1 del Fraccionamiento “Sol de Oriente II segunda etapa” de esa ciudad, con una superficie de 29.17 m2., </w:t>
      </w:r>
      <w:r w:rsidRPr="0022566A">
        <w:rPr>
          <w:rFonts w:eastAsia="Times New Roman" w:cs="Arial"/>
          <w:color w:val="000000"/>
          <w:lang w:eastAsia="es-MX"/>
        </w:rPr>
        <w:t xml:space="preserve">a favor del C. J. Reyes Alvarado Quiñones, con objeto de llevar a cabo la ampliación de su vivienda, </w:t>
      </w:r>
      <w:r w:rsidRPr="0022566A">
        <w:rPr>
          <w:rFonts w:eastAsia="Calibri" w:cs="Arial"/>
          <w:snapToGrid w:val="0"/>
          <w:color w:val="000000"/>
          <w:lang w:eastAsia="es-MX"/>
        </w:rPr>
        <w:t>la cual fue desincorporado con Decreto número 734 publicado en el Periódico Oficial del Gobierno del Estado de fecha 29 de septiembre de 2020.</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keepNext/>
        <w:keepLines/>
        <w:jc w:val="center"/>
        <w:outlineLvl w:val="0"/>
        <w:rPr>
          <w:rFonts w:eastAsia="Times New Roman" w:cs="Arial"/>
          <w:b/>
          <w:lang w:eastAsia="es-ES"/>
        </w:rPr>
      </w:pPr>
      <w:r w:rsidRPr="0022566A">
        <w:rPr>
          <w:rFonts w:eastAsia="Times New Roman" w:cs="Arial"/>
          <w:b/>
          <w:lang w:eastAsia="es-ES"/>
        </w:rPr>
        <w:t>RESULTANDO</w:t>
      </w:r>
    </w:p>
    <w:p w:rsidR="0022566A" w:rsidRPr="0022566A" w:rsidRDefault="0022566A" w:rsidP="0022566A">
      <w:pPr>
        <w:rPr>
          <w:rFonts w:eastAsia="Times New Roman" w:cs="Times New Roman"/>
          <w:sz w:val="20"/>
          <w:szCs w:val="20"/>
          <w:lang w:eastAsia="es-ES"/>
        </w:rPr>
      </w:pP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PRIMERO. </w:t>
      </w:r>
      <w:r w:rsidRPr="0022566A">
        <w:rPr>
          <w:rFonts w:eastAsia="Times New Roman" w:cs="Arial"/>
          <w:color w:val="000000"/>
          <w:lang w:eastAsia="es-MX"/>
        </w:rPr>
        <w:t xml:space="preserve">Que, en sesión celebrada por la Diputación Permanente del Congreso, de fecha 10 del mes de febrero de año 2021, </w:t>
      </w:r>
      <w:r w:rsidRPr="0022566A">
        <w:rPr>
          <w:rFonts w:eastAsia="Times New Roman" w:cs="Arial"/>
          <w:color w:val="000000"/>
          <w:lang w:val="es-419" w:eastAsia="es-MX"/>
        </w:rPr>
        <w:t xml:space="preserve">se acordó turnar a esta </w:t>
      </w:r>
      <w:r w:rsidRPr="0022566A">
        <w:rPr>
          <w:rFonts w:eastAsia="Times New Roman" w:cs="Arial"/>
          <w:color w:val="000000"/>
          <w:lang w:eastAsia="es-MX"/>
        </w:rPr>
        <w:t>Comisión de Finanzas, la iniciativa a que se ha hecho referencia para efecto de estudio y dictamen.</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keepNext/>
        <w:keepLines/>
        <w:jc w:val="center"/>
        <w:outlineLvl w:val="0"/>
        <w:rPr>
          <w:rFonts w:eastAsia="Times New Roman" w:cs="Arial"/>
          <w:b/>
          <w:lang w:eastAsia="es-ES"/>
        </w:rPr>
      </w:pPr>
      <w:r w:rsidRPr="0022566A">
        <w:rPr>
          <w:rFonts w:eastAsia="Times New Roman" w:cs="Arial"/>
          <w:b/>
          <w:lang w:eastAsia="es-ES"/>
        </w:rPr>
        <w:t>CONSIDERANDO</w:t>
      </w:r>
    </w:p>
    <w:p w:rsidR="0022566A" w:rsidRPr="0022566A" w:rsidRDefault="0022566A" w:rsidP="0022566A">
      <w:pPr>
        <w:rPr>
          <w:rFonts w:eastAsia="Times New Roman" w:cs="Arial"/>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PRIMERO. </w:t>
      </w:r>
      <w:r w:rsidRPr="0022566A">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22566A" w:rsidRPr="0022566A" w:rsidRDefault="0022566A" w:rsidP="0022566A">
      <w:pPr>
        <w:spacing w:line="276" w:lineRule="auto"/>
        <w:rPr>
          <w:rFonts w:eastAsia="Times New Roman" w:cs="Arial"/>
          <w:lang w:eastAsia="es-ES"/>
        </w:rPr>
      </w:pPr>
    </w:p>
    <w:p w:rsidR="0022566A" w:rsidRPr="0022566A" w:rsidRDefault="0022566A" w:rsidP="0022566A">
      <w:pPr>
        <w:autoSpaceDE w:val="0"/>
        <w:autoSpaceDN w:val="0"/>
        <w:adjustRightInd w:val="0"/>
        <w:spacing w:line="276" w:lineRule="auto"/>
        <w:rPr>
          <w:rFonts w:eastAsia="Calibri" w:cs="Arial"/>
          <w:snapToGrid w:val="0"/>
          <w:color w:val="000000"/>
          <w:lang w:eastAsia="es-MX"/>
        </w:rPr>
      </w:pPr>
      <w:r w:rsidRPr="0022566A">
        <w:rPr>
          <w:rFonts w:eastAsia="Times New Roman" w:cs="Arial"/>
          <w:b/>
          <w:color w:val="000000"/>
          <w:lang w:eastAsia="es-MX"/>
        </w:rPr>
        <w:t xml:space="preserve">SEGUNDO. </w:t>
      </w:r>
      <w:r w:rsidRPr="0022566A">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14 de octubre de 2020, se aprobó por unanimidad de los presentes del Cabildo, la validación de un acuerdo aprobado por el Ayuntamiento, </w:t>
      </w:r>
      <w:r w:rsidRPr="0022566A">
        <w:rPr>
          <w:rFonts w:eastAsia="Calibri" w:cs="Arial"/>
          <w:snapToGrid w:val="0"/>
          <w:color w:val="000000"/>
          <w:lang w:eastAsia="es-MX"/>
        </w:rPr>
        <w:t xml:space="preserve">para enajenar a título oneroso, </w:t>
      </w:r>
      <w:r w:rsidRPr="0022566A">
        <w:rPr>
          <w:rFonts w:eastAsia="Times New Roman" w:cs="Arial"/>
          <w:color w:val="000000"/>
          <w:lang w:eastAsia="es-MX"/>
        </w:rPr>
        <w:t xml:space="preserve">una </w:t>
      </w:r>
      <w:r w:rsidRPr="0022566A">
        <w:rPr>
          <w:rFonts w:eastAsia="Times New Roman" w:cs="Arial"/>
          <w:lang w:eastAsia="es-MX"/>
        </w:rPr>
        <w:t xml:space="preserve">fracción del lote 1 de la manzana 1 del Fraccionamiento “Sol de Oriente II segunda etapa” de esa ciudad, con una superficie de 29.17 m2., </w:t>
      </w:r>
      <w:r w:rsidRPr="0022566A">
        <w:rPr>
          <w:rFonts w:eastAsia="Times New Roman" w:cs="Arial"/>
          <w:color w:val="000000"/>
          <w:lang w:eastAsia="es-MX"/>
        </w:rPr>
        <w:t xml:space="preserve">a favor del C. J. Reyes Alvarado Quiñones, </w:t>
      </w:r>
      <w:r w:rsidRPr="0022566A">
        <w:rPr>
          <w:rFonts w:eastAsia="Calibri" w:cs="Arial"/>
          <w:snapToGrid w:val="0"/>
          <w:color w:val="000000"/>
          <w:lang w:eastAsia="es-MX"/>
        </w:rPr>
        <w:t>la cual fue desincorporado con Decreto número 734 publicado en el Periódico Oficial del Gobierno del Estado de fecha 29 de septiembre de 2020.</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autoSpaceDE w:val="0"/>
        <w:autoSpaceDN w:val="0"/>
        <w:adjustRightInd w:val="0"/>
        <w:spacing w:line="276" w:lineRule="auto"/>
        <w:rPr>
          <w:rFonts w:eastAsia="Times New Roman" w:cs="Arial"/>
          <w:lang w:eastAsia="es-MX"/>
        </w:rPr>
      </w:pPr>
      <w:r w:rsidRPr="0022566A">
        <w:rPr>
          <w:rFonts w:eastAsia="Times New Roman" w:cs="Arial"/>
          <w:lang w:eastAsia="es-MX"/>
        </w:rPr>
        <w:t>El inmueble antes mencionado se identifica como fracción norte del lote 1 de la manzana 1 del Fraccionamiento “Sol de Oriente II segunda etapa”, de esa ciudad, una superficie de 29.17 m2., y cuenta con las siguientes medidas y colindancias:</w:t>
      </w:r>
    </w:p>
    <w:p w:rsidR="0022566A" w:rsidRPr="0022566A" w:rsidRDefault="0022566A" w:rsidP="0022566A">
      <w:pPr>
        <w:autoSpaceDE w:val="0"/>
        <w:autoSpaceDN w:val="0"/>
        <w:adjustRightInd w:val="0"/>
        <w:spacing w:line="276" w:lineRule="auto"/>
        <w:rPr>
          <w:rFonts w:eastAsia="Times New Roman" w:cs="Arial"/>
          <w:lang w:eastAsia="es-MX"/>
        </w:rPr>
      </w:pP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lastRenderedPageBreak/>
        <w:t>Al Noreste:</w:t>
      </w:r>
      <w:r w:rsidRPr="0022566A">
        <w:rPr>
          <w:rFonts w:eastAsia="Times New Roman" w:cs="Arial"/>
          <w:color w:val="000000"/>
          <w:lang w:eastAsia="es-MX"/>
        </w:rPr>
        <w:tab/>
        <w:t>mide 19.02 metros y colinda con Calzada Obsidiana.</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Sureste:</w:t>
      </w:r>
      <w:r w:rsidRPr="0022566A">
        <w:rPr>
          <w:rFonts w:eastAsia="Times New Roman" w:cs="Arial"/>
          <w:color w:val="000000"/>
          <w:lang w:eastAsia="es-MX"/>
        </w:rPr>
        <w:tab/>
        <w:t>mide 3.87 metros y colinda con Lote 1 Manzana 1 del Fraccionamiento Sol de Oriente II etapa.</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Sureste:</w:t>
      </w:r>
      <w:r w:rsidRPr="0022566A">
        <w:rPr>
          <w:rFonts w:eastAsia="Times New Roman" w:cs="Arial"/>
          <w:color w:val="000000"/>
          <w:lang w:eastAsia="es-MX"/>
        </w:rPr>
        <w:tab/>
        <w:t>mide 16.59 metros y colinda con límite de propiedad y Parcela 37 Fracción 2, Zona 1 del Ejido La Joya y Lote 2 Manzana 1 del Fraccionamiento Quintas del Sol.</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TERCERO. </w:t>
      </w:r>
      <w:r w:rsidRPr="0022566A">
        <w:rPr>
          <w:rFonts w:eastAsia="Times New Roman" w:cs="Arial"/>
          <w:color w:val="000000"/>
          <w:lang w:eastAsia="es-MX"/>
        </w:rPr>
        <w:t>La autorización de esta operación es exclusivamente con objeto de llevar a cabo la ampliación de su vivienda. En caso de darle un uso distinto a lo estipulado, por ese sólo hecho se rescindirá el contrato revirtiéndose el precio junto con sus accesorios al patrimonio municipal, sin ninguna responsabilidad a cargo del R. Ayuntamiento.</w:t>
      </w: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color w:val="000000"/>
          <w:lang w:eastAsia="es-MX"/>
        </w:rPr>
        <w:t xml:space="preserve"> </w:t>
      </w: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CUARTO.  </w:t>
      </w:r>
      <w:r w:rsidRPr="0022566A">
        <w:rPr>
          <w:rFonts w:eastAsia="Times New Roman" w:cs="Arial"/>
          <w:color w:val="000000"/>
          <w:lang w:eastAsia="es-MX"/>
        </w:rPr>
        <w:t>Esta Comisión de Finanzas encontró que el Ayuntamiento de Torreón, ha cubierto con la documentación requerida para la procedencia de la validación de la enajenación de la superficie en mención, para llevar a cabo la ampliación de la vivienda.</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spacing w:line="276" w:lineRule="auto"/>
        <w:rPr>
          <w:rFonts w:eastAsia="Times New Roman" w:cs="Arial"/>
          <w:lang w:eastAsia="es-ES"/>
        </w:rPr>
      </w:pPr>
      <w:r w:rsidRPr="0022566A">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jc w:val="center"/>
        <w:rPr>
          <w:rFonts w:eastAsia="Times New Roman" w:cs="Arial"/>
          <w:lang w:eastAsia="es-ES"/>
        </w:rPr>
      </w:pPr>
    </w:p>
    <w:p w:rsidR="0022566A" w:rsidRPr="0022566A" w:rsidRDefault="0022566A" w:rsidP="0022566A">
      <w:pPr>
        <w:spacing w:after="120" w:line="276" w:lineRule="auto"/>
        <w:jc w:val="center"/>
        <w:rPr>
          <w:rFonts w:eastAsia="Times New Roman" w:cs="Arial"/>
          <w:b/>
          <w:lang w:eastAsia="es-ES"/>
        </w:rPr>
      </w:pPr>
      <w:r w:rsidRPr="0022566A">
        <w:rPr>
          <w:rFonts w:eastAsia="Times New Roman" w:cs="Arial"/>
          <w:b/>
          <w:lang w:eastAsia="es-ES"/>
        </w:rPr>
        <w:t xml:space="preserve">PROYECTO DE DECRETO </w:t>
      </w:r>
    </w:p>
    <w:p w:rsidR="0022566A" w:rsidRPr="0022566A" w:rsidRDefault="0022566A" w:rsidP="0022566A">
      <w:pPr>
        <w:autoSpaceDE w:val="0"/>
        <w:autoSpaceDN w:val="0"/>
        <w:adjustRightInd w:val="0"/>
        <w:spacing w:line="276" w:lineRule="auto"/>
        <w:rPr>
          <w:rFonts w:eastAsia="Times New Roman" w:cs="Arial"/>
          <w:b/>
          <w:color w:val="000000"/>
          <w:lang w:eastAsia="es-MX"/>
        </w:rPr>
      </w:pPr>
    </w:p>
    <w:p w:rsidR="0022566A" w:rsidRPr="0022566A" w:rsidRDefault="0022566A" w:rsidP="0022566A">
      <w:pPr>
        <w:autoSpaceDE w:val="0"/>
        <w:autoSpaceDN w:val="0"/>
        <w:adjustRightInd w:val="0"/>
        <w:spacing w:line="276" w:lineRule="auto"/>
        <w:rPr>
          <w:rFonts w:eastAsia="Calibri" w:cs="Arial"/>
          <w:snapToGrid w:val="0"/>
          <w:color w:val="000000"/>
          <w:lang w:eastAsia="es-MX"/>
        </w:rPr>
      </w:pPr>
      <w:r w:rsidRPr="0022566A">
        <w:rPr>
          <w:rFonts w:eastAsia="Times New Roman" w:cs="Arial"/>
          <w:b/>
          <w:color w:val="000000"/>
          <w:lang w:eastAsia="es-MX"/>
        </w:rPr>
        <w:t xml:space="preserve">ARTÍCULO PRIMERO. </w:t>
      </w:r>
      <w:r w:rsidRPr="0022566A">
        <w:rPr>
          <w:rFonts w:eastAsia="Times New Roman" w:cs="Arial"/>
          <w:color w:val="000000"/>
          <w:lang w:eastAsia="es-MX"/>
        </w:rPr>
        <w:t xml:space="preserve">Se valida el acuerdo aprobado por el R. Ayuntamiento de Torreón, Coahuila de Zaragoza, </w:t>
      </w:r>
      <w:r w:rsidRPr="0022566A">
        <w:rPr>
          <w:rFonts w:eastAsia="Calibri" w:cs="Arial"/>
          <w:snapToGrid w:val="0"/>
          <w:color w:val="000000"/>
          <w:lang w:eastAsia="es-MX"/>
        </w:rPr>
        <w:t xml:space="preserve">para enajenar a título oneroso, </w:t>
      </w:r>
      <w:r w:rsidRPr="0022566A">
        <w:rPr>
          <w:rFonts w:eastAsia="Times New Roman" w:cs="Arial"/>
          <w:color w:val="000000"/>
          <w:lang w:eastAsia="es-MX"/>
        </w:rPr>
        <w:t xml:space="preserve">una </w:t>
      </w:r>
      <w:r w:rsidRPr="0022566A">
        <w:rPr>
          <w:rFonts w:eastAsia="Times New Roman" w:cs="Arial"/>
          <w:lang w:eastAsia="es-MX"/>
        </w:rPr>
        <w:t xml:space="preserve">fracción del lote 1 de la manzana 1 del Fraccionamiento “Sol de Oriente II segunda etapa” de esa ciudad, con una superficie de 29.17 m2., </w:t>
      </w:r>
      <w:r w:rsidRPr="0022566A">
        <w:rPr>
          <w:rFonts w:eastAsia="Times New Roman" w:cs="Arial"/>
          <w:color w:val="000000"/>
          <w:lang w:eastAsia="es-MX"/>
        </w:rPr>
        <w:t xml:space="preserve">a favor del C. J. Reyes Alvarado Quiñones, </w:t>
      </w:r>
      <w:r w:rsidRPr="0022566A">
        <w:rPr>
          <w:rFonts w:eastAsia="Calibri" w:cs="Arial"/>
          <w:snapToGrid w:val="0"/>
          <w:color w:val="000000"/>
          <w:lang w:eastAsia="es-MX"/>
        </w:rPr>
        <w:t>la cual fue desincorporado con Decreto número 734 publicado en el Periódico Oficial del Gobierno del Estado de fecha 29 de septiembre de 2020.</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autoSpaceDE w:val="0"/>
        <w:autoSpaceDN w:val="0"/>
        <w:adjustRightInd w:val="0"/>
        <w:spacing w:line="276" w:lineRule="auto"/>
        <w:rPr>
          <w:rFonts w:eastAsia="Times New Roman" w:cs="Arial"/>
          <w:lang w:eastAsia="es-MX"/>
        </w:rPr>
      </w:pPr>
      <w:r w:rsidRPr="0022566A">
        <w:rPr>
          <w:rFonts w:eastAsia="Times New Roman" w:cs="Arial"/>
          <w:lang w:eastAsia="es-MX"/>
        </w:rPr>
        <w:lastRenderedPageBreak/>
        <w:t>El inmueble antes mencionado se identifica como fracción norte del lote 1 de la manzana 1 del Fraccionamiento Sol de Oriente II segunda etapa, de esa ciudad, una superficie de 29.17 m2., y cuenta con las siguientes medidas y colindancias:</w:t>
      </w:r>
    </w:p>
    <w:p w:rsidR="0022566A" w:rsidRPr="0022566A" w:rsidRDefault="0022566A" w:rsidP="0022566A">
      <w:pPr>
        <w:autoSpaceDE w:val="0"/>
        <w:autoSpaceDN w:val="0"/>
        <w:adjustRightInd w:val="0"/>
        <w:spacing w:line="276" w:lineRule="auto"/>
        <w:rPr>
          <w:rFonts w:eastAsia="Times New Roman" w:cs="Arial"/>
          <w:lang w:eastAsia="es-MX"/>
        </w:rPr>
      </w:pP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Noreste:</w:t>
      </w:r>
      <w:r w:rsidRPr="0022566A">
        <w:rPr>
          <w:rFonts w:eastAsia="Times New Roman" w:cs="Arial"/>
          <w:color w:val="000000"/>
          <w:lang w:eastAsia="es-MX"/>
        </w:rPr>
        <w:tab/>
        <w:t>mide 19.02 metros y colinda con Calzada Obsidiana.</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Sureste:</w:t>
      </w:r>
      <w:r w:rsidRPr="0022566A">
        <w:rPr>
          <w:rFonts w:eastAsia="Times New Roman" w:cs="Arial"/>
          <w:color w:val="000000"/>
          <w:lang w:eastAsia="es-MX"/>
        </w:rPr>
        <w:tab/>
        <w:t>mide 3.87 metros y colinda con Lote 1 Manzana 1 del Fraccionamiento Sol de Oriente II etapa.</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Sureste:</w:t>
      </w:r>
      <w:r w:rsidRPr="0022566A">
        <w:rPr>
          <w:rFonts w:eastAsia="Times New Roman" w:cs="Arial"/>
          <w:color w:val="000000"/>
          <w:lang w:eastAsia="es-MX"/>
        </w:rPr>
        <w:tab/>
        <w:t>mide 16.59 metros y colinda con límite de propiedad y Parcela 37 Fracción 2, Zona 1 del Ejido La Joya y Lote 2 Manzana 1 del Fraccionamiento Quintas del Sol.</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ARTÍCULO SEGUNDO. </w:t>
      </w:r>
      <w:r w:rsidRPr="0022566A">
        <w:rPr>
          <w:rFonts w:eastAsia="Times New Roman" w:cs="Arial"/>
          <w:color w:val="000000"/>
          <w:lang w:eastAsia="es-MX"/>
        </w:rPr>
        <w:t>La autorización de esta operación es exclusivamente con objeto de llevar a cabo la ampliación de su vivienda. En caso de darle un uso distinto a lo estipulado, por ese sólo hecho se rescindirá el contrato revirtiéndose el precio junto con sus accesorios al patrimonio municipal, sin ninguna responsabilidad a cargo del R. Ayuntamiento.</w:t>
      </w:r>
    </w:p>
    <w:p w:rsidR="0022566A" w:rsidRPr="0022566A" w:rsidRDefault="0022566A" w:rsidP="0022566A">
      <w:pPr>
        <w:autoSpaceDE w:val="0"/>
        <w:autoSpaceDN w:val="0"/>
        <w:adjustRightInd w:val="0"/>
        <w:spacing w:line="276" w:lineRule="auto"/>
        <w:rPr>
          <w:rFonts w:eastAsia="Times New Roman" w:cs="Arial"/>
          <w:color w:val="000000"/>
          <w:highlight w:val="yellow"/>
          <w:lang w:eastAsia="es-MX"/>
        </w:rPr>
      </w:pPr>
      <w:r w:rsidRPr="0022566A">
        <w:rPr>
          <w:rFonts w:eastAsia="Times New Roman" w:cs="Arial"/>
          <w:color w:val="000000"/>
          <w:highlight w:val="yellow"/>
          <w:lang w:eastAsia="es-MX"/>
        </w:rPr>
        <w:t xml:space="preserve"> </w:t>
      </w: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ARTÍCULO TERCERO. </w:t>
      </w:r>
      <w:r w:rsidRPr="0022566A">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rsidR="0022566A" w:rsidRPr="0022566A" w:rsidRDefault="0022566A" w:rsidP="0022566A">
      <w:pPr>
        <w:spacing w:line="276" w:lineRule="auto"/>
        <w:rPr>
          <w:rFonts w:eastAsia="Times New Roman" w:cs="Arial"/>
          <w:b/>
          <w:bCs/>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ARTÍCULO CUARTO.  </w:t>
      </w:r>
      <w:r w:rsidRPr="0022566A">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ARTÍCULO QUINTO. </w:t>
      </w:r>
      <w:r w:rsidRPr="0022566A">
        <w:rPr>
          <w:rFonts w:eastAsia="Times New Roman" w:cs="Arial"/>
          <w:lang w:eastAsia="es-ES"/>
        </w:rPr>
        <w:t>Los gastos de escrituración y registro que se originen de la operación que mediante este decreto se valida, serán por cuenta del beneficiario.</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ARTÍCULO SEXTO. </w:t>
      </w:r>
      <w:r w:rsidRPr="0022566A">
        <w:rPr>
          <w:rFonts w:eastAsia="Times New Roman" w:cs="Arial"/>
          <w:lang w:eastAsia="es-ES"/>
        </w:rPr>
        <w:t>El presente decreto deberá insertarse en la escritura correspondiente.</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rPr>
          <w:rFonts w:eastAsia="Times New Roman" w:cs="Arial"/>
          <w:lang w:eastAsia="es-ES"/>
        </w:rPr>
      </w:pPr>
    </w:p>
    <w:p w:rsidR="0022566A" w:rsidRPr="0022566A" w:rsidRDefault="0022566A" w:rsidP="0022566A">
      <w:pPr>
        <w:keepNext/>
        <w:keepLines/>
        <w:jc w:val="center"/>
        <w:outlineLvl w:val="0"/>
        <w:rPr>
          <w:rFonts w:eastAsia="Times New Roman" w:cs="Arial"/>
          <w:b/>
          <w:lang w:eastAsia="es-ES"/>
        </w:rPr>
      </w:pPr>
      <w:r w:rsidRPr="0022566A">
        <w:rPr>
          <w:rFonts w:eastAsia="Times New Roman" w:cs="Arial"/>
          <w:b/>
          <w:lang w:eastAsia="es-ES"/>
        </w:rPr>
        <w:t>TRANSITORIOS</w:t>
      </w:r>
    </w:p>
    <w:p w:rsidR="0022566A" w:rsidRPr="0022566A" w:rsidRDefault="0022566A" w:rsidP="0022566A">
      <w:pPr>
        <w:spacing w:line="276" w:lineRule="auto"/>
        <w:rPr>
          <w:rFonts w:eastAsia="Times New Roman" w:cs="Arial"/>
          <w:b/>
          <w:bCs/>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lastRenderedPageBreak/>
        <w:t xml:space="preserve">ARTÍCULO PRIMERO. </w:t>
      </w:r>
      <w:r w:rsidRPr="0022566A">
        <w:rPr>
          <w:rFonts w:eastAsia="Times New Roman" w:cs="Arial"/>
          <w:lang w:eastAsia="es-ES"/>
        </w:rPr>
        <w:t xml:space="preserve">El presente decreto entrará en vigor a partir del día siguiente de su publicación en el Periódico Oficial del Gobierno del Estado. </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lang w:eastAsia="es-ES"/>
        </w:rPr>
        <w:t xml:space="preserve">ARTÍCULO SEGUNDO. </w:t>
      </w:r>
      <w:r w:rsidRPr="0022566A">
        <w:rPr>
          <w:rFonts w:eastAsia="Times New Roman" w:cs="Arial"/>
          <w:lang w:eastAsia="es-ES"/>
        </w:rPr>
        <w:t>Publíquese en el Periódico Oficial del Gobierno del Estado.</w:t>
      </w:r>
    </w:p>
    <w:p w:rsidR="0022566A" w:rsidRPr="0022566A" w:rsidRDefault="0022566A" w:rsidP="0022566A">
      <w:pPr>
        <w:spacing w:line="276" w:lineRule="auto"/>
        <w:rPr>
          <w:rFonts w:eastAsia="Times New Roman" w:cs="Arial"/>
          <w:lang w:eastAsia="es-ES"/>
        </w:rPr>
      </w:pPr>
    </w:p>
    <w:p w:rsidR="0022566A" w:rsidRPr="0022566A" w:rsidRDefault="0022566A" w:rsidP="0022566A">
      <w:pPr>
        <w:keepNext/>
        <w:tabs>
          <w:tab w:val="left" w:pos="0"/>
        </w:tabs>
        <w:spacing w:line="276" w:lineRule="auto"/>
        <w:outlineLvl w:val="1"/>
        <w:rPr>
          <w:rFonts w:eastAsia="Times New Roman" w:cs="Arial"/>
          <w:bCs/>
          <w:lang w:eastAsia="es-ES"/>
        </w:rPr>
      </w:pPr>
      <w:r w:rsidRPr="0022566A">
        <w:rPr>
          <w:rFonts w:eastAsia="Times New Roman" w:cs="Arial"/>
          <w:bCs/>
          <w:lang w:eastAsia="es-ES"/>
        </w:rPr>
        <w:t>Congreso del Estado de Coahuila, en la ciudad de Saltillo, Coahuila de Zaragoza, a 22 de marzo de 2021.</w:t>
      </w:r>
    </w:p>
    <w:p w:rsidR="0022566A" w:rsidRPr="0022566A" w:rsidRDefault="0022566A" w:rsidP="0022566A">
      <w:pPr>
        <w:rPr>
          <w:rFonts w:eastAsia="Times New Roman" w:cs="Times New Roman"/>
          <w:sz w:val="20"/>
          <w:szCs w:val="20"/>
          <w:lang w:eastAsia="es-ES"/>
        </w:rPr>
      </w:pPr>
    </w:p>
    <w:p w:rsidR="0022566A" w:rsidRPr="0022566A" w:rsidRDefault="0022566A" w:rsidP="0022566A">
      <w:pPr>
        <w:rPr>
          <w:rFonts w:eastAsia="Times New Roman" w:cs="Times New Roman"/>
          <w:sz w:val="20"/>
          <w:szCs w:val="20"/>
          <w:lang w:eastAsia="es-ES"/>
        </w:rPr>
      </w:pPr>
    </w:p>
    <w:p w:rsidR="0022566A" w:rsidRPr="0022566A" w:rsidRDefault="0022566A" w:rsidP="0022566A">
      <w:pPr>
        <w:spacing w:after="120" w:line="276" w:lineRule="auto"/>
        <w:jc w:val="center"/>
        <w:rPr>
          <w:rFonts w:eastAsia="Times New Roman" w:cs="Arial"/>
          <w:b/>
          <w:bCs/>
          <w:lang w:eastAsia="es-ES"/>
        </w:rPr>
      </w:pPr>
      <w:r w:rsidRPr="0022566A">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2566A" w:rsidRPr="0022566A" w:rsidTr="008253E2">
        <w:tc>
          <w:tcPr>
            <w:tcW w:w="2500" w:type="pct"/>
            <w:vAlign w:val="center"/>
          </w:tcPr>
          <w:p w:rsidR="0022566A" w:rsidRPr="0022566A" w:rsidRDefault="0022566A" w:rsidP="0022566A">
            <w:pPr>
              <w:jc w:val="center"/>
              <w:rPr>
                <w:rFonts w:eastAsia="Times New Roman" w:cs="Arial"/>
                <w:b/>
                <w:sz w:val="18"/>
                <w:szCs w:val="18"/>
                <w:lang w:eastAsia="es-ES"/>
              </w:rPr>
            </w:pPr>
            <w:r w:rsidRPr="0022566A">
              <w:rPr>
                <w:rFonts w:eastAsia="Times New Roman" w:cs="Arial"/>
                <w:b/>
                <w:sz w:val="18"/>
                <w:szCs w:val="18"/>
                <w:lang w:eastAsia="es-ES"/>
              </w:rPr>
              <w:t>NOMBRE Y FIRMA</w:t>
            </w:r>
          </w:p>
        </w:tc>
        <w:tc>
          <w:tcPr>
            <w:tcW w:w="2500" w:type="pct"/>
            <w:vAlign w:val="center"/>
          </w:tcPr>
          <w:p w:rsidR="0022566A" w:rsidRPr="0022566A" w:rsidRDefault="0022566A" w:rsidP="0022566A">
            <w:pPr>
              <w:jc w:val="center"/>
              <w:rPr>
                <w:rFonts w:eastAsia="Times New Roman" w:cs="Arial"/>
                <w:b/>
                <w:sz w:val="16"/>
                <w:szCs w:val="16"/>
                <w:lang w:eastAsia="es-ES"/>
              </w:rPr>
            </w:pPr>
            <w:r w:rsidRPr="0022566A">
              <w:rPr>
                <w:rFonts w:eastAsia="Times New Roman" w:cs="Arial"/>
                <w:b/>
                <w:sz w:val="16"/>
                <w:szCs w:val="16"/>
                <w:lang w:eastAsia="es-ES"/>
              </w:rPr>
              <w:t xml:space="preserve">VOTO </w:t>
            </w: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Jesús María Montemayor Garza.</w:t>
            </w: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Coordinador</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rPr>
          <w:trHeight w:val="1075"/>
        </w:trPr>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Jorge Antonio Abdala Serna</w:t>
            </w: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Secretario</w:t>
            </w: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Martha Loera Arámbula</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Olivia Martínez Leyva</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Luz Natalia Virgil Orona</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Yolanda Elizondo Maltos</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Francisco Javier Cortez Gómez</w:t>
            </w: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bl>
    <w:p w:rsidR="0022566A" w:rsidRDefault="0022566A" w:rsidP="0022566A">
      <w:pPr>
        <w:autoSpaceDE w:val="0"/>
        <w:autoSpaceDN w:val="0"/>
        <w:adjustRightInd w:val="0"/>
        <w:rPr>
          <w:rFonts w:eastAsia="Times New Roman" w:cs="Arial"/>
          <w:color w:val="000000"/>
          <w:sz w:val="18"/>
          <w:szCs w:val="18"/>
          <w:lang w:eastAsia="es-MX"/>
        </w:rPr>
      </w:pPr>
    </w:p>
    <w:p w:rsidR="0022566A" w:rsidRDefault="0022566A">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22566A" w:rsidRPr="0022566A" w:rsidRDefault="0022566A" w:rsidP="0022566A">
      <w:pPr>
        <w:spacing w:line="276" w:lineRule="auto"/>
        <w:rPr>
          <w:rFonts w:eastAsia="Times New Roman" w:cs="Arial"/>
          <w:sz w:val="28"/>
          <w:szCs w:val="28"/>
          <w:lang w:eastAsia="es-MX"/>
        </w:rPr>
      </w:pPr>
      <w:r w:rsidRPr="0022566A">
        <w:rPr>
          <w:rFonts w:eastAsia="Times New Roman" w:cs="Arial"/>
          <w:b/>
          <w:sz w:val="28"/>
          <w:szCs w:val="28"/>
          <w:lang w:eastAsia="es-ES"/>
        </w:rPr>
        <w:lastRenderedPageBreak/>
        <w:t xml:space="preserve">DICTAMEN </w:t>
      </w:r>
      <w:r w:rsidRPr="0022566A">
        <w:rPr>
          <w:rFonts w:eastAsia="Times New Roman" w:cs="Arial"/>
          <w:sz w:val="28"/>
          <w:szCs w:val="28"/>
          <w:lang w:eastAsia="es-ES"/>
        </w:rPr>
        <w:t xml:space="preserve">de la Comisión de Auditoría Gubernamental y Cuenta Pública de la Sexagésima Segunda Legislatura del Congreso del Estado Independiente, Libre y Soberano de Coahuila de Zaragoza, relativo al análisis del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w:t>
      </w:r>
      <w:r w:rsidRPr="0022566A">
        <w:rPr>
          <w:rFonts w:eastAsia="Times New Roman" w:cs="Arial"/>
          <w:sz w:val="28"/>
          <w:szCs w:val="28"/>
          <w:lang w:eastAsia="es-MX"/>
        </w:rPr>
        <w:t>revisión y fiscalización superior de las cuentas públicas correspondientes al ejercicio fiscal 2019, presentado por la Auditoría Superior del Estado de Coahuila.</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keepNext/>
        <w:spacing w:line="276" w:lineRule="auto"/>
        <w:jc w:val="center"/>
        <w:outlineLvl w:val="3"/>
        <w:rPr>
          <w:rFonts w:eastAsia="Times New Roman" w:cs="Arial"/>
          <w:b/>
          <w:sz w:val="28"/>
          <w:szCs w:val="28"/>
          <w:lang w:eastAsia="es-ES"/>
        </w:rPr>
      </w:pPr>
      <w:r w:rsidRPr="0022566A">
        <w:rPr>
          <w:rFonts w:eastAsia="Times New Roman" w:cs="Arial"/>
          <w:b/>
          <w:sz w:val="28"/>
          <w:szCs w:val="28"/>
          <w:lang w:eastAsia="es-ES"/>
        </w:rPr>
        <w:t>R E S U L T A N D O</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PRIMERO.- </w:t>
      </w:r>
      <w:r w:rsidRPr="0022566A">
        <w:rPr>
          <w:rFonts w:eastAsia="Times New Roman" w:cs="Arial"/>
          <w:sz w:val="28"/>
          <w:szCs w:val="28"/>
          <w:lang w:eastAsia="es-ES"/>
        </w:rPr>
        <w:t>Que es atribución del Poder Legislativo, por conducto de la Auditoría Superior del Estado, revisar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acorde a lo establecido en el artículo 67, fracción XXXIV de la Constitución Política del Estado de Coahuila de Zaragoza.</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color w:val="000000"/>
          <w:sz w:val="28"/>
          <w:szCs w:val="28"/>
          <w:lang w:eastAsia="es-ES"/>
        </w:rPr>
      </w:pPr>
      <w:r w:rsidRPr="0022566A">
        <w:rPr>
          <w:rFonts w:eastAsia="Times New Roman" w:cs="Arial"/>
          <w:b/>
          <w:sz w:val="28"/>
          <w:szCs w:val="28"/>
          <w:lang w:eastAsia="es-ES"/>
        </w:rPr>
        <w:t>SEGUNDO.-</w:t>
      </w:r>
      <w:r w:rsidRPr="0022566A">
        <w:rPr>
          <w:rFonts w:eastAsia="Times New Roman" w:cs="Arial"/>
          <w:sz w:val="28"/>
          <w:szCs w:val="28"/>
          <w:lang w:eastAsia="es-ES"/>
        </w:rPr>
        <w:t xml:space="preserve"> Que conforme a lo dispuesto en los artículos 74-C de la Constitución Política del Estado de Coahuila de Zaragoza, 49 y 94 apartado B, fracción XV de la Ley de Rendición de Cuentas y Fiscalización Superior del Estado de Coahuila de Zaragoza, corresponde a la Auditoría Superior del Estado, entregar al Congreso del Estado, a través de la Comisión de Auditoría Gubernamental y Cuenta Pública, 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w:t>
      </w:r>
      <w:r w:rsidRPr="0022566A">
        <w:rPr>
          <w:rFonts w:eastAsia="Times New Roman" w:cs="Arial"/>
          <w:color w:val="000000"/>
          <w:sz w:val="28"/>
          <w:szCs w:val="28"/>
          <w:lang w:eastAsia="es-ES"/>
        </w:rPr>
        <w:t>a más tardar el 31 de diciembre del año siguiente al ejercicio fiscalizado.</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color w:val="000000" w:themeColor="text1"/>
          <w:sz w:val="28"/>
          <w:szCs w:val="28"/>
          <w:lang w:eastAsia="es-ES"/>
        </w:rPr>
      </w:pPr>
      <w:r w:rsidRPr="0022566A">
        <w:rPr>
          <w:rFonts w:eastAsia="Times New Roman" w:cs="Arial"/>
          <w:b/>
          <w:sz w:val="28"/>
          <w:szCs w:val="28"/>
          <w:lang w:eastAsia="es-ES"/>
        </w:rPr>
        <w:lastRenderedPageBreak/>
        <w:t xml:space="preserve">TERCERO.- </w:t>
      </w:r>
      <w:r w:rsidRPr="0022566A">
        <w:rPr>
          <w:rFonts w:eastAsia="Times New Roman" w:cs="Arial"/>
          <w:sz w:val="28"/>
          <w:szCs w:val="28"/>
          <w:lang w:eastAsia="es-ES"/>
        </w:rPr>
        <w:t xml:space="preserve">Que con motivo de la pandemia provocada por el COVID-19, hubo una disminución en las operaciones de las oficinas gubernamentales para evitar la concentración de personal y evitar contagios, por lo que con fundamento en la fracción XXXIV del artículo 67 de la </w:t>
      </w:r>
      <w:r w:rsidRPr="0022566A">
        <w:rPr>
          <w:rFonts w:eastAsia="Calibri" w:cs="Arial"/>
          <w:sz w:val="26"/>
          <w:szCs w:val="26"/>
        </w:rPr>
        <w:t xml:space="preserve">Constitución Política del Estado, se emitió el </w:t>
      </w:r>
      <w:r w:rsidRPr="0022566A">
        <w:rPr>
          <w:rFonts w:eastAsia="Times New Roman" w:cs="Arial"/>
          <w:sz w:val="28"/>
          <w:szCs w:val="28"/>
          <w:lang w:eastAsia="es-ES"/>
        </w:rPr>
        <w:t xml:space="preserve">Decreto 586 publicado en el Periódico Oficial del Estado el 03 </w:t>
      </w:r>
      <w:r w:rsidRPr="0022566A">
        <w:rPr>
          <w:rFonts w:eastAsia="Times New Roman" w:cs="Arial"/>
          <w:color w:val="000000" w:themeColor="text1"/>
          <w:sz w:val="28"/>
          <w:szCs w:val="28"/>
          <w:lang w:eastAsia="es-ES"/>
        </w:rPr>
        <w:t xml:space="preserve">de abril de 2020, mediante el cual </w:t>
      </w:r>
      <w:r w:rsidRPr="0022566A">
        <w:rPr>
          <w:rFonts w:eastAsia="Times New Roman" w:cs="Arial"/>
          <w:color w:val="000000" w:themeColor="text1"/>
          <w:sz w:val="28"/>
          <w:szCs w:val="28"/>
          <w:bdr w:val="none" w:sz="0" w:space="0" w:color="auto" w:frame="1"/>
          <w:lang w:val="es-ES_tradnl" w:eastAsia="es-ES"/>
        </w:rPr>
        <w:t>se prorrogaron los plazos de presentación de la Cuenta Pública del Ejercicio Fiscal 2019, contenido en el artículo 10 de la Ley de Rendición de Cuentas y Fiscalización Superior del Estado de Coahuila de Zaragoza, del 30 de abril del 2020 a más tardar al 15 de junio del 2020.</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CUARTO.-</w:t>
      </w:r>
      <w:r w:rsidRPr="0022566A">
        <w:rPr>
          <w:rFonts w:eastAsia="Times New Roman" w:cs="Arial"/>
          <w:sz w:val="28"/>
          <w:szCs w:val="28"/>
          <w:lang w:eastAsia="es-ES"/>
        </w:rPr>
        <w:t xml:space="preserve"> Que mediante Decreto 740, publicado en el Periódico Oficial del Estado el 02 de octubre de 2020, se reformó el artículo 74-C de la Constitución Política del Estado de Coahuila de Zaragoza, para establecer que en aquéllos casos en los que amplíe el plazo de presentación de las cuentas públicas, se amplíe el mismo plazo para la entrega del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por lo tanto, el correspondiente a la revisión de la cuenta pública del ejercicio 2019, se presentaría el 15 de febrero de 2021.</w:t>
      </w:r>
    </w:p>
    <w:p w:rsidR="0022566A" w:rsidRPr="0022566A" w:rsidRDefault="0022566A" w:rsidP="0022566A">
      <w:pPr>
        <w:spacing w:line="276" w:lineRule="auto"/>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QUINTO.- </w:t>
      </w:r>
      <w:r w:rsidRPr="0022566A">
        <w:rPr>
          <w:rFonts w:eastAsia="Times New Roman" w:cs="Arial"/>
          <w:sz w:val="28"/>
          <w:szCs w:val="28"/>
          <w:lang w:eastAsia="es-ES"/>
        </w:rPr>
        <w:t xml:space="preserve">Que en virtud de lo anterior, la Comisión de Auditoría Gubernamental y Cuenta Pública, de acuerdo a lo que establece el artículo 112, fracción II, de la Ley de Rendición de Cuentas y Fiscalización Superior del Estado de Coahuila de Zaragoza, recibió el oficio número ASE-00916-2021 de fecha 15 de febrero de 2021, mediante el cual la Auditoría Superior del Estado envía 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contenido en un dispositivo electrónico de almacenamiento anexo al referido oficio.</w:t>
      </w:r>
    </w:p>
    <w:p w:rsidR="0022566A" w:rsidRPr="0022566A" w:rsidRDefault="0022566A" w:rsidP="0022566A">
      <w:pPr>
        <w:spacing w:line="276" w:lineRule="auto"/>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SEXTO.- </w:t>
      </w:r>
      <w:r w:rsidRPr="0022566A">
        <w:rPr>
          <w:rFonts w:eastAsia="Times New Roman" w:cs="Arial"/>
          <w:sz w:val="28"/>
          <w:szCs w:val="28"/>
          <w:lang w:eastAsia="es-ES"/>
        </w:rPr>
        <w:t xml:space="preserve">Que 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a partir de la fecha de presentación ante este H. Congreso, adquirió el carácter público y se </w:t>
      </w:r>
      <w:r w:rsidRPr="0022566A">
        <w:rPr>
          <w:rFonts w:eastAsia="Times New Roman" w:cs="Arial"/>
          <w:sz w:val="28"/>
          <w:szCs w:val="28"/>
          <w:lang w:eastAsia="es-ES"/>
        </w:rPr>
        <w:lastRenderedPageBreak/>
        <w:t xml:space="preserve">encuentra disponible para su consulta en la página de internet de dicho órgano superior de fiscalización: </w:t>
      </w:r>
      <w:hyperlink r:id="rId8" w:history="1">
        <w:r w:rsidRPr="0022566A">
          <w:rPr>
            <w:rFonts w:eastAsia="Times New Roman" w:cs="Arial"/>
            <w:color w:val="0000FF"/>
            <w:sz w:val="28"/>
            <w:szCs w:val="28"/>
            <w:u w:val="single"/>
            <w:lang w:eastAsia="es-ES"/>
          </w:rPr>
          <w:t>www.asecoahuila.gob.mx</w:t>
        </w:r>
      </w:hyperlink>
      <w:r w:rsidRPr="0022566A">
        <w:rPr>
          <w:rFonts w:eastAsia="Times New Roman" w:cs="Arial"/>
          <w:sz w:val="28"/>
          <w:szCs w:val="28"/>
          <w:lang w:eastAsia="es-ES"/>
        </w:rPr>
        <w:t>, cumpliendo con el principio de publicidad establecido en el artículo 50 de la Ley de Rendición de Cuentas y Fiscalización Superior del Estado de Coahuila de Zaragoza.</w:t>
      </w:r>
    </w:p>
    <w:p w:rsidR="0022566A" w:rsidRPr="0022566A" w:rsidRDefault="0022566A" w:rsidP="0022566A">
      <w:pPr>
        <w:spacing w:line="276" w:lineRule="auto"/>
        <w:jc w:val="center"/>
        <w:rPr>
          <w:rFonts w:eastAsia="Times New Roman" w:cs="Arial"/>
          <w:b/>
          <w:sz w:val="28"/>
          <w:szCs w:val="28"/>
          <w:lang w:eastAsia="es-ES"/>
        </w:rPr>
      </w:pPr>
    </w:p>
    <w:p w:rsidR="0022566A" w:rsidRPr="0022566A" w:rsidRDefault="0022566A" w:rsidP="0022566A">
      <w:pPr>
        <w:spacing w:line="276" w:lineRule="auto"/>
        <w:jc w:val="center"/>
        <w:rPr>
          <w:rFonts w:eastAsia="Times New Roman" w:cs="Arial"/>
          <w:b/>
          <w:sz w:val="28"/>
          <w:szCs w:val="28"/>
          <w:lang w:eastAsia="es-ES"/>
        </w:rPr>
      </w:pPr>
      <w:r w:rsidRPr="0022566A">
        <w:rPr>
          <w:rFonts w:eastAsia="Times New Roman" w:cs="Arial"/>
          <w:b/>
          <w:sz w:val="28"/>
          <w:szCs w:val="28"/>
          <w:lang w:eastAsia="es-ES"/>
        </w:rPr>
        <w:t>C O N S I D E R A N D O</w:t>
      </w:r>
    </w:p>
    <w:p w:rsidR="0022566A" w:rsidRPr="0022566A" w:rsidRDefault="0022566A" w:rsidP="0022566A">
      <w:pPr>
        <w:spacing w:line="276" w:lineRule="auto"/>
        <w:jc w:val="center"/>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PRIMERO.- </w:t>
      </w:r>
      <w:r w:rsidRPr="0022566A">
        <w:rPr>
          <w:rFonts w:eastAsia="Times New Roman" w:cs="Arial"/>
          <w:sz w:val="28"/>
          <w:szCs w:val="28"/>
          <w:lang w:eastAsia="es-ES"/>
        </w:rPr>
        <w:t>Que esta Comisión de Auditoría Gubernamental y Cuenta Pública es competente para emitir el presente dictamen, de conformidad con lo dispuesto en los artículos 94 fracción I de la Ley Orgánica del Congreso del Estado Independiente, Libre y Soberano de Coahuila de Zaragoza y 56, 57 y 112, fracción II de la Ley de Rendición de Cuentas y Fiscalización Superior del Estado de Coahuila de Zaragoza.</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SEGUNDO.- </w:t>
      </w:r>
      <w:r w:rsidRPr="0022566A">
        <w:rPr>
          <w:rFonts w:eastAsia="Times New Roman" w:cs="Arial"/>
          <w:sz w:val="28"/>
          <w:szCs w:val="28"/>
          <w:lang w:eastAsia="es-ES"/>
        </w:rPr>
        <w:t xml:space="preserve">Que 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fue presentado por la Auditoría Superior del Estado conforme a los términos que establece la Ley de Rendición de Cuentas y Fiscalización Superior del Estado de Coahuila de Zaragoza, y cumpliendo con el plazo señalado en el artículo 74-C de la Constitución Política del Estado de Coahuila de Zaragoza, que determina que en aquéllos casos en los que amplíe el plazo de presentación de las cuentas públicas, como fue para el ejercicio 2019, se amplíe el mismo plazo para la entrega del </w:t>
      </w:r>
      <w:r w:rsidRPr="0022566A">
        <w:rPr>
          <w:rFonts w:eastAsia="Times New Roman" w:cs="Arial"/>
          <w:i/>
          <w:sz w:val="28"/>
          <w:szCs w:val="28"/>
          <w:lang w:eastAsia="es-ES"/>
        </w:rPr>
        <w:t>Informe Anual de Resultados.</w:t>
      </w:r>
    </w:p>
    <w:p w:rsidR="0022566A" w:rsidRPr="0022566A" w:rsidRDefault="0022566A" w:rsidP="0022566A">
      <w:pPr>
        <w:spacing w:line="276" w:lineRule="auto"/>
        <w:rPr>
          <w:rFonts w:eastAsia="Times New Roman" w:cs="Arial"/>
          <w:color w:val="000000"/>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color w:val="000000"/>
          <w:sz w:val="28"/>
          <w:szCs w:val="28"/>
          <w:lang w:eastAsia="es-ES"/>
        </w:rPr>
        <w:t xml:space="preserve">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que presenta la Auditoría Superior, integra de cada una de las entidades auditadas la información que describen las fracciones del artículo 51 de la Ley de Rendición de Cuentas y Fiscalización Superior del Estado de Coahuila de Zaragoza, que son:</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I. Los resultados de la gestión financiera;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lastRenderedPageBreak/>
        <w:t xml:space="preserve">II. La comprobación de que las entidades se ajustaron a la ley de ingresos o presupuesto de ingresos de la entidad, al presupuesto de egresos y demás ordenamientos aplicables;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III. El análisis de las variaciones presupuestarias, en su caso;</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IV. El apartado correspondiente a la fiscalización superior y verificación del cumplimiento de los planes y programas, con respecto a la evaluación de la consecución de sus objetivos y metas, bajo criterios de eficiencia, eficacia y economía;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V. Los resultados de las auditorías practicadas;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VI. El cumplimiento de la Ley General de Contabilidad Gubernamental, así como las normas de información financiera para el sector público y de las disposiciones contenidas en los ordenamientos correspondientes;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VII. Los dictámenes de la revisión de las cuentas públicas;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VIII. Un resumen ejecutivo dirigido a la sociedad, en donde se expliquen las acciones y medidas derivadas de la fiscalización de los recursos públicos.  </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está estructurado en 5 secciones y agrupados por tomos, los cuales están ordenados de la siguiente manera: </w:t>
      </w:r>
    </w:p>
    <w:p w:rsidR="0022566A" w:rsidRPr="0022566A" w:rsidRDefault="0022566A" w:rsidP="0022566A">
      <w:pPr>
        <w:spacing w:line="276" w:lineRule="auto"/>
        <w:rPr>
          <w:rFonts w:eastAsia="Times New Roman" w:cs="Arial"/>
          <w:sz w:val="28"/>
          <w:szCs w:val="28"/>
          <w:lang w:eastAsia="es-ES"/>
        </w:rPr>
      </w:pPr>
    </w:p>
    <w:tbl>
      <w:tblPr>
        <w:tblStyle w:val="Tablaconcuadrcula"/>
        <w:tblW w:w="9544" w:type="dxa"/>
        <w:tblLayout w:type="fixed"/>
        <w:tblLook w:val="04A0" w:firstRow="1" w:lastRow="0" w:firstColumn="1" w:lastColumn="0" w:noHBand="0" w:noVBand="1"/>
      </w:tblPr>
      <w:tblGrid>
        <w:gridCol w:w="534"/>
        <w:gridCol w:w="3430"/>
        <w:gridCol w:w="1134"/>
        <w:gridCol w:w="4446"/>
      </w:tblGrid>
      <w:tr w:rsidR="0022566A" w:rsidRPr="0022566A" w:rsidTr="008253E2">
        <w:tc>
          <w:tcPr>
            <w:tcW w:w="3964" w:type="dxa"/>
            <w:gridSpan w:val="2"/>
          </w:tcPr>
          <w:p w:rsidR="0022566A" w:rsidRPr="0022566A" w:rsidRDefault="0022566A" w:rsidP="0022566A">
            <w:pPr>
              <w:spacing w:line="276" w:lineRule="auto"/>
              <w:jc w:val="center"/>
              <w:rPr>
                <w:rFonts w:ascii="Arial Narrow" w:hAnsi="Arial Narrow" w:cstheme="minorHAnsi"/>
                <w:b/>
                <w:sz w:val="28"/>
                <w:szCs w:val="28"/>
                <w:lang w:eastAsia="es-ES"/>
              </w:rPr>
            </w:pPr>
          </w:p>
          <w:p w:rsidR="0022566A" w:rsidRPr="0022566A" w:rsidRDefault="0022566A" w:rsidP="0022566A">
            <w:pPr>
              <w:spacing w:line="276" w:lineRule="auto"/>
              <w:jc w:val="center"/>
              <w:rPr>
                <w:rFonts w:ascii="Arial Narrow" w:hAnsi="Arial Narrow" w:cstheme="minorHAnsi"/>
                <w:b/>
                <w:sz w:val="28"/>
                <w:szCs w:val="28"/>
                <w:lang w:eastAsia="es-ES"/>
              </w:rPr>
            </w:pPr>
            <w:r w:rsidRPr="0022566A">
              <w:rPr>
                <w:rFonts w:ascii="Arial Narrow" w:hAnsi="Arial Narrow" w:cstheme="minorHAnsi"/>
                <w:b/>
                <w:sz w:val="28"/>
                <w:szCs w:val="28"/>
                <w:lang w:eastAsia="es-ES"/>
              </w:rPr>
              <w:t xml:space="preserve">SECCIÓN </w:t>
            </w:r>
          </w:p>
          <w:p w:rsidR="0022566A" w:rsidRPr="0022566A" w:rsidRDefault="0022566A" w:rsidP="0022566A">
            <w:pPr>
              <w:spacing w:line="276" w:lineRule="auto"/>
              <w:jc w:val="center"/>
              <w:rPr>
                <w:rFonts w:ascii="Arial Narrow" w:hAnsi="Arial Narrow" w:cstheme="minorHAnsi"/>
                <w:b/>
                <w:sz w:val="28"/>
                <w:szCs w:val="28"/>
                <w:lang w:eastAsia="es-ES"/>
              </w:rPr>
            </w:pPr>
          </w:p>
        </w:tc>
        <w:tc>
          <w:tcPr>
            <w:tcW w:w="1134" w:type="dxa"/>
          </w:tcPr>
          <w:p w:rsidR="0022566A" w:rsidRPr="0022566A" w:rsidRDefault="0022566A" w:rsidP="0022566A">
            <w:pPr>
              <w:spacing w:line="276" w:lineRule="auto"/>
              <w:jc w:val="center"/>
              <w:rPr>
                <w:rFonts w:ascii="Arial Narrow" w:hAnsi="Arial Narrow" w:cstheme="minorHAnsi"/>
                <w:b/>
                <w:sz w:val="28"/>
                <w:szCs w:val="28"/>
                <w:lang w:eastAsia="es-ES"/>
              </w:rPr>
            </w:pPr>
          </w:p>
          <w:p w:rsidR="0022566A" w:rsidRPr="0022566A" w:rsidRDefault="0022566A" w:rsidP="0022566A">
            <w:pPr>
              <w:spacing w:line="276" w:lineRule="auto"/>
              <w:jc w:val="center"/>
              <w:rPr>
                <w:rFonts w:ascii="Arial Narrow" w:hAnsi="Arial Narrow" w:cstheme="minorHAnsi"/>
                <w:b/>
                <w:sz w:val="28"/>
                <w:szCs w:val="28"/>
                <w:lang w:eastAsia="es-ES"/>
              </w:rPr>
            </w:pPr>
            <w:r w:rsidRPr="0022566A">
              <w:rPr>
                <w:rFonts w:ascii="Arial Narrow" w:hAnsi="Arial Narrow" w:cstheme="minorHAnsi"/>
                <w:b/>
                <w:sz w:val="28"/>
                <w:szCs w:val="28"/>
                <w:lang w:eastAsia="es-ES"/>
              </w:rPr>
              <w:t>TOMO</w:t>
            </w:r>
          </w:p>
        </w:tc>
        <w:tc>
          <w:tcPr>
            <w:tcW w:w="4446" w:type="dxa"/>
          </w:tcPr>
          <w:p w:rsidR="0022566A" w:rsidRPr="0022566A" w:rsidRDefault="0022566A" w:rsidP="0022566A">
            <w:pPr>
              <w:spacing w:line="276" w:lineRule="auto"/>
              <w:jc w:val="center"/>
              <w:rPr>
                <w:rFonts w:ascii="Arial Narrow" w:hAnsi="Arial Narrow" w:cstheme="minorHAnsi"/>
                <w:b/>
                <w:sz w:val="28"/>
                <w:szCs w:val="28"/>
                <w:lang w:eastAsia="es-ES"/>
              </w:rPr>
            </w:pPr>
          </w:p>
          <w:p w:rsidR="0022566A" w:rsidRPr="0022566A" w:rsidRDefault="0022566A" w:rsidP="0022566A">
            <w:pPr>
              <w:spacing w:line="276" w:lineRule="auto"/>
              <w:jc w:val="center"/>
              <w:rPr>
                <w:rFonts w:ascii="Arial Narrow" w:hAnsi="Arial Narrow" w:cstheme="minorHAnsi"/>
                <w:b/>
                <w:sz w:val="28"/>
                <w:szCs w:val="28"/>
                <w:lang w:eastAsia="es-ES"/>
              </w:rPr>
            </w:pPr>
            <w:r w:rsidRPr="0022566A">
              <w:rPr>
                <w:rFonts w:ascii="Arial Narrow" w:hAnsi="Arial Narrow" w:cstheme="minorHAnsi"/>
                <w:b/>
                <w:sz w:val="28"/>
                <w:szCs w:val="28"/>
                <w:lang w:eastAsia="es-ES"/>
              </w:rPr>
              <w:t>CONTENIDO</w:t>
            </w: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A</w:t>
            </w: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Informe Ejecutivo</w:t>
            </w:r>
          </w:p>
        </w:tc>
        <w:tc>
          <w:tcPr>
            <w:tcW w:w="11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A1</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Informe Ejecutivo.</w:t>
            </w:r>
          </w:p>
          <w:p w:rsidR="0022566A" w:rsidRPr="0022566A" w:rsidRDefault="0022566A" w:rsidP="0022566A">
            <w:pPr>
              <w:spacing w:line="276" w:lineRule="auto"/>
              <w:rPr>
                <w:rFonts w:ascii="Arial Narrow" w:hAnsi="Arial Narrow" w:cstheme="minorHAnsi"/>
                <w:sz w:val="28"/>
                <w:szCs w:val="28"/>
                <w:lang w:eastAsia="es-ES"/>
              </w:rPr>
            </w:pP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w:t>
            </w:r>
          </w:p>
          <w:p w:rsidR="0022566A" w:rsidRPr="0022566A" w:rsidRDefault="0022566A" w:rsidP="0022566A">
            <w:pPr>
              <w:spacing w:line="276" w:lineRule="auto"/>
              <w:jc w:val="center"/>
              <w:rPr>
                <w:rFonts w:ascii="Arial Narrow" w:hAnsi="Arial Narrow" w:cstheme="minorHAnsi"/>
                <w:sz w:val="28"/>
                <w:szCs w:val="28"/>
                <w:lang w:eastAsia="es-ES"/>
              </w:rPr>
            </w:pP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Auditorías de Cumplimiento </w:t>
            </w:r>
          </w:p>
        </w:tc>
        <w:tc>
          <w:tcPr>
            <w:tcW w:w="1134" w:type="dxa"/>
          </w:tcPr>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B1</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B2</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B3</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B4</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lastRenderedPageBreak/>
              <w:t>B5</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lastRenderedPageBreak/>
              <w:t>Poderes y Organismos Autónomos.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Organismos Públicos Descentralizados del Gobierno del Estado.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Municipios.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Sistemas de Aguas y Organismos Descentralizados Municipales.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lastRenderedPageBreak/>
              <w:t>Cumplimiento de las Entidades en el Portal para Registro de CFDI.</w:t>
            </w: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w:t>
            </w:r>
          </w:p>
          <w:p w:rsidR="0022566A" w:rsidRPr="0022566A" w:rsidRDefault="0022566A" w:rsidP="0022566A">
            <w:pPr>
              <w:spacing w:line="276" w:lineRule="auto"/>
              <w:jc w:val="center"/>
              <w:rPr>
                <w:rFonts w:ascii="Arial Narrow" w:hAnsi="Arial Narrow" w:cstheme="minorHAnsi"/>
                <w:sz w:val="28"/>
                <w:szCs w:val="28"/>
                <w:lang w:eastAsia="es-ES"/>
              </w:rPr>
            </w:pP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Auditorías de Desempeño y Legalidad</w:t>
            </w:r>
          </w:p>
        </w:tc>
        <w:tc>
          <w:tcPr>
            <w:tcW w:w="11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C1</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C2</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C3</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C4</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C5</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C6</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C7</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Poderes y Organismos Autónomos.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Organismos Públicos Descentralizados del Gobierno del Estado.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Municipios.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Sistemas de Aguas y Organismos Descentralizados Municipales.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Evolución del Desempeño de la Gestión Municipal.</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Auditorías de Desempeño a Programas.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Auditoría de Legalidad.</w:t>
            </w: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w:t>
            </w:r>
          </w:p>
          <w:p w:rsidR="0022566A" w:rsidRPr="0022566A" w:rsidRDefault="0022566A" w:rsidP="0022566A">
            <w:pPr>
              <w:spacing w:line="276" w:lineRule="auto"/>
              <w:jc w:val="center"/>
              <w:rPr>
                <w:rFonts w:ascii="Arial Narrow" w:hAnsi="Arial Narrow" w:cstheme="minorHAnsi"/>
                <w:sz w:val="28"/>
                <w:szCs w:val="28"/>
                <w:lang w:eastAsia="es-ES"/>
              </w:rPr>
            </w:pP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Auditorías Financieras</w:t>
            </w:r>
          </w:p>
        </w:tc>
        <w:tc>
          <w:tcPr>
            <w:tcW w:w="1134" w:type="dxa"/>
            <w:tcBorders>
              <w:bottom w:val="single" w:sz="4" w:space="0" w:color="auto"/>
            </w:tcBorders>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D1</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D2</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D3</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D4</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D5</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Poderes y Organismos Autónomos.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Organismos Públicos Descentralizados del Gobierno del Estado.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Municipios.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Sistemas de Aguas y Organismos Descentralizados Municipales.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Estudios Especiales de Auditoría Financiera.</w:t>
            </w: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E </w:t>
            </w: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Indicadores y Estudios Especiales</w:t>
            </w:r>
          </w:p>
        </w:tc>
        <w:tc>
          <w:tcPr>
            <w:tcW w:w="11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E1</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E2</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E3</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E4</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E5</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Indicadores Básicos y de Gestión al Desempeño.</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Estudios Especiales.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Resultado de la Gestión Financiera de los Municipios del Estado.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Temas de Interés.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Desarrollo Institucional. </w:t>
            </w:r>
          </w:p>
        </w:tc>
      </w:tr>
    </w:tbl>
    <w:p w:rsidR="0022566A" w:rsidRPr="0022566A" w:rsidRDefault="0022566A" w:rsidP="0022566A">
      <w:pPr>
        <w:spacing w:line="360" w:lineRule="auto"/>
        <w:rPr>
          <w:rFonts w:eastAsia="Times New Roman" w:cs="Arial"/>
          <w:sz w:val="28"/>
          <w:szCs w:val="28"/>
          <w:lang w:eastAsia="es-ES"/>
        </w:rPr>
      </w:pPr>
    </w:p>
    <w:p w:rsidR="0022566A" w:rsidRPr="0022566A" w:rsidRDefault="0022566A" w:rsidP="0022566A">
      <w:pPr>
        <w:autoSpaceDE w:val="0"/>
        <w:autoSpaceDN w:val="0"/>
        <w:adjustRightInd w:val="0"/>
        <w:spacing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lastRenderedPageBreak/>
        <w:t xml:space="preserve">La sección A, tomo 1 del </w:t>
      </w:r>
      <w:r w:rsidRPr="0022566A">
        <w:rPr>
          <w:rFonts w:eastAsia="Times New Roman" w:cs="Arial"/>
          <w:i/>
          <w:color w:val="000000"/>
          <w:sz w:val="28"/>
          <w:szCs w:val="28"/>
          <w:lang w:val="es-ES" w:eastAsia="es-ES"/>
        </w:rPr>
        <w:t>Informe Anual de Resultados</w:t>
      </w:r>
      <w:r w:rsidRPr="0022566A">
        <w:rPr>
          <w:rFonts w:eastAsia="Times New Roman" w:cs="Arial"/>
          <w:color w:val="000000"/>
          <w:sz w:val="28"/>
          <w:szCs w:val="28"/>
          <w:lang w:val="es-ES" w:eastAsia="es-ES"/>
        </w:rPr>
        <w:t xml:space="preserve">, denominado </w:t>
      </w:r>
      <w:r w:rsidRPr="0022566A">
        <w:rPr>
          <w:rFonts w:eastAsia="Times New Roman" w:cs="Arial"/>
          <w:i/>
          <w:color w:val="000000"/>
          <w:sz w:val="28"/>
          <w:szCs w:val="28"/>
          <w:lang w:val="es-ES" w:eastAsia="es-ES"/>
        </w:rPr>
        <w:t>Informe Ejecutivo</w:t>
      </w:r>
      <w:r w:rsidRPr="0022566A">
        <w:rPr>
          <w:rFonts w:eastAsia="Times New Roman" w:cs="Arial"/>
          <w:color w:val="000000"/>
          <w:sz w:val="28"/>
          <w:szCs w:val="28"/>
          <w:lang w:val="es-ES" w:eastAsia="es-ES"/>
        </w:rPr>
        <w:t>, presenta un panorama general de las auditorías practicadas, así como el marco jurídico de actuación de la Auditoría Superior del Estado para llevar a cabo la revisión de la cuenta pública 2019; además muestra cómo está estructurado el informe que presentaron y el contenido que tiene, para su fácil acceso; asimismo explica sobre las acciones a derivarse de la fiscalización de la cuenta pública 2019 y su clasificación; también revela los puntos estratégicos que desarrolló para el cumplimiento de su Programa Anual de Auditorías, Visitas e Inspecciones, y finalmente propone algunos temas importantes para agenda legislativa que consideran que pudieran fortalecer el marco jurídico estatal en materia de transparencia y rendición de cuentas, contabilidad gubernamental, responsabilidades, incluyendo la penal.</w:t>
      </w:r>
    </w:p>
    <w:p w:rsidR="0022566A" w:rsidRPr="0022566A" w:rsidRDefault="0022566A" w:rsidP="0022566A">
      <w:pPr>
        <w:autoSpaceDE w:val="0"/>
        <w:autoSpaceDN w:val="0"/>
        <w:adjustRightInd w:val="0"/>
        <w:spacing w:line="276" w:lineRule="auto"/>
        <w:rPr>
          <w:rFonts w:eastAsia="Times New Roman" w:cs="Arial"/>
          <w:color w:val="000000"/>
          <w:sz w:val="28"/>
          <w:szCs w:val="28"/>
          <w:lang w:val="es-ES" w:eastAsia="es-ES"/>
        </w:rPr>
      </w:pPr>
    </w:p>
    <w:p w:rsidR="0022566A" w:rsidRPr="0022566A" w:rsidRDefault="0022566A" w:rsidP="0022566A">
      <w:pPr>
        <w:autoSpaceDE w:val="0"/>
        <w:autoSpaceDN w:val="0"/>
        <w:adjustRightInd w:val="0"/>
        <w:spacing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En la sección B, se presentan las </w:t>
      </w:r>
      <w:r w:rsidRPr="0022566A">
        <w:rPr>
          <w:rFonts w:eastAsia="Times New Roman" w:cs="Arial"/>
          <w:i/>
          <w:color w:val="000000"/>
          <w:sz w:val="28"/>
          <w:szCs w:val="28"/>
          <w:lang w:val="es-ES" w:eastAsia="es-ES"/>
        </w:rPr>
        <w:t>Auditorías de Cumplimiento</w:t>
      </w:r>
      <w:r w:rsidRPr="0022566A">
        <w:rPr>
          <w:rFonts w:eastAsia="Times New Roman" w:cs="Arial"/>
          <w:color w:val="000000"/>
          <w:sz w:val="28"/>
          <w:szCs w:val="28"/>
          <w:lang w:val="es-ES" w:eastAsia="es-ES"/>
        </w:rPr>
        <w:t>, se hace referencia a los resultados de la revisión y comprobación de los procesos operativos contables, presupuestales y programáticos, con el propósito de verificar que las operaciones financieras que realicen las entidades, se ejercieron conforme a las leyes de ingresos, presupuestos de egresos aprobados y demás disposiciones legales aplicables; para ello, cada entidad auditada se presenta bajo el siguiente esquema:</w:t>
      </w:r>
    </w:p>
    <w:p w:rsidR="0022566A" w:rsidRPr="0022566A" w:rsidRDefault="0022566A" w:rsidP="0022566A">
      <w:pPr>
        <w:autoSpaceDE w:val="0"/>
        <w:autoSpaceDN w:val="0"/>
        <w:adjustRightInd w:val="0"/>
        <w:spacing w:line="276" w:lineRule="auto"/>
        <w:rPr>
          <w:rFonts w:eastAsia="Times New Roman" w:cs="Arial"/>
          <w:color w:val="000000"/>
          <w:sz w:val="28"/>
          <w:szCs w:val="28"/>
          <w:lang w:val="es-ES" w:eastAsia="es-ES"/>
        </w:rPr>
      </w:pPr>
    </w:p>
    <w:p w:rsidR="0022566A" w:rsidRPr="0022566A" w:rsidRDefault="0022566A" w:rsidP="0022566A">
      <w:pPr>
        <w:numPr>
          <w:ilvl w:val="0"/>
          <w:numId w:val="45"/>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Denominación de la Entidad. </w:t>
      </w:r>
    </w:p>
    <w:p w:rsidR="0022566A" w:rsidRPr="0022566A" w:rsidRDefault="0022566A" w:rsidP="0022566A">
      <w:pPr>
        <w:numPr>
          <w:ilvl w:val="0"/>
          <w:numId w:val="45"/>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Presentación de la Cuenta Pública. </w:t>
      </w:r>
    </w:p>
    <w:p w:rsidR="0022566A" w:rsidRPr="0022566A" w:rsidRDefault="0022566A" w:rsidP="0022566A">
      <w:pPr>
        <w:numPr>
          <w:ilvl w:val="0"/>
          <w:numId w:val="45"/>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Aspectos Presupuestarios. </w:t>
      </w:r>
    </w:p>
    <w:p w:rsidR="0022566A" w:rsidRPr="0022566A" w:rsidRDefault="0022566A" w:rsidP="0022566A">
      <w:pPr>
        <w:numPr>
          <w:ilvl w:val="0"/>
          <w:numId w:val="46"/>
        </w:numPr>
        <w:autoSpaceDE w:val="0"/>
        <w:autoSpaceDN w:val="0"/>
        <w:adjustRightInd w:val="0"/>
        <w:spacing w:after="18"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Ley de Ingresos. </w:t>
      </w:r>
    </w:p>
    <w:p w:rsidR="0022566A" w:rsidRPr="0022566A" w:rsidRDefault="0022566A" w:rsidP="0022566A">
      <w:pPr>
        <w:numPr>
          <w:ilvl w:val="0"/>
          <w:numId w:val="46"/>
        </w:numPr>
        <w:autoSpaceDE w:val="0"/>
        <w:autoSpaceDN w:val="0"/>
        <w:adjustRightInd w:val="0"/>
        <w:spacing w:after="18"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Presupuesto de Ingresos. </w:t>
      </w:r>
    </w:p>
    <w:p w:rsidR="0022566A" w:rsidRPr="0022566A" w:rsidRDefault="0022566A" w:rsidP="0022566A">
      <w:pPr>
        <w:numPr>
          <w:ilvl w:val="0"/>
          <w:numId w:val="46"/>
        </w:numPr>
        <w:autoSpaceDE w:val="0"/>
        <w:autoSpaceDN w:val="0"/>
        <w:adjustRightInd w:val="0"/>
        <w:spacing w:after="18"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Presupuesto de Egresos</w:t>
      </w:r>
    </w:p>
    <w:p w:rsidR="0022566A" w:rsidRPr="0022566A" w:rsidRDefault="0022566A" w:rsidP="0022566A">
      <w:pPr>
        <w:numPr>
          <w:ilvl w:val="0"/>
          <w:numId w:val="46"/>
        </w:numPr>
        <w:autoSpaceDE w:val="0"/>
        <w:autoSpaceDN w:val="0"/>
        <w:adjustRightInd w:val="0"/>
        <w:spacing w:after="18"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Análisis de las Desviaciones Presupuestarias. </w:t>
      </w:r>
    </w:p>
    <w:p w:rsidR="0022566A" w:rsidRPr="0022566A" w:rsidRDefault="0022566A" w:rsidP="0022566A">
      <w:pPr>
        <w:numPr>
          <w:ilvl w:val="0"/>
          <w:numId w:val="43"/>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Fiscalización Superior. </w:t>
      </w:r>
    </w:p>
    <w:p w:rsidR="0022566A" w:rsidRPr="0022566A" w:rsidRDefault="0022566A" w:rsidP="0022566A">
      <w:pPr>
        <w:numPr>
          <w:ilvl w:val="0"/>
          <w:numId w:val="43"/>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Técnicas de Auditoría Utilizadas. </w:t>
      </w:r>
    </w:p>
    <w:p w:rsidR="0022566A" w:rsidRPr="0022566A" w:rsidRDefault="0022566A" w:rsidP="0022566A">
      <w:pPr>
        <w:numPr>
          <w:ilvl w:val="0"/>
          <w:numId w:val="43"/>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lastRenderedPageBreak/>
        <w:t xml:space="preserve">Resultados de la Fiscalización. </w:t>
      </w:r>
    </w:p>
    <w:p w:rsidR="0022566A" w:rsidRPr="0022566A" w:rsidRDefault="0022566A" w:rsidP="0022566A">
      <w:pPr>
        <w:numPr>
          <w:ilvl w:val="0"/>
          <w:numId w:val="43"/>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Pliego de Observaciones y Pliego de Recomendaciones. </w:t>
      </w:r>
    </w:p>
    <w:p w:rsidR="0022566A" w:rsidRPr="0022566A" w:rsidRDefault="0022566A" w:rsidP="0022566A">
      <w:pPr>
        <w:numPr>
          <w:ilvl w:val="0"/>
          <w:numId w:val="43"/>
        </w:numPr>
        <w:spacing w:after="18" w:line="276" w:lineRule="auto"/>
        <w:ind w:left="426"/>
        <w:contextualSpacing/>
        <w:rPr>
          <w:rFonts w:eastAsia="Calibri" w:cs="Arial"/>
          <w:sz w:val="28"/>
          <w:szCs w:val="28"/>
        </w:rPr>
      </w:pPr>
      <w:r w:rsidRPr="0022566A">
        <w:rPr>
          <w:rFonts w:eastAsia="Calibri" w:cs="Arial"/>
          <w:sz w:val="28"/>
          <w:szCs w:val="28"/>
        </w:rPr>
        <w:t>Verificación del Cumplimiento de los Planes y Programas.</w:t>
      </w:r>
    </w:p>
    <w:p w:rsidR="0022566A" w:rsidRPr="0022566A" w:rsidRDefault="0022566A" w:rsidP="0022566A">
      <w:pPr>
        <w:numPr>
          <w:ilvl w:val="0"/>
          <w:numId w:val="43"/>
        </w:numPr>
        <w:spacing w:after="18" w:line="276" w:lineRule="auto"/>
        <w:ind w:left="426"/>
        <w:contextualSpacing/>
        <w:rPr>
          <w:rFonts w:eastAsia="Calibri" w:cs="Arial"/>
          <w:sz w:val="28"/>
          <w:szCs w:val="28"/>
        </w:rPr>
      </w:pPr>
      <w:r w:rsidRPr="0022566A">
        <w:rPr>
          <w:rFonts w:eastAsia="Calibri" w:cs="Arial"/>
          <w:sz w:val="28"/>
          <w:szCs w:val="28"/>
        </w:rPr>
        <w:t xml:space="preserve">Cumplimiento de la Ley General de Contabilidad Gubernamental, así como de las Normas de Información Financiera para el Sector Público y de las disposiciones contenidas en los ordenamientos correspondientes. </w:t>
      </w:r>
    </w:p>
    <w:p w:rsidR="0022566A" w:rsidRPr="0022566A" w:rsidRDefault="0022566A" w:rsidP="0022566A">
      <w:pPr>
        <w:numPr>
          <w:ilvl w:val="0"/>
          <w:numId w:val="43"/>
        </w:numPr>
        <w:autoSpaceDE w:val="0"/>
        <w:autoSpaceDN w:val="0"/>
        <w:adjustRightInd w:val="0"/>
        <w:spacing w:line="276" w:lineRule="auto"/>
        <w:ind w:left="426"/>
        <w:rPr>
          <w:rFonts w:eastAsia="Times New Roman" w:cs="Arial"/>
          <w:sz w:val="28"/>
          <w:szCs w:val="28"/>
          <w:lang w:val="es-ES" w:eastAsia="es-ES"/>
        </w:rPr>
      </w:pPr>
      <w:r w:rsidRPr="0022566A">
        <w:rPr>
          <w:rFonts w:eastAsia="Times New Roman" w:cs="Arial"/>
          <w:sz w:val="28"/>
          <w:szCs w:val="28"/>
          <w:lang w:val="es-ES" w:eastAsia="es-ES"/>
        </w:rPr>
        <w:t>Resumen Ejecutivo.</w:t>
      </w:r>
    </w:p>
    <w:p w:rsidR="0022566A" w:rsidRPr="0022566A" w:rsidRDefault="0022566A" w:rsidP="0022566A">
      <w:pPr>
        <w:numPr>
          <w:ilvl w:val="0"/>
          <w:numId w:val="43"/>
        </w:numPr>
        <w:autoSpaceDE w:val="0"/>
        <w:autoSpaceDN w:val="0"/>
        <w:adjustRightInd w:val="0"/>
        <w:spacing w:line="276" w:lineRule="auto"/>
        <w:ind w:left="426"/>
        <w:rPr>
          <w:rFonts w:eastAsia="Times New Roman" w:cs="Arial"/>
          <w:sz w:val="28"/>
          <w:szCs w:val="28"/>
          <w:lang w:val="es-ES" w:eastAsia="es-ES"/>
        </w:rPr>
      </w:pPr>
      <w:r w:rsidRPr="0022566A">
        <w:rPr>
          <w:rFonts w:eastAsia="Times New Roman" w:cs="Arial"/>
          <w:sz w:val="28"/>
          <w:szCs w:val="28"/>
          <w:lang w:val="es-ES" w:eastAsia="es-ES"/>
        </w:rPr>
        <w:t xml:space="preserve">Dictamen de la Auditoría Superior del Estado de Coahuila. </w:t>
      </w:r>
    </w:p>
    <w:p w:rsidR="0022566A" w:rsidRPr="0022566A" w:rsidRDefault="0022566A" w:rsidP="0022566A">
      <w:pPr>
        <w:autoSpaceDE w:val="0"/>
        <w:autoSpaceDN w:val="0"/>
        <w:adjustRightInd w:val="0"/>
        <w:spacing w:line="276" w:lineRule="auto"/>
        <w:rPr>
          <w:rFonts w:eastAsia="Times New Roman" w:cs="Arial"/>
          <w:sz w:val="28"/>
          <w:szCs w:val="28"/>
          <w:lang w:val="es-ES" w:eastAsia="es-ES"/>
        </w:rPr>
      </w:pPr>
    </w:p>
    <w:p w:rsidR="0022566A" w:rsidRPr="0022566A" w:rsidRDefault="0022566A" w:rsidP="0022566A">
      <w:pPr>
        <w:autoSpaceDE w:val="0"/>
        <w:autoSpaceDN w:val="0"/>
        <w:adjustRightInd w:val="0"/>
        <w:spacing w:line="276" w:lineRule="auto"/>
        <w:rPr>
          <w:rFonts w:eastAsia="Times New Roman" w:cs="Arial"/>
          <w:sz w:val="28"/>
          <w:szCs w:val="28"/>
          <w:lang w:val="es-ES" w:eastAsia="es-ES"/>
        </w:rPr>
      </w:pPr>
      <w:r w:rsidRPr="0022566A">
        <w:rPr>
          <w:rFonts w:eastAsia="Times New Roman" w:cs="Arial"/>
          <w:sz w:val="28"/>
          <w:szCs w:val="28"/>
          <w:lang w:val="es-ES" w:eastAsia="es-ES"/>
        </w:rPr>
        <w:t>En la sección C, contiene los resultados de las Auditorías de Desempeño y Auditorías de Legalidad; mediante las cuales se evalúa el desempeño en el cumplimiento de los planes y programas, acorde con los indicadores aprobados en su presupuesto y su impacto social y económico del sector de la población al cual está dirigido; asimismo se presentan los resultados de la comprobación a los ingresos o egresos; además se presentan los resultados de la verificación del cumplimiento de la normatividad que se aplica en el desarrollo de los procesos administrativos. Se presentan los resultados bajo una estructura similar, sin embargo, varía en algunos puntos dependiendo de la naturaleza de la entidad fiscalizada.</w:t>
      </w:r>
    </w:p>
    <w:p w:rsidR="0022566A" w:rsidRPr="0022566A" w:rsidRDefault="0022566A" w:rsidP="0022566A">
      <w:pPr>
        <w:autoSpaceDE w:val="0"/>
        <w:autoSpaceDN w:val="0"/>
        <w:adjustRightInd w:val="0"/>
        <w:spacing w:line="276" w:lineRule="auto"/>
        <w:rPr>
          <w:rFonts w:eastAsia="Times New Roman" w:cs="Arial"/>
          <w:sz w:val="28"/>
          <w:szCs w:val="28"/>
          <w:lang w:val="es-ES"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En la sección D, se presentan los resultado de las Auditorías Financieras, en las que por un lado se hace un análisis del cumplimiento en la información financiera, conforme a lo dispuesto en la Ley de Disciplina Financiera de las Entidades Federativas y Municipios y por el otro lado se evalúa el cumplimiento de los procedimientos, formalidades y registros en los procesos de depuración de saldos contables con base en los Acuerdos Normativos del Consejo Nacional de Armonización Contable y los emitidos por el Consejo de Armonización Contable del Estado de Coahuila de Zaragoza, con el objeto de garantizar que el sistema de contabilidad gubernamental que generan las entidades fiscalizadas, reflejen un registro </w:t>
      </w:r>
      <w:r w:rsidRPr="0022566A">
        <w:rPr>
          <w:rFonts w:eastAsia="Times New Roman" w:cs="Arial"/>
          <w:sz w:val="28"/>
          <w:szCs w:val="28"/>
          <w:lang w:eastAsia="es-ES"/>
        </w:rPr>
        <w:lastRenderedPageBreak/>
        <w:t>congruente y ordenado de cada operación, de manera que sea confiable y comparable.</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Finalmente, en la sección E </w:t>
      </w:r>
      <w:r w:rsidRPr="0022566A">
        <w:rPr>
          <w:rFonts w:eastAsia="Times New Roman" w:cs="Arial"/>
          <w:i/>
          <w:sz w:val="28"/>
          <w:szCs w:val="28"/>
          <w:lang w:eastAsia="es-ES"/>
        </w:rPr>
        <w:t>Indicadores y Estudios Especiales</w:t>
      </w:r>
      <w:r w:rsidRPr="0022566A">
        <w:rPr>
          <w:rFonts w:eastAsia="Times New Roman" w:cs="Arial"/>
          <w:sz w:val="28"/>
          <w:szCs w:val="28"/>
          <w:lang w:eastAsia="es-ES"/>
        </w:rPr>
        <w:t xml:space="preserve"> la Auditoría Superior del Estado presenta los resultados de los indicadores de desempeño, así como los resultados de estudios especiales sobre situaciones particulares tanto en el ámbito municipal como del estatal, con el objeto de presentar un análisis que permita a los entes auditados, optimizar el manejo de recursos públicos. </w:t>
      </w:r>
    </w:p>
    <w:p w:rsidR="0022566A" w:rsidRPr="0022566A" w:rsidRDefault="0022566A" w:rsidP="0022566A">
      <w:pPr>
        <w:widowControl w:val="0"/>
        <w:autoSpaceDE w:val="0"/>
        <w:autoSpaceDN w:val="0"/>
        <w:adjustRightInd w:val="0"/>
        <w:spacing w:line="276" w:lineRule="auto"/>
        <w:rPr>
          <w:rFonts w:eastAsia="Times New Roman" w:cs="Arial"/>
          <w:b/>
          <w:sz w:val="28"/>
          <w:szCs w:val="28"/>
          <w:lang w:eastAsia="es-ES"/>
        </w:rPr>
      </w:pP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r w:rsidRPr="0022566A">
        <w:rPr>
          <w:rFonts w:eastAsia="Times New Roman" w:cs="Arial"/>
          <w:b/>
          <w:sz w:val="28"/>
          <w:szCs w:val="28"/>
          <w:lang w:eastAsia="es-ES"/>
        </w:rPr>
        <w:t xml:space="preserve">TERCERO.- </w:t>
      </w:r>
      <w:r w:rsidRPr="0022566A">
        <w:rPr>
          <w:rFonts w:eastAsia="Times New Roman" w:cs="Arial"/>
          <w:sz w:val="28"/>
          <w:szCs w:val="28"/>
          <w:lang w:eastAsia="es-ES"/>
        </w:rPr>
        <w:t>Que la Auditoría Superior del Estado en uso de sus facultades de fiscalización, respecto al ejercicio 2019, revisó la cuenta pública de: 3 Poderes del Estado, 10 Organismos Autónomos, 52 Organismos Públicos Descentralizados del Gobierno del Estado, 38 Municipios, 22 Sistemas de Agua y Saneamiento y 19 Organismos Públicos Descentralizados Municipales, dando un total de 144 entidades fiscalizadas, mismas que se enumeran a continuación:</w:t>
      </w: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p>
    <w:tbl>
      <w:tblPr>
        <w:tblW w:w="9498" w:type="dxa"/>
        <w:tblInd w:w="70" w:type="dxa"/>
        <w:tblCellMar>
          <w:left w:w="70" w:type="dxa"/>
          <w:right w:w="70" w:type="dxa"/>
        </w:tblCellMar>
        <w:tblLook w:val="04A0" w:firstRow="1" w:lastRow="0" w:firstColumn="1" w:lastColumn="0" w:noHBand="0" w:noVBand="1"/>
      </w:tblPr>
      <w:tblGrid>
        <w:gridCol w:w="9498"/>
      </w:tblGrid>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Poder Ejecutivo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Poder Legislativo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Poder Judicial</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Coahuilense de Conciliación y Arbitraje Médico</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de los Derechos Humanos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Fiscalía General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 Acceso a la Información Pública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Electoral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Secretaría Ejecutiva del Sistema Estatal Anticorrupción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Tribunal de Justicia Administrativa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Tribunal Electoral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Autónoma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lastRenderedPageBreak/>
              <w:t>Auditoría Superior del Estado</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Centro de Justicia y Empoderamiento para las Mujeres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Colegio de Bachilleres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Colegio de Educación Profesional Técnica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Colegio de Estudios Científicos y Tecnológicos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Ejecutiva de Atención a Víctimas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Estatal de Aguas y Saneamiento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Estatal de Vivienda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Estatal para la Regularización de la Tenencia de la Tierra Urbana y Rústica en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Consejo Estatal de Ciencia y Tecnología y el Fomento a la Investigación Científica y el Desarrollo Tecnológico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de los Trabajadores de la Educación</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Fideicomiso del Fondo para la Seguridad Pública de la Región Laguna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Fideicomiso Puente Internacional Piedras Negras II</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Fondo de Garantía a la Pequeña y Mediana Minería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Fondo de la Vivienda de los Trabajadores de la Educación al Servicio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Fondo Mixto CONACYT-Gobierno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 Cultura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 la Infraestructura Física Educativa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 las Personas Adultas Mayores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del Catastro y la Información Territorial</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de Capacitación para el Trabajo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de Pensiones para los Trabajadores al Servicio del Estado</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lastRenderedPageBreak/>
              <w:t>Instituto de Servicio Médico de los Trabajadores al Servicio de la Educación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de Servicios de Salud, Rehabilitación y Educación Especial e Integral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Estatal de Educación para Adultos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Estatal del Deporte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de Estudios Superiores de la Región Carbonífera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Superior de Ciudad Acuña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Superior de Monclova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Superior de Múzquiz</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Superior de San Pedro de las Colonias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Procuraduría para Niños, Niñas y la Familia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Promotora Inmobiliaria para el Desarrollo Económico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Promotora para el Desarrollo Minero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Promotora para el Desarrollo Rural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Radio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Régimen Estatal de Protección Social en Salud en 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Seguro de los Trabajadores de la Educación</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Servicios de Salud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Servicios Estatales Aeroportuarios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para el Desarrollo Integral de la Familia y Protección de Derechos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Politécnica de la Región Laguna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Politécnica Monclova-Frontera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Politécnica de Piedras Negras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Politécnica de Ramos Arizpe</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Ciudad Acuña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la Región Carbonífera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lastRenderedPageBreak/>
              <w:t>Universidad Tecnológica de la Región Centro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Parras de la Fuente</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Saltillo</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Torreón</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del Norte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Abasolo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lastRenderedPageBreak/>
              <w:t>Acuña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Allende</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Arteaga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Candela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Castaños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Cuatro Ciénegas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Escobedo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Francisco I. Madero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Frontera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General Cepeda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Guerrero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Hidalgo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Jiménez</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Juárez</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Lamadrid</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Matamoros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Monclova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Morelos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Múzquiz</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Nadadores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Nava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Ocampo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Parras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Piedras Negras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Progreso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lastRenderedPageBreak/>
              <w:t>Ramos Arizpe</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Sabinas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Sacramento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Saltillo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San Buenaventura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San Juan de Sabinas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San Pedro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Sierra Mojada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Viesca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Villa Unión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Zaragoza</w:t>
            </w:r>
          </w:p>
        </w:tc>
      </w:tr>
      <w:tr w:rsidR="0022566A" w:rsidRPr="0022566A" w:rsidTr="008253E2">
        <w:trPr>
          <w:trHeight w:val="255"/>
        </w:trPr>
        <w:tc>
          <w:tcPr>
            <w:tcW w:w="9498" w:type="dxa"/>
            <w:shd w:val="clear" w:color="auto" w:fill="auto"/>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Aguas de Saltillo, S.A. de C.V.</w:t>
            </w:r>
          </w:p>
        </w:tc>
      </w:tr>
      <w:tr w:rsidR="0022566A" w:rsidRPr="0022566A" w:rsidTr="008253E2">
        <w:trPr>
          <w:trHeight w:val="255"/>
        </w:trPr>
        <w:tc>
          <w:tcPr>
            <w:tcW w:w="9498" w:type="dxa"/>
            <w:shd w:val="clear" w:color="auto" w:fill="auto"/>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Compañía de Aguas de Ramos Arizpe, S.A. de C.V.</w:t>
            </w:r>
          </w:p>
        </w:tc>
      </w:tr>
      <w:tr w:rsidR="0022566A" w:rsidRPr="0022566A" w:rsidTr="008253E2">
        <w:trPr>
          <w:trHeight w:val="255"/>
        </w:trPr>
        <w:tc>
          <w:tcPr>
            <w:tcW w:w="9498" w:type="dxa"/>
            <w:shd w:val="clear" w:color="auto" w:fill="auto"/>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Intermunicipal de Aguas y Saneamiento de Monclova-Frontera,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Intermunicipal de Aguas y Saneamiento de Múzquiz-San Juan de Sabinas-Sabinas,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Intermunicipal de Aguas y Saneamiento de Torreón-Matamoros,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Acuña,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Allende,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Arteaga,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Candela,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Castaños,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Cuatro Ciénegas,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Francisco I. Madero,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General Cepeda,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lastRenderedPageBreak/>
              <w:t>Sistema Municipal de Aguas y Saneamiento de Matamoros,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Morelos,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Parras,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Piedras Negras,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Saltillo,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Sabinas,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San Buenaventura,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San Pedro,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Torreón,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Consejo Promotor para el Desarrollo de las Reservas Territoriales de Torreón</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de Monclova</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de Piedras Negras Frontera Fuerte</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y otros Beneficios Sociales para los Trabajadores al Servicio del Municipio de Saltillo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y Beneficios Sociales para los Trabajadores al Servicio del Municipio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Hospital Municipal de Torreón</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Cultura de Saltillo</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Cultura y Educación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la Mujer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Planeación de Saltillo</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Planeación y Competitividad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Planeación de Piedras Negras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Transporte de Saltillo, Coahuila</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Deporte de Torreón</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Integral de Mantenimiento Vial del Municipio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lastRenderedPageBreak/>
              <w:t>Sistema Municipal para el Desarrollo Integral de la Familia de Francisco I. Madero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para el Desarrollo Integral de la Familia del Municipio de Saltillo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para el Desarrollo Integral de la Familia del Municipio de San Pedro,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para el Desarrollo Integral de la Familia del Municipio de Viesca</w:t>
            </w:r>
          </w:p>
        </w:tc>
      </w:tr>
      <w:tr w:rsidR="0022566A" w:rsidRPr="0022566A" w:rsidTr="008253E2">
        <w:trPr>
          <w:trHeight w:val="70"/>
        </w:trPr>
        <w:tc>
          <w:tcPr>
            <w:tcW w:w="9498" w:type="dxa"/>
            <w:shd w:val="clear" w:color="auto" w:fill="auto"/>
            <w:noWrap/>
            <w:vAlign w:val="bottom"/>
          </w:tcPr>
          <w:p w:rsidR="0022566A" w:rsidRPr="0022566A" w:rsidRDefault="0022566A" w:rsidP="0022566A">
            <w:pPr>
              <w:spacing w:line="276" w:lineRule="auto"/>
              <w:ind w:left="1080"/>
              <w:contextualSpacing/>
              <w:rPr>
                <w:rFonts w:eastAsia="Calibri" w:cs="Arial"/>
                <w:sz w:val="28"/>
                <w:szCs w:val="28"/>
                <w:lang w:eastAsia="es-MX"/>
              </w:rPr>
            </w:pPr>
          </w:p>
          <w:p w:rsidR="0022566A" w:rsidRPr="0022566A" w:rsidRDefault="0022566A" w:rsidP="0022566A">
            <w:pPr>
              <w:spacing w:line="276" w:lineRule="auto"/>
              <w:ind w:left="1080"/>
              <w:contextualSpacing/>
              <w:rPr>
                <w:rFonts w:eastAsia="Calibri" w:cs="Arial"/>
                <w:sz w:val="28"/>
                <w:szCs w:val="28"/>
                <w:lang w:eastAsia="es-MX"/>
              </w:rPr>
            </w:pPr>
          </w:p>
        </w:tc>
      </w:tr>
    </w:tbl>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r w:rsidRPr="0022566A">
        <w:rPr>
          <w:rFonts w:eastAsia="Times New Roman" w:cs="Arial"/>
          <w:sz w:val="28"/>
          <w:szCs w:val="28"/>
          <w:lang w:eastAsia="es-ES"/>
        </w:rPr>
        <w:t xml:space="preserve">Respecto a las 144 entidades antes mencionadas, la Auditoría Superior del Estado efectuó un total de 2036 auditorías, de las cuales 1233 corresponden a auditorías de Cumplimiento, 161 de Obra Pública, 143 auditorías de Legalidad, 217 a auditorías de Desempeño y 282 auditorías Financieras; todas ellas forman parte del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w:t>
      </w: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r w:rsidRPr="0022566A">
        <w:rPr>
          <w:rFonts w:eastAsia="Times New Roman" w:cs="Arial"/>
          <w:sz w:val="28"/>
          <w:szCs w:val="28"/>
          <w:lang w:eastAsia="es-ES"/>
        </w:rPr>
        <w:t>A pesar de la pandemia ocasionada por el COVID-19, en la que se vieron postergados los tiempos para el desarrollo normal del proceso de fiscalización, la Auditoría Superior del Estado cumplió con las auditorías que tenía contempladas realizar, conforme al Programa Anual de Auditorías, Visitas e Inspecciones para la revisión de las cuentas públicas correspondientes al ejercicio fiscal 2019.</w:t>
      </w: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r w:rsidRPr="0022566A">
        <w:rPr>
          <w:rFonts w:eastAsia="Times New Roman" w:cs="Arial"/>
          <w:sz w:val="28"/>
          <w:szCs w:val="28"/>
          <w:lang w:eastAsia="es-ES"/>
        </w:rPr>
        <w:t xml:space="preserve">Además de estas auditorías, se informa las realizadas por </w:t>
      </w:r>
      <w:r w:rsidRPr="0022566A">
        <w:rPr>
          <w:rFonts w:eastAsia="Calibri" w:cs="Arial"/>
          <w:snapToGrid w:val="0"/>
          <w:sz w:val="28"/>
          <w:szCs w:val="28"/>
          <w:lang w:eastAsia="es-ES"/>
        </w:rPr>
        <w:t xml:space="preserve">la Auditoría Superior de la Federación. Respecto a las de cumplimiento financiero revisó: el Fideicomiso del Fondo para la Seguridad Pública de la Región Laguna de Coahuila, a través del Fondo de Aportaciones para la Seguridad Pública de los Estados y el Distrito Federal (FASP); Servicios de Salud del Estado, a través del Fondo de Aportaciones para los Servicios de Salud (FASSA) y el Acuerdo de Coordinación celebrado entre el Ejecutivo Federal y Estatal; el </w:t>
      </w:r>
      <w:r w:rsidRPr="0022566A">
        <w:rPr>
          <w:rFonts w:eastAsia="Calibri" w:cs="Arial"/>
          <w:snapToGrid w:val="0"/>
          <w:sz w:val="28"/>
          <w:szCs w:val="28"/>
          <w:lang w:eastAsia="es-ES"/>
        </w:rPr>
        <w:lastRenderedPageBreak/>
        <w:t>Instituto Estatal de Educación para Adultos, a través del Fondo de Aportaciones para la Educación Tecnológica y de Adultos y el Colegio de Educación Profesional Técnica del Estado de Coahuila, a través del Fondo de Aportaciones para la Educación Tecnológica y de Adultos (FAETA).</w:t>
      </w: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r w:rsidRPr="0022566A">
        <w:rPr>
          <w:rFonts w:eastAsia="Calibri" w:cs="Arial"/>
          <w:snapToGrid w:val="0"/>
          <w:sz w:val="28"/>
          <w:szCs w:val="28"/>
          <w:lang w:eastAsia="es-ES"/>
        </w:rPr>
        <w:t>Respecto a las auditorías de desempeño que realizó la Auditoría Superior de la Federación fueron: al Colegio de Educación Profesional Técnica del Estado de Coahuila; al Fideicomiso del Fondo para la Seguridad Pública de la Región Laguna; al Instituto Estatal de Educación para Adultos y a los Servicios de Salud de Coahuila.</w:t>
      </w: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r w:rsidRPr="0022566A">
        <w:rPr>
          <w:rFonts w:eastAsia="Calibri" w:cs="Arial"/>
          <w:snapToGrid w:val="0"/>
          <w:sz w:val="28"/>
          <w:szCs w:val="28"/>
          <w:lang w:eastAsia="es-ES"/>
        </w:rPr>
        <w:t>Asimismo se hace referencia que la Auditoría Superior del Estado no realizó auditorías de legalidad al Sistema Municipal de Aguas y Saneamiento de Saltillo, ya que no tuvo operaciones en el ejercicio fiscal 2019; tampoco realizó auditorías de cumplimiento y de desempeño al Centro de Convenciones de Torreón, ya que su ejercicio presupuestal está integrado en la cuenta pública del Gobierno del Estado de Coahuila. También se aclara que no realizó auditorías de desempeño al Instituto Municipal de Planeación de Piedras Negras, debido a que se encuentra en suspensión temporal de operaciones.</w:t>
      </w: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p>
    <w:p w:rsidR="0022566A" w:rsidRPr="0022566A" w:rsidRDefault="0022566A" w:rsidP="0022566A">
      <w:pPr>
        <w:spacing w:line="276" w:lineRule="auto"/>
        <w:rPr>
          <w:rFonts w:eastAsia="Times New Roman" w:cs="Arial"/>
          <w:sz w:val="28"/>
          <w:szCs w:val="28"/>
          <w:lang w:val="es-ES_tradnl" w:eastAsia="es-ES"/>
        </w:rPr>
      </w:pPr>
      <w:r w:rsidRPr="0022566A">
        <w:rPr>
          <w:rFonts w:eastAsia="Times New Roman" w:cs="Arial"/>
          <w:b/>
          <w:sz w:val="28"/>
          <w:szCs w:val="28"/>
          <w:lang w:val="es-ES_tradnl" w:eastAsia="es-ES"/>
        </w:rPr>
        <w:t xml:space="preserve">CUARTO.- </w:t>
      </w:r>
      <w:r w:rsidRPr="0022566A">
        <w:rPr>
          <w:rFonts w:eastAsia="Times New Roman" w:cs="Arial"/>
          <w:sz w:val="28"/>
          <w:szCs w:val="28"/>
          <w:lang w:val="es-ES_tradnl" w:eastAsia="es-ES"/>
        </w:rPr>
        <w:t xml:space="preserve">De conformidad con los artículos 74-B fracción III de la Constitución Política del Estado de Coahuila de Zaragoza y 69 de la Ley de Rendición de Cuentas y Fiscalización Superior del Estado de Coahuila de Zaragoza, derivado de la revisión y fiscalización de las cuentas públicas y de sus investigaciones, la Auditoría Superior del Estado es competente para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w:t>
      </w:r>
      <w:r w:rsidRPr="0022566A">
        <w:rPr>
          <w:rFonts w:eastAsia="Times New Roman" w:cs="Arial"/>
          <w:sz w:val="28"/>
          <w:szCs w:val="28"/>
          <w:lang w:val="es-ES_tradnl" w:eastAsia="es-ES"/>
        </w:rPr>
        <w:lastRenderedPageBreak/>
        <w:t>servidores públicos estatales y municipales y, en su caso, a los particulares, en los términos de las disposiciones legales aplicables.</w:t>
      </w:r>
    </w:p>
    <w:p w:rsidR="0022566A" w:rsidRPr="0022566A" w:rsidRDefault="0022566A" w:rsidP="0022566A">
      <w:pPr>
        <w:spacing w:line="276" w:lineRule="auto"/>
        <w:rPr>
          <w:rFonts w:eastAsia="Times New Roman" w:cs="Arial"/>
          <w:b/>
          <w:sz w:val="28"/>
          <w:szCs w:val="28"/>
          <w:lang w:eastAsia="es-ES"/>
        </w:rPr>
      </w:pPr>
    </w:p>
    <w:p w:rsidR="0022566A" w:rsidRPr="0022566A" w:rsidRDefault="0022566A" w:rsidP="0022566A">
      <w:pPr>
        <w:spacing w:line="276" w:lineRule="auto"/>
        <w:rPr>
          <w:rFonts w:eastAsia="Times New Roman" w:cs="Arial"/>
          <w:b/>
          <w:sz w:val="28"/>
          <w:szCs w:val="28"/>
          <w:lang w:eastAsia="es-ES"/>
        </w:rPr>
      </w:pPr>
      <w:r w:rsidRPr="0022566A">
        <w:rPr>
          <w:rFonts w:eastAsia="Times New Roman" w:cs="Arial"/>
          <w:sz w:val="28"/>
          <w:szCs w:val="28"/>
          <w:lang w:eastAsia="es-ES"/>
        </w:rPr>
        <w:t>Por las consideraciones que anteceden se estima procedente emitir el siguiente:</w:t>
      </w:r>
    </w:p>
    <w:p w:rsidR="0022566A" w:rsidRPr="0022566A" w:rsidRDefault="0022566A" w:rsidP="0022566A">
      <w:pPr>
        <w:spacing w:line="276" w:lineRule="auto"/>
        <w:jc w:val="center"/>
        <w:rPr>
          <w:rFonts w:eastAsia="Times New Roman" w:cs="Arial"/>
          <w:b/>
          <w:sz w:val="28"/>
          <w:szCs w:val="28"/>
          <w:lang w:eastAsia="es-ES"/>
        </w:rPr>
      </w:pPr>
      <w:r w:rsidRPr="0022566A">
        <w:rPr>
          <w:rFonts w:eastAsia="Times New Roman" w:cs="Arial"/>
          <w:b/>
          <w:sz w:val="28"/>
          <w:szCs w:val="28"/>
          <w:lang w:eastAsia="es-ES"/>
        </w:rPr>
        <w:t>ACUERDO</w:t>
      </w:r>
    </w:p>
    <w:p w:rsidR="0022566A" w:rsidRPr="0022566A" w:rsidRDefault="0022566A" w:rsidP="0022566A">
      <w:pPr>
        <w:spacing w:line="276" w:lineRule="auto"/>
        <w:jc w:val="center"/>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PRIMERO.- </w:t>
      </w:r>
      <w:r w:rsidRPr="0022566A">
        <w:rPr>
          <w:rFonts w:eastAsia="Times New Roman" w:cs="Arial"/>
          <w:sz w:val="28"/>
          <w:szCs w:val="28"/>
          <w:lang w:eastAsia="es-ES"/>
        </w:rPr>
        <w:t xml:space="preserve">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fue presentado en tiempo y forma conforme los artículos 74-C de la Constitución Política del Estado de Coahuila de Zaragoza, 49, 51 y 52 de la Ley de Rendición de Cuentas y Fiscalización Superior del Estado de Coahuila de Zaragoza.</w:t>
      </w:r>
    </w:p>
    <w:p w:rsidR="0022566A" w:rsidRPr="0022566A" w:rsidRDefault="0022566A" w:rsidP="0022566A">
      <w:pPr>
        <w:spacing w:line="276" w:lineRule="auto"/>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SEGUNDO.- </w:t>
      </w:r>
      <w:r w:rsidRPr="0022566A">
        <w:rPr>
          <w:rFonts w:eastAsia="Times New Roman" w:cs="Arial"/>
          <w:sz w:val="28"/>
          <w:szCs w:val="28"/>
          <w:lang w:eastAsia="es-ES"/>
        </w:rPr>
        <w:t>La fiscalización superior de las cuentas públicas correspondientes al ejercicio 2019, se da por concluida mediante el presente dictamen, conforme lo establece el artículo 57 de la Ley de Rendición de Cuentas y Fiscalización Superior del Estado de Coahuila de Zaragoza, quedando a salvo el trámite de las acciones promovidas por la Auditoría Superior, conforme al procedimiento legal establecido.</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TERCERO.- </w:t>
      </w:r>
      <w:r w:rsidRPr="0022566A">
        <w:rPr>
          <w:rFonts w:eastAsia="Times New Roman" w:cs="Arial"/>
          <w:sz w:val="28"/>
          <w:szCs w:val="28"/>
          <w:lang w:eastAsia="es-ES"/>
        </w:rPr>
        <w:t>Se instruye a la Auditoría Superior del Estado para que en el ámbito de su respectiva competencia, de seguimiento a las acciones y recomendaciones emitidas como resultado de la revisión de las cuentas públicas correspondientes al ejercicio 2019.</w:t>
      </w:r>
    </w:p>
    <w:p w:rsidR="0022566A" w:rsidRPr="0022566A" w:rsidRDefault="0022566A" w:rsidP="0022566A">
      <w:pPr>
        <w:autoSpaceDE w:val="0"/>
        <w:autoSpaceDN w:val="0"/>
        <w:adjustRightInd w:val="0"/>
        <w:spacing w:line="276" w:lineRule="auto"/>
        <w:rPr>
          <w:rFonts w:eastAsia="Times New Roman" w:cs="Arial"/>
          <w:sz w:val="28"/>
          <w:szCs w:val="28"/>
          <w:lang w:val="es-ES" w:eastAsia="es-ES"/>
        </w:rPr>
      </w:pPr>
    </w:p>
    <w:p w:rsidR="0022566A" w:rsidRDefault="0022566A" w:rsidP="0022566A">
      <w:pPr>
        <w:autoSpaceDE w:val="0"/>
        <w:autoSpaceDN w:val="0"/>
        <w:adjustRightInd w:val="0"/>
        <w:spacing w:line="276" w:lineRule="auto"/>
        <w:rPr>
          <w:rFonts w:eastAsia="Times New Roman" w:cs="Arial"/>
          <w:sz w:val="28"/>
          <w:szCs w:val="28"/>
          <w:lang w:val="es-ES" w:eastAsia="es-ES"/>
        </w:rPr>
      </w:pPr>
      <w:r w:rsidRPr="0022566A">
        <w:rPr>
          <w:rFonts w:eastAsia="Times New Roman" w:cs="Arial"/>
          <w:sz w:val="28"/>
          <w:szCs w:val="28"/>
          <w:lang w:val="es-ES" w:eastAsia="es-ES"/>
        </w:rPr>
        <w:t>Así lo acuerdan los Diputados integrantes de la Comisión de Auditoría Gubernamental y Cuenta Pública de la Sexagésima Legislatura del Congreso del Estado Independiente, Libre y Soberano de Coahuila de Zaragoza. En la Ciudad de Saltillo, Coahuila de Zaragoza, a 07 de abril de 2021.</w:t>
      </w:r>
    </w:p>
    <w:p w:rsidR="0022566A" w:rsidRPr="0022566A" w:rsidRDefault="0022566A" w:rsidP="0022566A">
      <w:pPr>
        <w:autoSpaceDE w:val="0"/>
        <w:autoSpaceDN w:val="0"/>
        <w:adjustRightInd w:val="0"/>
        <w:spacing w:line="276" w:lineRule="auto"/>
        <w:rPr>
          <w:rFonts w:eastAsia="Times New Roman" w:cs="Arial"/>
          <w:b/>
          <w:color w:val="000000"/>
          <w:sz w:val="28"/>
          <w:szCs w:val="28"/>
          <w:lang w:val="es-ES" w:eastAsia="es-ES"/>
        </w:rPr>
      </w:pPr>
    </w:p>
    <w:p w:rsidR="0022566A" w:rsidRPr="0022566A" w:rsidRDefault="0022566A" w:rsidP="0022566A">
      <w:pPr>
        <w:spacing w:line="360" w:lineRule="auto"/>
        <w:jc w:val="center"/>
        <w:rPr>
          <w:rFonts w:eastAsia="Times New Roman" w:cs="Arial"/>
          <w:b/>
          <w:lang w:eastAsia="es-ES"/>
        </w:rPr>
      </w:pPr>
      <w:r w:rsidRPr="0022566A">
        <w:rPr>
          <w:rFonts w:eastAsia="Times New Roman" w:cs="Arial"/>
          <w:b/>
          <w:lang w:eastAsia="es-ES"/>
        </w:rPr>
        <w:lastRenderedPageBreak/>
        <w:t>POR LA COMISION DE AUDITORÍA GUBERNAMENTAL Y CUENTA PÚBLICA</w:t>
      </w:r>
    </w:p>
    <w:tbl>
      <w:tblPr>
        <w:tblStyle w:val="Tablaconcuadrcula"/>
        <w:tblW w:w="0" w:type="auto"/>
        <w:tblLook w:val="04A0" w:firstRow="1" w:lastRow="0" w:firstColumn="1" w:lastColumn="0" w:noHBand="0" w:noVBand="1"/>
      </w:tblPr>
      <w:tblGrid>
        <w:gridCol w:w="4453"/>
        <w:gridCol w:w="1638"/>
        <w:gridCol w:w="1701"/>
        <w:gridCol w:w="1602"/>
      </w:tblGrid>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NOMBRE Y FIRMA</w:t>
            </w:r>
          </w:p>
          <w:p w:rsidR="0022566A" w:rsidRPr="0022566A" w:rsidRDefault="0022566A" w:rsidP="0022566A">
            <w:pPr>
              <w:spacing w:line="360" w:lineRule="auto"/>
              <w:jc w:val="center"/>
              <w:rPr>
                <w:rFonts w:ascii="Arial Narrow" w:hAnsi="Arial Narrow" w:cs="Arial"/>
                <w:b/>
                <w:sz w:val="22"/>
                <w:szCs w:val="22"/>
                <w:lang w:eastAsia="es-ES"/>
              </w:rPr>
            </w:pPr>
          </w:p>
        </w:tc>
        <w:tc>
          <w:tcPr>
            <w:tcW w:w="4941" w:type="dxa"/>
            <w:gridSpan w:val="3"/>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VOTO</w:t>
            </w:r>
          </w:p>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A FAVOR</w:t>
            </w: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EN CONTRA</w:t>
            </w: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ABSTENCION</w:t>
            </w: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EDNA ILEANA DÁVALOS ELIZONDO (COORDINADORA)</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LIZBETH OGAZÓN NAVA</w:t>
            </w: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(SECRETARIA)</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rPr>
                <w:rFonts w:ascii="Arial Narrow" w:hAnsi="Arial Narrow" w:cs="Arial"/>
                <w:b/>
                <w:sz w:val="22"/>
                <w:szCs w:val="22"/>
                <w:lang w:eastAsia="es-ES"/>
              </w:rPr>
            </w:pPr>
          </w:p>
          <w:p w:rsidR="0022566A" w:rsidRPr="0022566A" w:rsidRDefault="0022566A" w:rsidP="0022566A">
            <w:pPr>
              <w:spacing w:line="360" w:lineRule="auto"/>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OLIVIA MARTÍNEZ LEYVA</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 xml:space="preserve">DIP. JESÚS MARÍA MONTEMAYOR GARZA </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JORGE ANTONIO ABDALA SERNA</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RICARDO LÓPEZ CAMPOS</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CLAUDIA ELVIRA RODRÍGUEZ MÁRQUEZ</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bl>
    <w:p w:rsidR="00DE4C81" w:rsidRPr="0022566A" w:rsidRDefault="00DE4C81" w:rsidP="00A91366">
      <w:pPr>
        <w:spacing w:after="160" w:line="259" w:lineRule="auto"/>
        <w:jc w:val="left"/>
        <w:rPr>
          <w:rFonts w:eastAsia="Times New Roman" w:cs="Arial"/>
          <w:color w:val="000000"/>
          <w:sz w:val="18"/>
          <w:szCs w:val="18"/>
          <w:lang w:eastAsia="es-MX"/>
        </w:rPr>
      </w:pPr>
    </w:p>
    <w:sectPr w:rsidR="00DE4C81" w:rsidRPr="0022566A" w:rsidSect="007D0402">
      <w:headerReference w:type="default" r:id="rId9"/>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3A" w:rsidRDefault="00746A3A" w:rsidP="00373395">
      <w:r>
        <w:separator/>
      </w:r>
    </w:p>
  </w:endnote>
  <w:endnote w:type="continuationSeparator" w:id="0">
    <w:p w:rsidR="00746A3A" w:rsidRDefault="00746A3A"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3A" w:rsidRDefault="00746A3A" w:rsidP="00373395">
      <w:r>
        <w:separator/>
      </w:r>
    </w:p>
  </w:footnote>
  <w:footnote w:type="continuationSeparator" w:id="0">
    <w:p w:rsidR="00746A3A" w:rsidRDefault="00746A3A"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253E2" w:rsidRPr="00DF7528" w:rsidTr="00B56395">
      <w:trPr>
        <w:jc w:val="center"/>
      </w:trPr>
      <w:tc>
        <w:tcPr>
          <w:tcW w:w="1541" w:type="dxa"/>
        </w:tcPr>
        <w:p w:rsidR="008253E2" w:rsidRPr="00DF7528" w:rsidRDefault="008253E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3E2" w:rsidRPr="00DF7528" w:rsidRDefault="008253E2" w:rsidP="00DF7528">
          <w:pPr>
            <w:jc w:val="center"/>
            <w:rPr>
              <w:rFonts w:eastAsia="Times New Roman" w:cs="Times New Roman"/>
              <w:b/>
              <w:bCs/>
              <w:sz w:val="12"/>
              <w:szCs w:val="20"/>
              <w:lang w:eastAsia="es-ES"/>
            </w:rPr>
          </w:pPr>
        </w:p>
        <w:p w:rsidR="008253E2" w:rsidRPr="00DF7528" w:rsidRDefault="008253E2" w:rsidP="00DF7528">
          <w:pPr>
            <w:jc w:val="center"/>
            <w:rPr>
              <w:rFonts w:eastAsia="Times New Roman" w:cs="Times New Roman"/>
              <w:b/>
              <w:bCs/>
              <w:sz w:val="12"/>
              <w:szCs w:val="20"/>
              <w:lang w:eastAsia="es-ES"/>
            </w:rPr>
          </w:pPr>
        </w:p>
      </w:tc>
      <w:tc>
        <w:tcPr>
          <w:tcW w:w="8665" w:type="dxa"/>
        </w:tcPr>
        <w:p w:rsidR="008253E2" w:rsidRPr="00DF7528" w:rsidRDefault="008253E2" w:rsidP="00DF7528">
          <w:pPr>
            <w:jc w:val="center"/>
            <w:rPr>
              <w:rFonts w:eastAsia="Times New Roman" w:cs="Times New Roman"/>
              <w:b/>
              <w:bCs/>
              <w:sz w:val="20"/>
              <w:szCs w:val="20"/>
              <w:lang w:eastAsia="es-ES"/>
            </w:rPr>
          </w:pP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8253E2" w:rsidRPr="00DF7528" w:rsidRDefault="008253E2" w:rsidP="00DF7528">
          <w:pPr>
            <w:tabs>
              <w:tab w:val="center" w:pos="4252"/>
              <w:tab w:val="left" w:pos="5040"/>
              <w:tab w:val="right" w:pos="8504"/>
            </w:tabs>
            <w:ind w:right="-93"/>
            <w:jc w:val="center"/>
            <w:rPr>
              <w:rFonts w:eastAsia="Times New Roman" w:cs="Times New Roman"/>
              <w:b/>
              <w:bCs/>
              <w:sz w:val="16"/>
              <w:szCs w:val="20"/>
              <w:lang w:eastAsia="es-ES"/>
            </w:rPr>
          </w:pPr>
        </w:p>
        <w:p w:rsidR="008253E2" w:rsidRPr="00DF7528" w:rsidRDefault="008253E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8253E2" w:rsidRPr="00DF7528" w:rsidRDefault="008253E2" w:rsidP="00DF7528">
          <w:pPr>
            <w:jc w:val="center"/>
            <w:rPr>
              <w:rFonts w:eastAsia="Times New Roman" w:cs="Times New Roman"/>
              <w:b/>
              <w:bCs/>
              <w:sz w:val="12"/>
              <w:szCs w:val="20"/>
              <w:lang w:eastAsia="es-ES"/>
            </w:rPr>
          </w:pPr>
        </w:p>
      </w:tc>
    </w:tr>
  </w:tbl>
  <w:p w:rsidR="008253E2" w:rsidRDefault="008253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C7"/>
    <w:multiLevelType w:val="hybridMultilevel"/>
    <w:tmpl w:val="E792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4685C"/>
    <w:multiLevelType w:val="hybridMultilevel"/>
    <w:tmpl w:val="0A6E90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EAF4C18"/>
    <w:multiLevelType w:val="hybridMultilevel"/>
    <w:tmpl w:val="E268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C174E1"/>
    <w:multiLevelType w:val="hybridMultilevel"/>
    <w:tmpl w:val="6A56FEE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47566FC"/>
    <w:multiLevelType w:val="hybridMultilevel"/>
    <w:tmpl w:val="28C8F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9F533E"/>
    <w:multiLevelType w:val="hybridMultilevel"/>
    <w:tmpl w:val="697A0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5A7593"/>
    <w:multiLevelType w:val="hybridMultilevel"/>
    <w:tmpl w:val="9E104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3"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62982"/>
    <w:multiLevelType w:val="hybridMultilevel"/>
    <w:tmpl w:val="8728B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293A5C"/>
    <w:multiLevelType w:val="hybridMultilevel"/>
    <w:tmpl w:val="C37E4380"/>
    <w:lvl w:ilvl="0" w:tplc="570250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F5146"/>
    <w:multiLevelType w:val="hybridMultilevel"/>
    <w:tmpl w:val="5718C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54637"/>
    <w:multiLevelType w:val="hybridMultilevel"/>
    <w:tmpl w:val="D53AB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F41A15"/>
    <w:multiLevelType w:val="hybridMultilevel"/>
    <w:tmpl w:val="A93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41" w15:restartNumberingAfterBreak="0">
    <w:nsid w:val="72087282"/>
    <w:multiLevelType w:val="hybridMultilevel"/>
    <w:tmpl w:val="22BA8F3A"/>
    <w:lvl w:ilvl="0" w:tplc="BA1E8ED6">
      <w:start w:val="1"/>
      <w:numFmt w:val="decimal"/>
      <w:lvlText w:val="%1."/>
      <w:lvlJc w:val="center"/>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B10C8"/>
    <w:multiLevelType w:val="hybridMultilevel"/>
    <w:tmpl w:val="0112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95D9B"/>
    <w:multiLevelType w:val="hybridMultilevel"/>
    <w:tmpl w:val="8D34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2"/>
  </w:num>
  <w:num w:numId="3">
    <w:abstractNumId w:val="7"/>
  </w:num>
  <w:num w:numId="4">
    <w:abstractNumId w:val="45"/>
  </w:num>
  <w:num w:numId="5">
    <w:abstractNumId w:val="4"/>
  </w:num>
  <w:num w:numId="6">
    <w:abstractNumId w:val="20"/>
  </w:num>
  <w:num w:numId="7">
    <w:abstractNumId w:val="3"/>
  </w:num>
  <w:num w:numId="8">
    <w:abstractNumId w:val="34"/>
  </w:num>
  <w:num w:numId="9">
    <w:abstractNumId w:val="29"/>
  </w:num>
  <w:num w:numId="10">
    <w:abstractNumId w:val="2"/>
  </w:num>
  <w:num w:numId="11">
    <w:abstractNumId w:val="38"/>
  </w:num>
  <w:num w:numId="12">
    <w:abstractNumId w:val="31"/>
  </w:num>
  <w:num w:numId="13">
    <w:abstractNumId w:val="10"/>
  </w:num>
  <w:num w:numId="14">
    <w:abstractNumId w:val="8"/>
    <w:lvlOverride w:ilvl="0">
      <w:startOverride w:val="1"/>
    </w:lvlOverride>
  </w:num>
  <w:num w:numId="15">
    <w:abstractNumId w:val="8"/>
    <w:lvlOverride w:ilvl="0">
      <w:startOverride w:val="2"/>
    </w:lvlOverride>
  </w:num>
  <w:num w:numId="16">
    <w:abstractNumId w:val="8"/>
    <w:lvlOverride w:ilvl="0">
      <w:startOverride w:val="3"/>
    </w:lvlOverride>
  </w:num>
  <w:num w:numId="17">
    <w:abstractNumId w:val="17"/>
  </w:num>
  <w:num w:numId="18">
    <w:abstractNumId w:val="9"/>
  </w:num>
  <w:num w:numId="19">
    <w:abstractNumId w:val="23"/>
  </w:num>
  <w:num w:numId="20">
    <w:abstractNumId w:val="6"/>
  </w:num>
  <w:num w:numId="21">
    <w:abstractNumId w:val="28"/>
  </w:num>
  <w:num w:numId="22">
    <w:abstractNumId w:val="21"/>
  </w:num>
  <w:num w:numId="23">
    <w:abstractNumId w:val="5"/>
  </w:num>
  <w:num w:numId="24">
    <w:abstractNumId w:val="39"/>
  </w:num>
  <w:num w:numId="25">
    <w:abstractNumId w:val="16"/>
  </w:num>
  <w:num w:numId="26">
    <w:abstractNumId w:val="19"/>
  </w:num>
  <w:num w:numId="27">
    <w:abstractNumId w:val="22"/>
  </w:num>
  <w:num w:numId="28">
    <w:abstractNumId w:val="40"/>
  </w:num>
  <w:num w:numId="29">
    <w:abstractNumId w:val="37"/>
  </w:num>
  <w:num w:numId="30">
    <w:abstractNumId w:val="46"/>
  </w:num>
  <w:num w:numId="31">
    <w:abstractNumId w:val="32"/>
  </w:num>
  <w:num w:numId="32">
    <w:abstractNumId w:val="24"/>
  </w:num>
  <w:num w:numId="33">
    <w:abstractNumId w:val="43"/>
  </w:num>
  <w:num w:numId="34">
    <w:abstractNumId w:val="36"/>
  </w:num>
  <w:num w:numId="35">
    <w:abstractNumId w:val="11"/>
  </w:num>
  <w:num w:numId="36">
    <w:abstractNumId w:val="0"/>
  </w:num>
  <w:num w:numId="37">
    <w:abstractNumId w:val="18"/>
  </w:num>
  <w:num w:numId="38">
    <w:abstractNumId w:val="35"/>
  </w:num>
  <w:num w:numId="39">
    <w:abstractNumId w:val="30"/>
  </w:num>
  <w:num w:numId="40">
    <w:abstractNumId w:val="27"/>
  </w:num>
  <w:num w:numId="41">
    <w:abstractNumId w:val="26"/>
  </w:num>
  <w:num w:numId="42">
    <w:abstractNumId w:val="12"/>
  </w:num>
  <w:num w:numId="43">
    <w:abstractNumId w:val="25"/>
  </w:num>
  <w:num w:numId="44">
    <w:abstractNumId w:val="41"/>
  </w:num>
  <w:num w:numId="45">
    <w:abstractNumId w:val="44"/>
  </w:num>
  <w:num w:numId="46">
    <w:abstractNumId w:val="1"/>
  </w:num>
  <w:num w:numId="47">
    <w:abstractNumId w:val="33"/>
  </w:num>
  <w:num w:numId="48">
    <w:abstractNumId w:val="13"/>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740E"/>
    <w:rsid w:val="00013160"/>
    <w:rsid w:val="00013F1C"/>
    <w:rsid w:val="00024498"/>
    <w:rsid w:val="0002454C"/>
    <w:rsid w:val="00044DD8"/>
    <w:rsid w:val="00047D18"/>
    <w:rsid w:val="000543C4"/>
    <w:rsid w:val="000552D5"/>
    <w:rsid w:val="0005777C"/>
    <w:rsid w:val="000667BC"/>
    <w:rsid w:val="00074A62"/>
    <w:rsid w:val="00082F28"/>
    <w:rsid w:val="000A018E"/>
    <w:rsid w:val="000A56D5"/>
    <w:rsid w:val="000A7868"/>
    <w:rsid w:val="000B7050"/>
    <w:rsid w:val="000C10E7"/>
    <w:rsid w:val="000C3D46"/>
    <w:rsid w:val="000C47A6"/>
    <w:rsid w:val="000C6825"/>
    <w:rsid w:val="000E4D8B"/>
    <w:rsid w:val="000E6C02"/>
    <w:rsid w:val="000F4B46"/>
    <w:rsid w:val="0010210F"/>
    <w:rsid w:val="0012342C"/>
    <w:rsid w:val="001265BA"/>
    <w:rsid w:val="00126762"/>
    <w:rsid w:val="001375E4"/>
    <w:rsid w:val="00140B66"/>
    <w:rsid w:val="001449FE"/>
    <w:rsid w:val="001579AB"/>
    <w:rsid w:val="00161933"/>
    <w:rsid w:val="00162A6E"/>
    <w:rsid w:val="00170519"/>
    <w:rsid w:val="0017700B"/>
    <w:rsid w:val="0017732C"/>
    <w:rsid w:val="0019289B"/>
    <w:rsid w:val="0019451A"/>
    <w:rsid w:val="001B12A3"/>
    <w:rsid w:val="001D1FAA"/>
    <w:rsid w:val="001E14E2"/>
    <w:rsid w:val="001E2C6A"/>
    <w:rsid w:val="001F0FC7"/>
    <w:rsid w:val="00200E7E"/>
    <w:rsid w:val="0020144E"/>
    <w:rsid w:val="0021558C"/>
    <w:rsid w:val="0021593D"/>
    <w:rsid w:val="0021768F"/>
    <w:rsid w:val="0022566A"/>
    <w:rsid w:val="00227BBC"/>
    <w:rsid w:val="00236976"/>
    <w:rsid w:val="00244464"/>
    <w:rsid w:val="00244BDA"/>
    <w:rsid w:val="00246752"/>
    <w:rsid w:val="0025187C"/>
    <w:rsid w:val="002545D5"/>
    <w:rsid w:val="0025518C"/>
    <w:rsid w:val="00262D8F"/>
    <w:rsid w:val="002700E7"/>
    <w:rsid w:val="00270C51"/>
    <w:rsid w:val="00273034"/>
    <w:rsid w:val="00273524"/>
    <w:rsid w:val="00280199"/>
    <w:rsid w:val="0028330A"/>
    <w:rsid w:val="002859D8"/>
    <w:rsid w:val="00293E9D"/>
    <w:rsid w:val="00294550"/>
    <w:rsid w:val="0029731F"/>
    <w:rsid w:val="002A0424"/>
    <w:rsid w:val="002B2DCA"/>
    <w:rsid w:val="002C49A3"/>
    <w:rsid w:val="002D4105"/>
    <w:rsid w:val="002E04CC"/>
    <w:rsid w:val="002E42CF"/>
    <w:rsid w:val="002F2F35"/>
    <w:rsid w:val="002F5135"/>
    <w:rsid w:val="00303986"/>
    <w:rsid w:val="00311B2C"/>
    <w:rsid w:val="003214A0"/>
    <w:rsid w:val="00321A1B"/>
    <w:rsid w:val="0033578C"/>
    <w:rsid w:val="00336626"/>
    <w:rsid w:val="00341E5B"/>
    <w:rsid w:val="0034532B"/>
    <w:rsid w:val="00346D35"/>
    <w:rsid w:val="00357374"/>
    <w:rsid w:val="00360C13"/>
    <w:rsid w:val="00372587"/>
    <w:rsid w:val="00373395"/>
    <w:rsid w:val="00373DE8"/>
    <w:rsid w:val="00380634"/>
    <w:rsid w:val="00391691"/>
    <w:rsid w:val="00392D79"/>
    <w:rsid w:val="00397CBA"/>
    <w:rsid w:val="003A1BEB"/>
    <w:rsid w:val="003A257A"/>
    <w:rsid w:val="003B0184"/>
    <w:rsid w:val="003B5433"/>
    <w:rsid w:val="003B68E7"/>
    <w:rsid w:val="003C27DC"/>
    <w:rsid w:val="003C31C1"/>
    <w:rsid w:val="003C418E"/>
    <w:rsid w:val="003D601A"/>
    <w:rsid w:val="003E5580"/>
    <w:rsid w:val="00404E3D"/>
    <w:rsid w:val="004064BA"/>
    <w:rsid w:val="004129A5"/>
    <w:rsid w:val="0041498D"/>
    <w:rsid w:val="00416888"/>
    <w:rsid w:val="00416C7E"/>
    <w:rsid w:val="00425E00"/>
    <w:rsid w:val="004300E3"/>
    <w:rsid w:val="00433DEB"/>
    <w:rsid w:val="004524DA"/>
    <w:rsid w:val="00465E89"/>
    <w:rsid w:val="004671D4"/>
    <w:rsid w:val="00470095"/>
    <w:rsid w:val="00477942"/>
    <w:rsid w:val="00481486"/>
    <w:rsid w:val="004826FB"/>
    <w:rsid w:val="0048416E"/>
    <w:rsid w:val="004A2A3F"/>
    <w:rsid w:val="004A2F23"/>
    <w:rsid w:val="004A731D"/>
    <w:rsid w:val="004B28ED"/>
    <w:rsid w:val="004C14A7"/>
    <w:rsid w:val="004C1734"/>
    <w:rsid w:val="004D24AA"/>
    <w:rsid w:val="004D34EA"/>
    <w:rsid w:val="004D4DB9"/>
    <w:rsid w:val="004D5FEA"/>
    <w:rsid w:val="004E7DAD"/>
    <w:rsid w:val="004E7DF1"/>
    <w:rsid w:val="004F1E84"/>
    <w:rsid w:val="004F7A35"/>
    <w:rsid w:val="00502807"/>
    <w:rsid w:val="00511EB6"/>
    <w:rsid w:val="005161E2"/>
    <w:rsid w:val="005212DC"/>
    <w:rsid w:val="005275EE"/>
    <w:rsid w:val="0052767F"/>
    <w:rsid w:val="00531A3B"/>
    <w:rsid w:val="005409C8"/>
    <w:rsid w:val="0056501F"/>
    <w:rsid w:val="0056627F"/>
    <w:rsid w:val="0058133E"/>
    <w:rsid w:val="00585A16"/>
    <w:rsid w:val="00587671"/>
    <w:rsid w:val="0059756E"/>
    <w:rsid w:val="005978A3"/>
    <w:rsid w:val="005A1D79"/>
    <w:rsid w:val="005B7E52"/>
    <w:rsid w:val="005C25CF"/>
    <w:rsid w:val="005C287B"/>
    <w:rsid w:val="005D0F54"/>
    <w:rsid w:val="005D20D4"/>
    <w:rsid w:val="005D5673"/>
    <w:rsid w:val="005E0ADF"/>
    <w:rsid w:val="005E2112"/>
    <w:rsid w:val="005E57D7"/>
    <w:rsid w:val="005E7CD8"/>
    <w:rsid w:val="005F41F1"/>
    <w:rsid w:val="005F48AD"/>
    <w:rsid w:val="00603418"/>
    <w:rsid w:val="0060493C"/>
    <w:rsid w:val="00605E20"/>
    <w:rsid w:val="00605E5E"/>
    <w:rsid w:val="00605FDA"/>
    <w:rsid w:val="00610D4E"/>
    <w:rsid w:val="00610DFC"/>
    <w:rsid w:val="00614455"/>
    <w:rsid w:val="0061594C"/>
    <w:rsid w:val="006438A1"/>
    <w:rsid w:val="00644E7C"/>
    <w:rsid w:val="00651A84"/>
    <w:rsid w:val="00652657"/>
    <w:rsid w:val="006534BA"/>
    <w:rsid w:val="006555CF"/>
    <w:rsid w:val="00661BDA"/>
    <w:rsid w:val="00662AFB"/>
    <w:rsid w:val="00666825"/>
    <w:rsid w:val="00666890"/>
    <w:rsid w:val="00670001"/>
    <w:rsid w:val="006829AA"/>
    <w:rsid w:val="006842BA"/>
    <w:rsid w:val="00691C45"/>
    <w:rsid w:val="00696D76"/>
    <w:rsid w:val="006A1B13"/>
    <w:rsid w:val="006B123C"/>
    <w:rsid w:val="006B4C65"/>
    <w:rsid w:val="006B5958"/>
    <w:rsid w:val="006C638C"/>
    <w:rsid w:val="006E0B09"/>
    <w:rsid w:val="006E56A2"/>
    <w:rsid w:val="00705060"/>
    <w:rsid w:val="00714ADA"/>
    <w:rsid w:val="007156CF"/>
    <w:rsid w:val="00723ADE"/>
    <w:rsid w:val="0072474B"/>
    <w:rsid w:val="00731157"/>
    <w:rsid w:val="00734AC9"/>
    <w:rsid w:val="00734B28"/>
    <w:rsid w:val="00735F33"/>
    <w:rsid w:val="00740E42"/>
    <w:rsid w:val="00743D19"/>
    <w:rsid w:val="007445E4"/>
    <w:rsid w:val="00746A3A"/>
    <w:rsid w:val="007502B1"/>
    <w:rsid w:val="00754756"/>
    <w:rsid w:val="00760340"/>
    <w:rsid w:val="0076164E"/>
    <w:rsid w:val="00763A2C"/>
    <w:rsid w:val="0077638D"/>
    <w:rsid w:val="007769E2"/>
    <w:rsid w:val="00780DC9"/>
    <w:rsid w:val="00785DB2"/>
    <w:rsid w:val="00792A1B"/>
    <w:rsid w:val="007A0534"/>
    <w:rsid w:val="007A2D87"/>
    <w:rsid w:val="007A5574"/>
    <w:rsid w:val="007A5928"/>
    <w:rsid w:val="007A5CEA"/>
    <w:rsid w:val="007B3472"/>
    <w:rsid w:val="007C3222"/>
    <w:rsid w:val="007D0402"/>
    <w:rsid w:val="007D59A5"/>
    <w:rsid w:val="007D6D2A"/>
    <w:rsid w:val="007D7FD9"/>
    <w:rsid w:val="00804843"/>
    <w:rsid w:val="00813C5E"/>
    <w:rsid w:val="00816BBC"/>
    <w:rsid w:val="00820C1B"/>
    <w:rsid w:val="008253E2"/>
    <w:rsid w:val="00827E16"/>
    <w:rsid w:val="00832B1E"/>
    <w:rsid w:val="00836A2C"/>
    <w:rsid w:val="008401D3"/>
    <w:rsid w:val="008403FA"/>
    <w:rsid w:val="00841A7C"/>
    <w:rsid w:val="0085071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234E"/>
    <w:rsid w:val="009560E8"/>
    <w:rsid w:val="0096685D"/>
    <w:rsid w:val="00971A7E"/>
    <w:rsid w:val="00971E7D"/>
    <w:rsid w:val="00981679"/>
    <w:rsid w:val="00982864"/>
    <w:rsid w:val="00996592"/>
    <w:rsid w:val="009A1A49"/>
    <w:rsid w:val="009A72CA"/>
    <w:rsid w:val="009C04D2"/>
    <w:rsid w:val="009C618C"/>
    <w:rsid w:val="009C7683"/>
    <w:rsid w:val="009D5F3F"/>
    <w:rsid w:val="009F1A02"/>
    <w:rsid w:val="009F51DF"/>
    <w:rsid w:val="00A046C1"/>
    <w:rsid w:val="00A129C1"/>
    <w:rsid w:val="00A158E5"/>
    <w:rsid w:val="00A222FA"/>
    <w:rsid w:val="00A2773A"/>
    <w:rsid w:val="00A377F4"/>
    <w:rsid w:val="00A4340D"/>
    <w:rsid w:val="00A46943"/>
    <w:rsid w:val="00A46BE3"/>
    <w:rsid w:val="00A6121E"/>
    <w:rsid w:val="00A654D8"/>
    <w:rsid w:val="00A65536"/>
    <w:rsid w:val="00A75A52"/>
    <w:rsid w:val="00A82053"/>
    <w:rsid w:val="00A83F55"/>
    <w:rsid w:val="00A84AEE"/>
    <w:rsid w:val="00A91366"/>
    <w:rsid w:val="00A97E11"/>
    <w:rsid w:val="00AA115C"/>
    <w:rsid w:val="00AD0E08"/>
    <w:rsid w:val="00AD446C"/>
    <w:rsid w:val="00AD49C5"/>
    <w:rsid w:val="00AE6498"/>
    <w:rsid w:val="00AF2DFC"/>
    <w:rsid w:val="00B0754E"/>
    <w:rsid w:val="00B1479E"/>
    <w:rsid w:val="00B17E0B"/>
    <w:rsid w:val="00B17E83"/>
    <w:rsid w:val="00B21389"/>
    <w:rsid w:val="00B36605"/>
    <w:rsid w:val="00B3776F"/>
    <w:rsid w:val="00B56395"/>
    <w:rsid w:val="00B6274D"/>
    <w:rsid w:val="00B66230"/>
    <w:rsid w:val="00B75EFA"/>
    <w:rsid w:val="00B906A3"/>
    <w:rsid w:val="00B9165B"/>
    <w:rsid w:val="00B9638A"/>
    <w:rsid w:val="00B964EF"/>
    <w:rsid w:val="00BA1FFA"/>
    <w:rsid w:val="00BC174E"/>
    <w:rsid w:val="00C038BC"/>
    <w:rsid w:val="00C11AA7"/>
    <w:rsid w:val="00C32210"/>
    <w:rsid w:val="00C401FD"/>
    <w:rsid w:val="00C41E38"/>
    <w:rsid w:val="00C44235"/>
    <w:rsid w:val="00C46544"/>
    <w:rsid w:val="00C46FAB"/>
    <w:rsid w:val="00C558BA"/>
    <w:rsid w:val="00C57EF6"/>
    <w:rsid w:val="00C62F16"/>
    <w:rsid w:val="00C835AF"/>
    <w:rsid w:val="00C853E1"/>
    <w:rsid w:val="00CA20E7"/>
    <w:rsid w:val="00CA30EE"/>
    <w:rsid w:val="00CA3FE3"/>
    <w:rsid w:val="00CA569C"/>
    <w:rsid w:val="00CB0E06"/>
    <w:rsid w:val="00CB5142"/>
    <w:rsid w:val="00CC4310"/>
    <w:rsid w:val="00CC7D55"/>
    <w:rsid w:val="00CD518B"/>
    <w:rsid w:val="00CD682E"/>
    <w:rsid w:val="00CD7529"/>
    <w:rsid w:val="00CF0A35"/>
    <w:rsid w:val="00D0022F"/>
    <w:rsid w:val="00D0271F"/>
    <w:rsid w:val="00D03FF8"/>
    <w:rsid w:val="00D12356"/>
    <w:rsid w:val="00D14A51"/>
    <w:rsid w:val="00D156E9"/>
    <w:rsid w:val="00D32C29"/>
    <w:rsid w:val="00D449EC"/>
    <w:rsid w:val="00D44C17"/>
    <w:rsid w:val="00D456FE"/>
    <w:rsid w:val="00D458B6"/>
    <w:rsid w:val="00D46076"/>
    <w:rsid w:val="00D50A23"/>
    <w:rsid w:val="00D54F5D"/>
    <w:rsid w:val="00D57CEB"/>
    <w:rsid w:val="00D6244C"/>
    <w:rsid w:val="00D66F8F"/>
    <w:rsid w:val="00D70E37"/>
    <w:rsid w:val="00DA3E98"/>
    <w:rsid w:val="00DB2B86"/>
    <w:rsid w:val="00DB2FDD"/>
    <w:rsid w:val="00DB5C54"/>
    <w:rsid w:val="00DB62CC"/>
    <w:rsid w:val="00DC16BB"/>
    <w:rsid w:val="00DC2EB3"/>
    <w:rsid w:val="00DC7C58"/>
    <w:rsid w:val="00DD0DEF"/>
    <w:rsid w:val="00DD48E8"/>
    <w:rsid w:val="00DD7D8E"/>
    <w:rsid w:val="00DE4C81"/>
    <w:rsid w:val="00DE7317"/>
    <w:rsid w:val="00DF7528"/>
    <w:rsid w:val="00E026CC"/>
    <w:rsid w:val="00E30E59"/>
    <w:rsid w:val="00E348DF"/>
    <w:rsid w:val="00E371C0"/>
    <w:rsid w:val="00E42C29"/>
    <w:rsid w:val="00E43750"/>
    <w:rsid w:val="00E44070"/>
    <w:rsid w:val="00E50769"/>
    <w:rsid w:val="00E53331"/>
    <w:rsid w:val="00E54C04"/>
    <w:rsid w:val="00E54E33"/>
    <w:rsid w:val="00E73CE4"/>
    <w:rsid w:val="00E76678"/>
    <w:rsid w:val="00E85475"/>
    <w:rsid w:val="00E92AF7"/>
    <w:rsid w:val="00E978E0"/>
    <w:rsid w:val="00EA411C"/>
    <w:rsid w:val="00EA61ED"/>
    <w:rsid w:val="00EB236D"/>
    <w:rsid w:val="00EC26CD"/>
    <w:rsid w:val="00ED4BF0"/>
    <w:rsid w:val="00EE1D73"/>
    <w:rsid w:val="00EE276C"/>
    <w:rsid w:val="00EE74B1"/>
    <w:rsid w:val="00F01EF5"/>
    <w:rsid w:val="00F13C00"/>
    <w:rsid w:val="00F22184"/>
    <w:rsid w:val="00F249BB"/>
    <w:rsid w:val="00F25AA8"/>
    <w:rsid w:val="00F41AE1"/>
    <w:rsid w:val="00F53F3E"/>
    <w:rsid w:val="00F54ED4"/>
    <w:rsid w:val="00F56160"/>
    <w:rsid w:val="00F56C96"/>
    <w:rsid w:val="00F647FB"/>
    <w:rsid w:val="00F6673B"/>
    <w:rsid w:val="00F70B2F"/>
    <w:rsid w:val="00F807DF"/>
    <w:rsid w:val="00F812EA"/>
    <w:rsid w:val="00F84CC6"/>
    <w:rsid w:val="00F962C1"/>
    <w:rsid w:val="00FA1B4A"/>
    <w:rsid w:val="00FB5669"/>
    <w:rsid w:val="00FC057F"/>
    <w:rsid w:val="00FC1034"/>
    <w:rsid w:val="00FC4A39"/>
    <w:rsid w:val="00FC7F60"/>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7E66"/>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coahuila.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B7CF9179-5584-454C-91DF-19840C99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7570</Words>
  <Characters>41636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3</cp:revision>
  <cp:lastPrinted>2021-04-09T14:32:00Z</cp:lastPrinted>
  <dcterms:created xsi:type="dcterms:W3CDTF">2021-04-13T17:03:00Z</dcterms:created>
  <dcterms:modified xsi:type="dcterms:W3CDTF">2021-04-13T17:05:00Z</dcterms:modified>
</cp:coreProperties>
</file>