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CA" w:rsidRPr="00A062CA" w:rsidRDefault="00A71252" w:rsidP="00A062CA">
      <w:pPr>
        <w:widowControl w:val="0"/>
        <w:rPr>
          <w:rFonts w:cs="Arial"/>
          <w:b/>
          <w:snapToGrid w:val="0"/>
          <w:sz w:val="26"/>
          <w:szCs w:val="26"/>
        </w:rPr>
      </w:pPr>
      <w:r>
        <w:rPr>
          <w:rFonts w:cs="Arial"/>
          <w:b/>
          <w:snapToGrid w:val="0"/>
          <w:sz w:val="26"/>
          <w:szCs w:val="26"/>
        </w:rPr>
        <w:t xml:space="preserve">Dictámenes y Acuerdos correspondientes a la </w:t>
      </w:r>
      <w:r w:rsidR="00A062CA" w:rsidRPr="00A062CA">
        <w:rPr>
          <w:rFonts w:cs="Arial"/>
          <w:b/>
          <w:snapToGrid w:val="0"/>
          <w:sz w:val="26"/>
          <w:szCs w:val="26"/>
        </w:rPr>
        <w:t>Décima Segunda Sesión del Primer Período Ordinario de Sesiones, del Primer Año de Ejercicio Constitucional de la Sexagésima Segunda Legislatura del Congreso del Estado Independiente, Libre y Soberano de Coahuila de Zaragoza.</w:t>
      </w:r>
    </w:p>
    <w:p w:rsidR="00A062CA" w:rsidRPr="00A062CA" w:rsidRDefault="00A062CA" w:rsidP="00A062CA">
      <w:pPr>
        <w:widowControl w:val="0"/>
        <w:rPr>
          <w:rFonts w:cs="Arial"/>
          <w:snapToGrid w:val="0"/>
          <w:sz w:val="26"/>
          <w:szCs w:val="26"/>
        </w:rPr>
      </w:pPr>
    </w:p>
    <w:p w:rsidR="00A062CA" w:rsidRPr="00A062CA" w:rsidRDefault="00A062CA" w:rsidP="00A062CA">
      <w:pPr>
        <w:widowControl w:val="0"/>
        <w:jc w:val="center"/>
        <w:rPr>
          <w:rFonts w:cs="Arial"/>
          <w:b/>
          <w:snapToGrid w:val="0"/>
          <w:sz w:val="26"/>
          <w:szCs w:val="26"/>
        </w:rPr>
      </w:pPr>
      <w:r w:rsidRPr="00A062CA">
        <w:rPr>
          <w:rFonts w:cs="Arial"/>
          <w:b/>
          <w:snapToGrid w:val="0"/>
          <w:sz w:val="26"/>
          <w:szCs w:val="26"/>
        </w:rPr>
        <w:t>11 de mayo del año 2021.</w:t>
      </w:r>
    </w:p>
    <w:p w:rsidR="00A062CA" w:rsidRPr="00A062CA" w:rsidRDefault="00A062CA" w:rsidP="00A062CA">
      <w:pPr>
        <w:widowControl w:val="0"/>
        <w:rPr>
          <w:rFonts w:cs="Arial"/>
          <w:b/>
          <w:snapToGrid w:val="0"/>
          <w:sz w:val="26"/>
          <w:szCs w:val="26"/>
        </w:rPr>
      </w:pPr>
    </w:p>
    <w:p w:rsidR="00A062CA" w:rsidRPr="00A062CA" w:rsidRDefault="00A062CA" w:rsidP="00A71252">
      <w:pPr>
        <w:widowControl w:val="0"/>
        <w:rPr>
          <w:rFonts w:eastAsia="Calibri" w:cs="Arial"/>
          <w:color w:val="000000"/>
          <w:sz w:val="26"/>
          <w:szCs w:val="26"/>
        </w:rPr>
      </w:pPr>
      <w:r w:rsidRPr="00A062CA">
        <w:rPr>
          <w:rFonts w:eastAsia="Calibri" w:cs="Arial"/>
          <w:sz w:val="26"/>
          <w:szCs w:val="26"/>
        </w:rPr>
        <w:t>Lectura, discusión y, en su caso, aprobación de Dictámenes en cartera:</w:t>
      </w:r>
      <w:r w:rsidRPr="00A062CA">
        <w:rPr>
          <w:rFonts w:eastAsia="Calibri" w:cs="Arial"/>
          <w:color w:val="000000"/>
          <w:sz w:val="26"/>
          <w:szCs w:val="26"/>
        </w:rPr>
        <w:t xml:space="preserve"> </w:t>
      </w:r>
    </w:p>
    <w:p w:rsidR="00A062CA" w:rsidRPr="00A062CA" w:rsidRDefault="00A062CA" w:rsidP="00A062CA">
      <w:pPr>
        <w:ind w:firstLine="708"/>
        <w:rPr>
          <w:rFonts w:cs="Arial"/>
          <w:b/>
          <w:sz w:val="26"/>
          <w:szCs w:val="26"/>
        </w:rPr>
      </w:pPr>
    </w:p>
    <w:p w:rsidR="00A062CA" w:rsidRPr="00A062CA" w:rsidRDefault="00A062CA" w:rsidP="00A062CA">
      <w:pPr>
        <w:ind w:firstLine="708"/>
        <w:rPr>
          <w:rFonts w:eastAsia="Arial" w:cs="Arial"/>
          <w:sz w:val="26"/>
          <w:szCs w:val="26"/>
          <w:lang w:val="es-ES" w:eastAsia="es-MX"/>
        </w:rPr>
      </w:pPr>
      <w:r>
        <w:rPr>
          <w:rFonts w:eastAsia="Calibri" w:cs="Arial"/>
          <w:b/>
          <w:color w:val="000000"/>
          <w:sz w:val="26"/>
          <w:szCs w:val="26"/>
          <w:lang w:val="es-ES" w:eastAsia="es-MX"/>
        </w:rPr>
        <w:t xml:space="preserve">A.- </w:t>
      </w:r>
      <w:r w:rsidRPr="00A062CA">
        <w:rPr>
          <w:rFonts w:eastAsia="Calibri" w:cs="Arial"/>
          <w:color w:val="000000"/>
          <w:sz w:val="26"/>
          <w:szCs w:val="26"/>
          <w:lang w:val="es-ES" w:eastAsia="es-MX"/>
        </w:rPr>
        <w:t>Dictamen</w:t>
      </w:r>
      <w:r w:rsidRPr="00A062CA">
        <w:rPr>
          <w:rFonts w:eastAsia="Calibri" w:cs="Arial"/>
          <w:b/>
          <w:color w:val="000000"/>
          <w:sz w:val="26"/>
          <w:szCs w:val="26"/>
          <w:lang w:val="es-ES" w:eastAsia="es-MX"/>
        </w:rPr>
        <w:t xml:space="preserve"> </w:t>
      </w:r>
      <w:r w:rsidRPr="00A062CA">
        <w:rPr>
          <w:rFonts w:eastAsia="Calibri" w:cs="Arial"/>
          <w:color w:val="000000"/>
          <w:sz w:val="26"/>
          <w:szCs w:val="26"/>
          <w:lang w:val="es-ES" w:eastAsia="es-MX"/>
        </w:rPr>
        <w:t>de la Comisión de Gobernación, Puntos Constitucionales y Justicia, relativo a la iniciativa con Proyecto de Decreto, por la que se reforma el artículo 2757 del Código Civil del Estado de Coahuila de Zaragoza, planteada por la Diputada Verónica Boreque Martínez González, del Grupo Parlamentario “Gral. Andrés S. Viesca”, del Partido Revolucionario Institucional, conjuntamente con las demás Diputadas y Diputados que la suscriben</w:t>
      </w:r>
      <w:r w:rsidRPr="00A062CA">
        <w:rPr>
          <w:rFonts w:eastAsia="Arial" w:cs="Arial"/>
          <w:color w:val="000000"/>
          <w:sz w:val="26"/>
          <w:szCs w:val="26"/>
          <w:lang w:val="es-ES" w:eastAsia="es-MX"/>
        </w:rPr>
        <w:t>; así como la iniciativa con Proyecto de Decreto, que modifica el contenido de la fracción II del artículo 2780 del Código Civil para el Estado de Coahuila de Zaragoza, planteada por el Diputado Rodolfo Gerardo Walss Aurioles, del Grupo Parlamentario “Carlos Alberto Páez Falcón”, del Partido Acción Nacional, conjuntamente con las demás Diputadas que la suscriben</w:t>
      </w:r>
      <w:r w:rsidRPr="00A062CA">
        <w:rPr>
          <w:rFonts w:eastAsia="Arial" w:cs="Arial"/>
          <w:sz w:val="26"/>
          <w:szCs w:val="26"/>
          <w:lang w:val="es-ES" w:eastAsia="es-MX"/>
        </w:rPr>
        <w:t>.</w:t>
      </w:r>
    </w:p>
    <w:p w:rsidR="00A062CA" w:rsidRPr="00A062CA" w:rsidRDefault="00A062CA" w:rsidP="00A062CA">
      <w:pPr>
        <w:rPr>
          <w:rFonts w:eastAsia="Arial" w:cs="Arial"/>
          <w:sz w:val="26"/>
          <w:szCs w:val="26"/>
          <w:lang w:val="es-ES" w:eastAsia="es-MX"/>
        </w:rPr>
      </w:pPr>
    </w:p>
    <w:p w:rsidR="00A062CA" w:rsidRPr="00A062CA" w:rsidRDefault="00A062CA" w:rsidP="00A062CA">
      <w:pPr>
        <w:autoSpaceDE w:val="0"/>
        <w:autoSpaceDN w:val="0"/>
        <w:adjustRightInd w:val="0"/>
        <w:ind w:firstLine="708"/>
        <w:rPr>
          <w:rFonts w:eastAsia="Calibri" w:cs="Arial"/>
          <w:color w:val="000000"/>
          <w:sz w:val="26"/>
          <w:szCs w:val="26"/>
          <w:lang w:eastAsia="es-ES"/>
        </w:rPr>
      </w:pPr>
      <w:r>
        <w:rPr>
          <w:rFonts w:eastAsia="Calibri" w:cs="Arial"/>
          <w:b/>
          <w:color w:val="000000"/>
          <w:sz w:val="26"/>
          <w:szCs w:val="26"/>
          <w:lang w:val="es-ES" w:eastAsia="es-MX"/>
        </w:rPr>
        <w:t xml:space="preserve">B.- </w:t>
      </w:r>
      <w:r w:rsidRPr="00A062CA">
        <w:rPr>
          <w:rFonts w:eastAsia="Calibri" w:cs="Arial"/>
          <w:color w:val="000000"/>
          <w:sz w:val="26"/>
          <w:szCs w:val="26"/>
          <w:lang w:val="es-ES" w:eastAsia="es-MX"/>
        </w:rPr>
        <w:t>Dictamen</w:t>
      </w:r>
      <w:r w:rsidRPr="00A062CA">
        <w:rPr>
          <w:rFonts w:eastAsia="Calibri" w:cs="Arial"/>
          <w:color w:val="000000"/>
          <w:sz w:val="26"/>
          <w:szCs w:val="26"/>
          <w:lang w:eastAsia="es-ES"/>
        </w:rPr>
        <w:t xml:space="preserve"> de la Comisión de Gobernación, Puntos Constitucionales y Justicia, relativo a la </w:t>
      </w:r>
      <w:r w:rsidRPr="00A062CA">
        <w:rPr>
          <w:rFonts w:eastAsia="Times New Roman" w:cs="Arial"/>
          <w:color w:val="000000"/>
          <w:sz w:val="26"/>
          <w:szCs w:val="26"/>
          <w:lang w:eastAsia="es-ES"/>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A062CA">
        <w:rPr>
          <w:rFonts w:eastAsia="Calibri" w:cs="Arial"/>
          <w:color w:val="000000"/>
          <w:sz w:val="26"/>
          <w:szCs w:val="26"/>
          <w:lang w:eastAsia="es-ES"/>
        </w:rPr>
        <w:t>.</w:t>
      </w:r>
    </w:p>
    <w:p w:rsidR="00A062CA" w:rsidRPr="00A062CA" w:rsidRDefault="00A062CA" w:rsidP="00A062CA">
      <w:pPr>
        <w:rPr>
          <w:rFonts w:eastAsia="Times New Roman" w:cs="Arial"/>
          <w:b/>
          <w:sz w:val="26"/>
          <w:szCs w:val="26"/>
          <w:lang w:eastAsia="es-MX"/>
        </w:rPr>
      </w:pPr>
    </w:p>
    <w:p w:rsidR="00A17D4B" w:rsidRPr="00A17D4B" w:rsidRDefault="00A17D4B" w:rsidP="00A17D4B">
      <w:pPr>
        <w:rPr>
          <w:rFonts w:cs="Arial"/>
          <w:sz w:val="26"/>
          <w:szCs w:val="26"/>
        </w:rPr>
      </w:pPr>
    </w:p>
    <w:p w:rsidR="008803B8" w:rsidRDefault="008803B8">
      <w:pPr>
        <w:spacing w:after="160" w:line="259" w:lineRule="auto"/>
        <w:jc w:val="left"/>
        <w:rPr>
          <w:rFonts w:cs="Arial"/>
          <w:sz w:val="26"/>
          <w:szCs w:val="26"/>
        </w:rPr>
      </w:pPr>
      <w:r>
        <w:rPr>
          <w:rFonts w:cs="Arial"/>
          <w:sz w:val="26"/>
          <w:szCs w:val="26"/>
        </w:rPr>
        <w:br w:type="page"/>
      </w:r>
    </w:p>
    <w:p w:rsidR="00CD3FDA" w:rsidRPr="00CD3FDA" w:rsidRDefault="00CD3FDA" w:rsidP="00CD3FDA">
      <w:pPr>
        <w:spacing w:line="360" w:lineRule="auto"/>
        <w:rPr>
          <w:rFonts w:eastAsia="Arial" w:cs="Arial"/>
          <w:lang w:val="es-ES" w:eastAsia="es-MX"/>
        </w:rPr>
      </w:pPr>
      <w:bookmarkStart w:id="0" w:name="_GoBack"/>
      <w:bookmarkEnd w:id="0"/>
      <w:r w:rsidRPr="00CD3FDA">
        <w:rPr>
          <w:rFonts w:eastAsia="Calibri" w:cs="Arial"/>
          <w:b/>
          <w:color w:val="000000"/>
          <w:lang w:val="es-ES" w:eastAsia="es-MX"/>
        </w:rPr>
        <w:lastRenderedPageBreak/>
        <w:t xml:space="preserve">DICTAMEN </w:t>
      </w:r>
      <w:r w:rsidRPr="00CD3FDA">
        <w:rPr>
          <w:rFonts w:eastAsia="Calibri" w:cs="Arial"/>
          <w:color w:val="000000"/>
          <w:lang w:val="es-ES" w:eastAsia="es-MX"/>
        </w:rPr>
        <w:t>de la Comisión de Gobernación, Puntos Constitucionales y Justicia, relativo a la iniciativa con Proyecto de Decreto, por la que se reforma el artículo 2757 del Código Civil del Estado de Coahuila de Zaragoza, planteada por la Diputada Verónica Boreque Martínez González, del Grupo Parlamentario “Gral. Andrés S. Viesca”, del Partido Revolucionario Institucional, conjuntamente con las demás Diputadas y Diputados que la suscriben</w:t>
      </w:r>
      <w:r w:rsidRPr="00CD3FDA">
        <w:rPr>
          <w:rFonts w:eastAsia="Arial" w:cs="Arial"/>
          <w:color w:val="000000"/>
          <w:lang w:val="es-ES" w:eastAsia="es-MX"/>
        </w:rPr>
        <w:t>; así como la iniciativa con Proyecto de Decreto, que modifica el contenido de la fracción II del artículo 2780 del Código Civil para el Estado de Coahuila de Zaragoza, planteada por el Diputado Rodolfo Gerardo Walss Aurioles, del Grupo Parlamentario “Carlos Alberto Páez Falcón”, del Partido Acción Nacional, conjuntamente con las demás Diputadas que la suscriben</w:t>
      </w:r>
      <w:r w:rsidRPr="00CD3FDA">
        <w:rPr>
          <w:rFonts w:eastAsia="Arial" w:cs="Arial"/>
          <w:lang w:val="es-ES" w:eastAsia="es-MX"/>
        </w:rPr>
        <w:t>.</w:t>
      </w:r>
    </w:p>
    <w:p w:rsidR="00CD3FDA" w:rsidRPr="00CD3FDA" w:rsidRDefault="00CD3FDA" w:rsidP="00CD3FDA">
      <w:pPr>
        <w:spacing w:line="360" w:lineRule="auto"/>
        <w:rPr>
          <w:rFonts w:eastAsia="Arial" w:cs="Arial"/>
          <w:lang w:val="es-ES" w:eastAsia="es-MX"/>
        </w:rPr>
      </w:pPr>
    </w:p>
    <w:p w:rsidR="00CD3FDA" w:rsidRPr="00CD3FDA" w:rsidRDefault="00CD3FDA" w:rsidP="00CD3FDA">
      <w:pPr>
        <w:spacing w:line="360" w:lineRule="auto"/>
        <w:jc w:val="center"/>
        <w:rPr>
          <w:rFonts w:eastAsia="Times New Roman" w:cs="Arial"/>
          <w:b/>
          <w:lang w:eastAsia="es-ES"/>
        </w:rPr>
      </w:pPr>
      <w:r w:rsidRPr="00CD3FDA">
        <w:rPr>
          <w:rFonts w:eastAsia="Times New Roman" w:cs="Arial"/>
          <w:b/>
          <w:lang w:eastAsia="es-ES"/>
        </w:rPr>
        <w:t>R E S U L T A N D O</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t xml:space="preserve">PRIMERO.- </w:t>
      </w:r>
      <w:r w:rsidRPr="00CD3FDA">
        <w:rPr>
          <w:rFonts w:eastAsia="Times New Roman" w:cs="Arial"/>
          <w:lang w:eastAsia="es-ES"/>
        </w:rPr>
        <w:t>Que en sesiones celebradas por el Pleno del Congreso los días 30 del mes de noviembre de 2020 y 21 de abril de 2021, respectivamente, se acordó turnar a esta Comisión de Gobernación, Puntos Constitucionales y Justicia, las iniciativas a que se ha hecho referencia.</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t xml:space="preserve">SEGUNDO.- </w:t>
      </w:r>
      <w:r w:rsidRPr="00CD3FDA">
        <w:rPr>
          <w:rFonts w:eastAsia="Times New Roman" w:cs="Arial"/>
          <w:lang w:eastAsia="es-ES"/>
        </w:rPr>
        <w:t xml:space="preserve">Que en cumplimiento de dichos acuerdos, en fechas 03 de diciembre de 2020 y 22 de abril de 2021, se turnaron a esta Comisión de Gobernación, Puntos Constitucionales y Justicia, las iniciativas referidas en el proemio del presente Dictamen. </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jc w:val="center"/>
        <w:rPr>
          <w:rFonts w:eastAsia="Times New Roman" w:cs="Arial"/>
          <w:b/>
          <w:lang w:eastAsia="es-ES"/>
        </w:rPr>
      </w:pPr>
      <w:r w:rsidRPr="00CD3FDA">
        <w:rPr>
          <w:rFonts w:eastAsia="Times New Roman" w:cs="Arial"/>
          <w:b/>
          <w:lang w:eastAsia="es-ES"/>
        </w:rPr>
        <w:t>C O N S I D E R A N D O</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t xml:space="preserve">PRIMERO.- </w:t>
      </w:r>
      <w:r w:rsidRPr="00CD3FDA">
        <w:rPr>
          <w:rFonts w:eastAsia="Times New Roman" w:cs="Arial"/>
          <w:lang w:eastAsia="es-ES"/>
        </w:rPr>
        <w:t>Que esta Comisión, con fundamento en los artículos 90, 116, 117 y demás relativos de la Ley Orgánica del Congreso del Estado Independiente, Libre y Soberano de Coahuila de Zaragoza, es competente para emitir el presente Dictamen.</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rPr>
          <w:rFonts w:eastAsia="Arial" w:cs="Arial"/>
          <w:b/>
          <w:color w:val="000000"/>
          <w:lang w:val="es-ES" w:eastAsia="es-MX"/>
        </w:rPr>
      </w:pPr>
      <w:bookmarkStart w:id="1" w:name="_Hlk59357570"/>
      <w:r w:rsidRPr="00CD3FDA">
        <w:rPr>
          <w:rFonts w:eastAsia="Arial" w:cs="Arial"/>
          <w:b/>
          <w:lang w:val="es-ES" w:eastAsia="es-MX"/>
        </w:rPr>
        <w:lastRenderedPageBreak/>
        <w:t xml:space="preserve">SEGUNDO.- </w:t>
      </w:r>
      <w:r w:rsidRPr="00CD3FDA">
        <w:rPr>
          <w:rFonts w:eastAsia="Arial" w:cs="Arial"/>
          <w:lang w:val="es-ES" w:eastAsia="es-MX"/>
        </w:rPr>
        <w:t xml:space="preserve">Que </w:t>
      </w:r>
      <w:r w:rsidRPr="00CD3FDA">
        <w:rPr>
          <w:rFonts w:eastAsia="Arial" w:cs="Arial"/>
          <w:color w:val="000000"/>
          <w:lang w:val="es-ES" w:eastAsia="es-MX"/>
        </w:rPr>
        <w:t xml:space="preserve">la </w:t>
      </w:r>
      <w:bookmarkEnd w:id="1"/>
      <w:r w:rsidRPr="00CD3FDA">
        <w:rPr>
          <w:rFonts w:eastAsia="Arial" w:cs="Arial"/>
          <w:color w:val="000000"/>
          <w:lang w:val="es-ES" w:eastAsia="es-MX"/>
        </w:rPr>
        <w:t>iniciativa con Proyecto de Decreto, por la que se reforma el artículo 2757 del Código Civil del Estado de Coahuila de Zaragoza, planteada por la Diputada Verónica Boreque Martínez González, del Grupo Parlamentario “Gral. Andrés S. Viesca”, del Partido Revolucionario Institucional, conjuntamente con las demás Diputadas y Diputados que la suscriben</w:t>
      </w:r>
      <w:r w:rsidRPr="00CD3FDA">
        <w:rPr>
          <w:rFonts w:eastAsia="Calibri" w:cs="Arial"/>
          <w:color w:val="000000"/>
          <w:lang w:val="es-ES" w:eastAsia="es-MX"/>
        </w:rPr>
        <w:t xml:space="preserve">, </w:t>
      </w:r>
      <w:r w:rsidRPr="00CD3FDA">
        <w:rPr>
          <w:rFonts w:eastAsia="Arial" w:cs="Arial"/>
          <w:lang w:val="es-ES" w:eastAsia="es-MX"/>
        </w:rPr>
        <w:t xml:space="preserve">se basa entre otras en las consideraciones siguientes:  </w:t>
      </w:r>
    </w:p>
    <w:p w:rsidR="00CD3FDA" w:rsidRPr="00CD3FDA" w:rsidRDefault="00CD3FDA" w:rsidP="00CD3FDA">
      <w:pPr>
        <w:spacing w:line="360" w:lineRule="auto"/>
        <w:rPr>
          <w:rFonts w:eastAsia="Times New Roman" w:cs="Arial"/>
          <w:b/>
          <w:lang w:val="es-ES" w:eastAsia="es-ES"/>
        </w:rPr>
      </w:pPr>
    </w:p>
    <w:p w:rsidR="00CD3FDA" w:rsidRPr="00CD3FDA" w:rsidRDefault="00CD3FDA" w:rsidP="00CD3FDA">
      <w:pPr>
        <w:spacing w:line="360" w:lineRule="auto"/>
        <w:jc w:val="center"/>
        <w:rPr>
          <w:rFonts w:eastAsia="Times New Roman" w:cs="Arial"/>
          <w:b/>
          <w:bCs/>
          <w:i/>
          <w:iCs/>
          <w:lang w:val="es-ES" w:eastAsia="es-ES"/>
        </w:rPr>
      </w:pPr>
      <w:bookmarkStart w:id="2" w:name="_Hlk59357691"/>
      <w:r w:rsidRPr="00CD3FDA">
        <w:rPr>
          <w:rFonts w:eastAsia="Times New Roman" w:cs="Arial"/>
          <w:b/>
          <w:bCs/>
          <w:i/>
          <w:iCs/>
          <w:lang w:val="es-ES" w:eastAsia="es-ES"/>
        </w:rPr>
        <w:t>EXPOSICIÓN DE MOTIVOS</w:t>
      </w:r>
    </w:p>
    <w:p w:rsidR="00CD3FDA" w:rsidRPr="00CD3FDA" w:rsidRDefault="00CD3FDA" w:rsidP="00CD3FDA">
      <w:pPr>
        <w:spacing w:line="360" w:lineRule="auto"/>
        <w:rPr>
          <w:rFonts w:eastAsia="Times New Roman" w:cs="Arial"/>
          <w:b/>
          <w:bCs/>
          <w:lang w:val="es-ES"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 xml:space="preserve">“La vejez se considera una etapa vulnerable de la vida por múltiples razones, como lo son el deterioro de la salud, la economía, el patrimonio, la desigualdad, la discriminación, el abandono y la falta de cuidados. El envejecimiento es un progresivo declive en las funciones orgánicas y psicológicas, como la perdida de las capacidades sensoriales y cognitivas que se presentan de manera única y diferente en cada individuo. </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Las Naciones Unidas consideran como adulto mayor a toda persona de 65 años o más para los países desarrollados y a partir de 60 para los países en desarrollo. Según estimaciones de la Organización Mundial de la Salud, entre 2015 y 2050 el porcentaje de los habitantes del planeta mayores de 60 años casi se duplicará, pasando de 12% al 22% de la población.</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La buena calidad de vida en las personas mayores es posible y las probabilidades de envejecer saludablemente se incrementan con una adecuada alimentación, con los avances científicos, tecnológicos y médicos del siglo XXI, y mediante la activación física.</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lastRenderedPageBreak/>
        <w:t xml:space="preserve">Es importante considerar las consecuencias y efectos naturales en cada una de las personas y por tanto la conclusión del ciclo laboral y productivo en cada </w:t>
      </w:r>
      <w:r w:rsidRPr="00CD3FDA">
        <w:rPr>
          <w:rFonts w:eastAsia="Times New Roman" w:cs="Arial"/>
          <w:i/>
          <w:lang w:eastAsia="es-ES"/>
        </w:rPr>
        <w:lastRenderedPageBreak/>
        <w:t>una de ellas. El referido ciclo laboral representa una disminución de las condiciones financieras de las personas mayores, puesto que, los ingresos suelen ser inferiores a los ingresos percibidos durante la vida laboral, lo que significa la disminución del poder adquisitivo, situación que, sin duda alguna, impacta en el nivel y calidad de vida de las mismas.</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Debido a lo anterior y en el ánimo de ordenar y dar certeza a su patrimonio en un eventual fallecimiento algunas personas mayores deciden realizar la donación del o los bienes inmuebles que lograron adquirir a lo largo de su vida, bien sea a sus hijos, nietos o algún otro familiar.</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Si bien es cierto, la o el adulto mayor titular de una propiedad inmueble está legitimado y cuenta con todo el derecho de donar a favor de la o las personas que considere, también es cierto y, muy lamentable, que muchas ocasiones se abusa de la condición y la buena fe de este sector de la población para obtener un beneficio.</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 xml:space="preserve">De esta manera, como se ha dicho, el día a día de nuestra sociedad muestra una dura y muy triste realidad de nuestros adultos mayores, una vez que donan su patrimonio sobreviene el desinterés y la indiferencia por parte de sus descendientes y demás parientes e inclusive de aquellos quienes se vieron beneficiados mediante la donación; es decir, es común, que nuestros adultos mayores queden en condiciones de desamparo total. </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 xml:space="preserve">En la actualidad el Código Civil permite que, de ser deseo del donante, se estipule el usufructo vitalicio, es cierto también, que ello queda solamente a </w:t>
      </w:r>
      <w:r w:rsidRPr="00CD3FDA">
        <w:rPr>
          <w:rFonts w:eastAsia="Times New Roman" w:cs="Arial"/>
          <w:i/>
          <w:lang w:eastAsia="es-ES"/>
        </w:rPr>
        <w:lastRenderedPageBreak/>
        <w:t xml:space="preserve">elección consensuada, en tanto que, con la propuesta se protege el derecho de la persona adulta mayor a contar con una vivienda en la parte de su vida que mayores desventajas le representa. Además, que, las donaciones pueden ser revocadas por ingratitud, tal y como lo establecen las diversas hipótesis previstas en el mismo Código Civil del Estado de Coahuila, pero en estos, no se establece en algún otro precepto que el notario tenga la facultad y obligación de establecer en el contrato de donación el usufructo vitalicio cuando el donante o su cónyuge, sea una persona mayor de 65 años. </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i/>
          <w:lang w:eastAsia="es-ES"/>
        </w:rPr>
      </w:pPr>
      <w:r w:rsidRPr="00CD3FDA">
        <w:rPr>
          <w:rFonts w:eastAsia="Times New Roman" w:cs="Arial"/>
          <w:i/>
          <w:lang w:eastAsia="es-ES"/>
        </w:rPr>
        <w:t>Nuestro deber como legisladores, es la creación y modificación de leyes que contribuyan a salvaguardar la integridad y el patrimonio de todas las personas, y con esta propuesta buscamos garantizar el disfrute de los bienes de las personas mayores mientras se encuentren con vida.</w:t>
      </w:r>
    </w:p>
    <w:p w:rsidR="00CD3FDA" w:rsidRPr="00CD3FDA" w:rsidRDefault="00CD3FDA" w:rsidP="00CD3FDA">
      <w:pPr>
        <w:spacing w:line="360" w:lineRule="auto"/>
        <w:ind w:left="567" w:right="567"/>
        <w:rPr>
          <w:rFonts w:eastAsia="Times New Roman" w:cs="Arial"/>
          <w:i/>
          <w:lang w:eastAsia="es-ES"/>
        </w:rPr>
      </w:pPr>
    </w:p>
    <w:p w:rsidR="00CD3FDA" w:rsidRPr="00CD3FDA" w:rsidRDefault="00CD3FDA" w:rsidP="00CD3FDA">
      <w:pPr>
        <w:spacing w:line="360" w:lineRule="auto"/>
        <w:ind w:left="567" w:right="567"/>
        <w:rPr>
          <w:rFonts w:eastAsia="Times New Roman" w:cs="Arial"/>
          <w:b/>
          <w:bCs/>
          <w:i/>
          <w:lang w:val="es-ES" w:eastAsia="es-ES"/>
        </w:rPr>
      </w:pPr>
      <w:r w:rsidRPr="00CD3FDA">
        <w:rPr>
          <w:rFonts w:eastAsia="Times New Roman" w:cs="Arial"/>
          <w:i/>
          <w:lang w:eastAsia="es-ES"/>
        </w:rPr>
        <w:t>Encontramos la presente iniciativa más que necesaria, proporcional y razonable en relación a la libre disposición de bienes, en virtud de que el usufructo vitalicio no restringe a la primera ni condiciona a la segunda, sino que, privilegia el derecho de la persona adulta.”</w:t>
      </w:r>
    </w:p>
    <w:bookmarkEnd w:id="2"/>
    <w:p w:rsidR="00CD3FDA" w:rsidRPr="00CD3FDA" w:rsidRDefault="00CD3FDA" w:rsidP="00CD3FDA">
      <w:pPr>
        <w:widowControl w:val="0"/>
        <w:spacing w:line="360" w:lineRule="auto"/>
        <w:ind w:left="720"/>
        <w:contextualSpacing/>
        <w:rPr>
          <w:rFonts w:eastAsia="Times New Roman" w:cs="Arial"/>
          <w:b/>
          <w:snapToGrid w:val="0"/>
          <w:lang w:val="es-ES" w:eastAsia="es-ES"/>
        </w:rPr>
      </w:pPr>
    </w:p>
    <w:p w:rsidR="00CD3FDA" w:rsidRPr="00CD3FDA" w:rsidRDefault="00CD3FDA" w:rsidP="00CD3FDA">
      <w:pPr>
        <w:spacing w:line="360" w:lineRule="auto"/>
        <w:rPr>
          <w:rFonts w:eastAsia="Times New Roman" w:cs="Arial"/>
          <w:lang w:val="es-ES" w:eastAsia="es-ES"/>
        </w:rPr>
      </w:pPr>
      <w:r w:rsidRPr="00CD3FDA">
        <w:rPr>
          <w:rFonts w:eastAsia="Arial" w:cs="Arial"/>
          <w:b/>
          <w:lang w:val="es-ES" w:eastAsia="es-MX"/>
        </w:rPr>
        <w:t xml:space="preserve">TERCERO.- </w:t>
      </w:r>
      <w:r w:rsidRPr="00CD3FDA">
        <w:rPr>
          <w:rFonts w:eastAsia="Arial" w:cs="Arial"/>
          <w:lang w:val="es-ES" w:eastAsia="es-MX"/>
        </w:rPr>
        <w:t xml:space="preserve">Que </w:t>
      </w:r>
      <w:r w:rsidRPr="00CD3FDA">
        <w:rPr>
          <w:rFonts w:eastAsia="Arial" w:cs="Arial"/>
          <w:color w:val="000000"/>
          <w:lang w:val="es-ES" w:eastAsia="es-MX"/>
        </w:rPr>
        <w:t>la iniciativa con Proyecto de Decreto, que modifica el contenido de la fracción II del artículo 2780 del Código Civil para el Estado de Coahuila de Zaragoza. Planteada por el Diputado Rodolfo Gerardo Walss Aurioles, del Grupo Parlamentario “Carlos Alberto Páez Falcón”, del Partido Acción Nacional, conjuntamente con las demás Diputadas que la suscriben, se basa entre otras en las consideraciones siguientes:</w:t>
      </w:r>
    </w:p>
    <w:p w:rsidR="00CD3FDA" w:rsidRPr="00CD3FDA" w:rsidRDefault="00CD3FDA" w:rsidP="00CD3FDA">
      <w:pPr>
        <w:spacing w:line="360" w:lineRule="auto"/>
        <w:rPr>
          <w:rFonts w:eastAsia="Times New Roman" w:cs="Arial"/>
          <w:i/>
          <w:iCs/>
          <w:lang w:val="es-ES" w:eastAsia="es-ES"/>
        </w:rPr>
      </w:pPr>
    </w:p>
    <w:p w:rsidR="00CD3FDA" w:rsidRPr="00CD3FDA" w:rsidRDefault="00CD3FDA" w:rsidP="00CD3FDA">
      <w:pPr>
        <w:spacing w:line="360" w:lineRule="auto"/>
        <w:jc w:val="center"/>
        <w:rPr>
          <w:rFonts w:eastAsia="Times New Roman" w:cs="Arial"/>
          <w:b/>
          <w:bCs/>
          <w:i/>
          <w:iCs/>
          <w:lang w:val="es-ES" w:eastAsia="es-ES"/>
        </w:rPr>
      </w:pPr>
      <w:r w:rsidRPr="00CD3FDA">
        <w:rPr>
          <w:rFonts w:eastAsia="Times New Roman" w:cs="Arial"/>
          <w:b/>
          <w:bCs/>
          <w:i/>
          <w:iCs/>
          <w:lang w:val="es-ES" w:eastAsia="es-ES"/>
        </w:rPr>
        <w:t>EXPOSICIÓN DE MOTIVOS</w:t>
      </w:r>
    </w:p>
    <w:p w:rsidR="00CD3FDA" w:rsidRPr="00CD3FDA" w:rsidRDefault="00CD3FDA" w:rsidP="00CD3FDA">
      <w:pPr>
        <w:spacing w:line="360" w:lineRule="auto"/>
        <w:jc w:val="center"/>
        <w:rPr>
          <w:rFonts w:eastAsia="Times New Roman" w:cs="Arial"/>
          <w:b/>
          <w:bCs/>
          <w:lang w:val="es-ES" w:eastAsia="es-ES"/>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lastRenderedPageBreak/>
        <w:t>“De acuerdo con datos del INEGI publicados en El Economista, en fecha 26 de marzo de 2020; había al momento en el país 15.4 millones de personas de 60 años o más; equivalente al 12.3 % de la población nacional; de las cuales 1.7 millones viven solas. Sólo 41.4% son económicamente activos, y 69.4% presentan algún tipo de discapacidad.</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Podemos dedicar muchas cuartillas para hablar de las vulnerabilidades y riesgos que sufren: pobreza, marginación social y familiar, abandono, desempleo, falta de una pensión para vivir con decoro, enfermedades crónico-degenerativas, falta de apoyos sistemáticos para combatir sus principales problemas, abuso social y familiar, abuso laboral y otros flagelos.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 xml:space="preserve">Pero, nos ocuparemos en un problema específico: la pérdida de su patrimonio por malas decisiones. Y, cabe mencionar, que en esto el Estado juega un papel preponderante al ser quien debe tutelar el derecho de los adultos mayores a ser informados de sus derechos legales y de las cosas que no deben hacer para evitar ser estafados de una u otra forma, así como de garantizarles el acceso a la justicia. </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Hoy día, por ejemplo, los adultos mayores son el grupo más vulnerable a sufrir estafas bancarias, en especial con la implementación de la banca electrónica y las claves de acceso virtuales para realizar movimientos; los estafadores encuentran en ellos a personas que son susceptibles de caer en engaños para hacerse con sus datos bancarios o para, incluso, hacerlos parte de burdos montajes, donde firman documentos y trámites con los cuales serán robados sus ahorros.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lastRenderedPageBreak/>
        <w:t>Las estafas con inmuebles también golpean fuertemente a la población de adultos mayores en México, y un porcentaje muy alto de ellos es víctima de fraudes para despojarlos de sus casas o terrenos, en muchos casos, perpetrados por sus propios familiares.</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jc w:val="center"/>
        <w:rPr>
          <w:rFonts w:eastAsia="Arial" w:cs="Arial"/>
          <w:b/>
          <w:i/>
          <w:iCs/>
          <w:lang w:eastAsia="es-MX"/>
        </w:rPr>
      </w:pPr>
      <w:r w:rsidRPr="00CD3FDA">
        <w:rPr>
          <w:rFonts w:eastAsia="Arial" w:cs="Arial"/>
          <w:b/>
          <w:i/>
          <w:iCs/>
          <w:lang w:eastAsia="es-MX"/>
        </w:rPr>
        <w:t>Donaciones e Ingratitud de los Donatarios</w:t>
      </w:r>
    </w:p>
    <w:p w:rsidR="00CD3FDA" w:rsidRPr="00CD3FDA" w:rsidRDefault="00CD3FDA" w:rsidP="00CD3FDA">
      <w:pPr>
        <w:spacing w:line="360" w:lineRule="auto"/>
        <w:jc w:val="center"/>
        <w:rPr>
          <w:rFonts w:eastAsia="Arial" w:cs="Arial"/>
          <w:b/>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Es una práctica común y muy arraigada en México el que los adultos mayores, en un determinado momento, deciden donar sus bienes inmuebles a sus hijos; las razones pueden ser diversas, desde el compromiso entre ambas partes de que el donatario se hará cargo de los cuidados y necesidades del donante; la creencia de que con este instrumento civil y notarial se protege el bien del donante contra embargos probables; la idea (muy personal) de que así se evitan problemas a los hijos generados por otro tipo de instrumentos como el testamento; hasta la creencia de que se trata de un acto de amor de padres a hijos, entre otros.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Sin embargo, como la historia diaria y la estadística lo demuestran, en muchos casos, las donaciones terminan mal, y el donatario desconoce con el tiempo todo compromiso o promesa hecha al donador y lo abandona a su suerte y, además, lo echa de su casa sin miramientos, dejándolo sin patrimonio ni seguridad de ningún tipo, ni siquiera la de un techo donde vivir.</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 xml:space="preserve">En tal sentido, desde el año 2020 y en lo que corre del 2021, en diversos estados de la República, los legisladores han implementados reformas a sus códigos civiles, básicamente con un solo objetivo: establecer el usufructo vitalicio en favor del donador en todos los actos donde cede sus bienes inmuebles a sus hijos o familiares distintos, con el objeto de que no sean </w:t>
      </w:r>
      <w:r w:rsidRPr="00CD3FDA">
        <w:rPr>
          <w:rFonts w:eastAsia="Arial" w:cs="Arial"/>
          <w:i/>
          <w:lang w:eastAsia="es-MX"/>
        </w:rPr>
        <w:lastRenderedPageBreak/>
        <w:t>lanzados o despojados dolosa y deshonestamente de sus bienes cuando aún están con vida.</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En Tamaulipas ya fue aprobado, y quedó de la siguiente forma:</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Código Civil para el Estado de Tamaulipas:</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ARTÍCULO 1667.- Es inoficiosa la donación que comprende la totalidad de los bienes del donante, si éste no se reserva en propiedad o en usufructo lo necesario para vivir según sus circunstancias.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u w:val="single"/>
          <w:lang w:eastAsia="es-MX"/>
        </w:rPr>
      </w:pPr>
      <w:r w:rsidRPr="00CD3FDA">
        <w:rPr>
          <w:rFonts w:eastAsia="Arial" w:cs="Arial"/>
          <w:i/>
          <w:u w:val="single"/>
          <w:lang w:eastAsia="es-MX"/>
        </w:rPr>
        <w:t>Cuando el o los donantes sean personas de 65 años o más, el notario que expida el instrumento público de donación deberá incluir la cláusula de usufructo vitalicio sobre los bienes otorgados a los donatarios.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Además, se han presentado iniciativas iguales en los estados de Aguascalientes, Baja California Sur, Hidalgo, Michoacán, San Luis Potosí y Tlaxcala.</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En Coahuila la iniciativa sobre este tema fue presentada en la anterior legislatura, en fecha 30 de noviembre de 2020, en voz de la diputada Verónica Boreque Martínez González, del grupo parlamentario del PRI, quedando la propuesta de reforma al Código Civil de Coahuila así:</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ARTÍCULO 2757...</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 xml:space="preserve">Cuando él, la o los donantes, o bien, su cónyuge, sean personas de 65 años o más, el notario que expida el instrumento público de donación, deberá </w:t>
      </w:r>
      <w:r w:rsidRPr="00CD3FDA">
        <w:rPr>
          <w:rFonts w:eastAsia="Arial" w:cs="Arial"/>
          <w:i/>
          <w:lang w:eastAsia="es-MX"/>
        </w:rPr>
        <w:lastRenderedPageBreak/>
        <w:t>forzozamente incluir la cláusula de usufructo vitalicio sobre los bienes otorgados a los donatarios.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Actualmente sigue sin ser dictaminada.</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ind w:left="567" w:right="567"/>
        <w:rPr>
          <w:rFonts w:eastAsia="Arial" w:cs="Arial"/>
          <w:i/>
          <w:lang w:eastAsia="es-MX"/>
        </w:rPr>
      </w:pPr>
      <w:bookmarkStart w:id="3" w:name="_30j0zll" w:colFirst="0" w:colLast="0"/>
      <w:bookmarkEnd w:id="3"/>
      <w:r w:rsidRPr="00CD3FDA">
        <w:rPr>
          <w:rFonts w:eastAsia="Arial" w:cs="Arial"/>
          <w:i/>
          <w:lang w:eastAsia="es-MX"/>
        </w:rPr>
        <w:t>Nosotros no vamos a duplicar esta propuesta, la cual esperamos que se dictamine pronto y que, sin duda, apoyaremos como grupo parlamentario; pero sí consideramos que se deben hacer otras adecuaciones al Código Civil local en el tema base de la presente iniciativa; para ilustrar, citaremos el capitulo que se refiere a la revocación de las donaciones:</w:t>
      </w:r>
    </w:p>
    <w:p w:rsidR="00CD3FDA" w:rsidRPr="00CD3FDA" w:rsidRDefault="00CD3FDA" w:rsidP="00CD3FDA">
      <w:pPr>
        <w:spacing w:line="360" w:lineRule="auto"/>
        <w:rPr>
          <w:rFonts w:eastAsia="Arial" w:cs="Arial"/>
          <w:lang w:eastAsia="es-MX"/>
        </w:rPr>
      </w:pPr>
    </w:p>
    <w:p w:rsidR="00CD3FDA" w:rsidRPr="00CD3FDA" w:rsidRDefault="00CD3FDA" w:rsidP="00CD3FDA">
      <w:pPr>
        <w:pBdr>
          <w:top w:val="nil"/>
          <w:left w:val="nil"/>
          <w:bottom w:val="nil"/>
          <w:right w:val="nil"/>
          <w:between w:val="nil"/>
        </w:pBdr>
        <w:spacing w:line="360" w:lineRule="auto"/>
        <w:jc w:val="center"/>
        <w:rPr>
          <w:rFonts w:eastAsia="Arial" w:cs="Arial"/>
          <w:b/>
          <w:i/>
          <w:color w:val="000000"/>
          <w:lang w:eastAsia="es-MX"/>
        </w:rPr>
      </w:pPr>
      <w:r w:rsidRPr="00CD3FDA">
        <w:rPr>
          <w:rFonts w:eastAsia="Arial" w:cs="Arial"/>
          <w:b/>
          <w:i/>
          <w:color w:val="000000"/>
          <w:lang w:eastAsia="es-MX"/>
        </w:rPr>
        <w:t>SECCIÓN SEGUNDA</w:t>
      </w:r>
    </w:p>
    <w:p w:rsidR="00CD3FDA" w:rsidRPr="00CD3FDA" w:rsidRDefault="00CD3FDA" w:rsidP="00CD3FDA">
      <w:pPr>
        <w:pBdr>
          <w:top w:val="nil"/>
          <w:left w:val="nil"/>
          <w:bottom w:val="nil"/>
          <w:right w:val="nil"/>
          <w:between w:val="nil"/>
        </w:pBdr>
        <w:spacing w:line="360" w:lineRule="auto"/>
        <w:jc w:val="center"/>
        <w:rPr>
          <w:rFonts w:eastAsia="Arial" w:cs="Arial"/>
          <w:b/>
          <w:i/>
          <w:color w:val="000000"/>
          <w:lang w:eastAsia="es-MX"/>
        </w:rPr>
      </w:pPr>
    </w:p>
    <w:p w:rsidR="00CD3FDA" w:rsidRPr="00CD3FDA" w:rsidRDefault="00CD3FDA" w:rsidP="00CD3FDA">
      <w:pPr>
        <w:pBdr>
          <w:top w:val="nil"/>
          <w:left w:val="nil"/>
          <w:bottom w:val="nil"/>
          <w:right w:val="nil"/>
          <w:between w:val="nil"/>
        </w:pBdr>
        <w:spacing w:line="360" w:lineRule="auto"/>
        <w:jc w:val="center"/>
        <w:rPr>
          <w:rFonts w:eastAsia="Arial" w:cs="Arial"/>
          <w:b/>
          <w:i/>
          <w:color w:val="000000"/>
          <w:lang w:eastAsia="es-MX"/>
        </w:rPr>
      </w:pPr>
      <w:r w:rsidRPr="00CD3FDA">
        <w:rPr>
          <w:rFonts w:eastAsia="Arial" w:cs="Arial"/>
          <w:b/>
          <w:i/>
          <w:color w:val="000000"/>
          <w:lang w:eastAsia="es-MX"/>
        </w:rPr>
        <w:t>DE LA REVOCACIÓN Y LA REDUCCIÓN DE LAS DONACIONES</w:t>
      </w:r>
    </w:p>
    <w:p w:rsidR="00CD3FDA" w:rsidRPr="00CD3FDA" w:rsidRDefault="00CD3FDA" w:rsidP="00CD3FDA">
      <w:pPr>
        <w:pBdr>
          <w:top w:val="nil"/>
          <w:left w:val="nil"/>
          <w:bottom w:val="nil"/>
          <w:right w:val="nil"/>
          <w:between w:val="nil"/>
        </w:pBdr>
        <w:spacing w:line="360" w:lineRule="auto"/>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b/>
          <w:i/>
          <w:color w:val="000000"/>
          <w:lang w:eastAsia="es-MX"/>
        </w:rPr>
        <w:t>ARTÍCULO</w:t>
      </w:r>
      <w:r w:rsidRPr="00CD3FDA">
        <w:rPr>
          <w:rFonts w:eastAsia="Arial" w:cs="Arial"/>
          <w:i/>
          <w:color w:val="000000"/>
          <w:lang w:eastAsia="es-MX"/>
        </w:rPr>
        <w:t xml:space="preserve"> </w:t>
      </w:r>
      <w:r w:rsidRPr="00CD3FDA">
        <w:rPr>
          <w:rFonts w:eastAsia="Arial" w:cs="Arial"/>
          <w:b/>
          <w:i/>
          <w:color w:val="000000"/>
          <w:lang w:eastAsia="es-MX"/>
        </w:rPr>
        <w:t>2779.</w:t>
      </w:r>
      <w:r w:rsidRPr="00CD3FDA">
        <w:rPr>
          <w:rFonts w:eastAsia="Arial" w:cs="Arial"/>
          <w:i/>
          <w:color w:val="000000"/>
          <w:lang w:eastAsia="es-MX"/>
        </w:rPr>
        <w:t xml:space="preserve"> La donación puede ser revocada por ingratitud:</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 xml:space="preserve">I. Si el donatario comete algún delito contra la persona, la honra o los bienes del donante, o de sus ascendientes, descendientes, cónyuge o persona con quien haga vida marital. </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 xml:space="preserve">II. Si el donatario acusa judicialmente al donante de algún delito que pudiera ser perseguido de oficio aunque lo pruebe, a no ser que hubiere sido cometido contra el mismo donatario o las personas citadas en la fracción anterior.  </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III. Si el donatario rehusa socorrer, según el valor de la donación, al donante que haya venido a pobreza.</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b/>
          <w:i/>
          <w:color w:val="000000"/>
          <w:lang w:eastAsia="es-MX"/>
        </w:rPr>
        <w:lastRenderedPageBreak/>
        <w:t>ARTÍCULO</w:t>
      </w:r>
      <w:r w:rsidRPr="00CD3FDA">
        <w:rPr>
          <w:rFonts w:eastAsia="Arial" w:cs="Arial"/>
          <w:i/>
          <w:color w:val="000000"/>
          <w:lang w:eastAsia="es-MX"/>
        </w:rPr>
        <w:t xml:space="preserve"> </w:t>
      </w:r>
      <w:r w:rsidRPr="00CD3FDA">
        <w:rPr>
          <w:rFonts w:eastAsia="Arial" w:cs="Arial"/>
          <w:b/>
          <w:i/>
          <w:color w:val="000000"/>
          <w:lang w:eastAsia="es-MX"/>
        </w:rPr>
        <w:t>2780.</w:t>
      </w:r>
      <w:r w:rsidRPr="00CD3FDA">
        <w:rPr>
          <w:rFonts w:eastAsia="Arial" w:cs="Arial"/>
          <w:i/>
          <w:color w:val="000000"/>
          <w:lang w:eastAsia="es-MX"/>
        </w:rPr>
        <w:t xml:space="preserve"> Son aplicables a la acción de revocación por causa de ingratitud, las siguientes disposiciones:</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I. No puede ser renunciada anticipadamente.</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 xml:space="preserve">II. </w:t>
      </w:r>
      <w:r w:rsidRPr="00CD3FDA">
        <w:rPr>
          <w:rFonts w:eastAsia="Arial" w:cs="Arial"/>
          <w:b/>
          <w:i/>
          <w:color w:val="000000"/>
          <w:u w:val="single"/>
          <w:lang w:eastAsia="es-MX"/>
        </w:rPr>
        <w:t>Prescribe en un año</w:t>
      </w:r>
      <w:r w:rsidRPr="00CD3FDA">
        <w:rPr>
          <w:rFonts w:eastAsia="Arial" w:cs="Arial"/>
          <w:i/>
          <w:color w:val="000000"/>
          <w:lang w:eastAsia="es-MX"/>
        </w:rPr>
        <w:t xml:space="preserve"> contado desde que se tuvo conocimiento del hecho que la motive.</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III. No podrá ejercitarse contra los herederos del donatario, a no ser que en vida de éste hubiese sido intentada.</w:t>
      </w: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p>
    <w:p w:rsidR="00CD3FDA" w:rsidRPr="00CD3FDA" w:rsidRDefault="00CD3FDA" w:rsidP="00CD3FDA">
      <w:pPr>
        <w:pBdr>
          <w:top w:val="nil"/>
          <w:left w:val="nil"/>
          <w:bottom w:val="nil"/>
          <w:right w:val="nil"/>
          <w:between w:val="nil"/>
        </w:pBdr>
        <w:spacing w:line="360" w:lineRule="auto"/>
        <w:ind w:left="567" w:right="567"/>
        <w:rPr>
          <w:rFonts w:eastAsia="Arial" w:cs="Arial"/>
          <w:i/>
          <w:color w:val="000000"/>
          <w:lang w:eastAsia="es-MX"/>
        </w:rPr>
      </w:pPr>
      <w:r w:rsidRPr="00CD3FDA">
        <w:rPr>
          <w:rFonts w:eastAsia="Arial" w:cs="Arial"/>
          <w:i/>
          <w:color w:val="000000"/>
          <w:lang w:eastAsia="es-MX"/>
        </w:rPr>
        <w:t>IV. No puede ser ejercitada por los herederos del donante, si éste pudiendo, no la hubiese intentado.</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 xml:space="preserve">A tal efecto, consideramos que el plazo de un año es muy breve para establecer la prescripción, ya que los hechos relacionados con la ingratitud, especialmente en los casos de las fracciones I y III del artículo 2779, </w:t>
      </w:r>
      <w:r w:rsidRPr="00CD3FDA">
        <w:rPr>
          <w:rFonts w:eastAsia="Arial" w:cs="Arial"/>
          <w:i/>
          <w:u w:val="single"/>
          <w:lang w:eastAsia="es-MX"/>
        </w:rPr>
        <w:t xml:space="preserve">pueden hacer que el donante tarde, por consideración, miedo o por estar sujeto a amenazas, presiones, engaños o promesas que no se cumplirán, </w:t>
      </w:r>
      <w:r w:rsidRPr="00CD3FDA">
        <w:rPr>
          <w:rFonts w:eastAsia="Arial" w:cs="Arial"/>
          <w:i/>
          <w:lang w:eastAsia="es-MX"/>
        </w:rPr>
        <w:t>en presentar la demanda de revocación de la donación, y de hecho, sus instigadores verían la forma de que el plazo de un año se extinga con toda clases de artimañas.</w:t>
      </w:r>
    </w:p>
    <w:p w:rsidR="00CD3FDA" w:rsidRPr="00CD3FDA" w:rsidRDefault="00CD3FDA" w:rsidP="00CD3FDA">
      <w:pPr>
        <w:spacing w:line="360" w:lineRule="auto"/>
        <w:ind w:left="567" w:right="567"/>
        <w:rPr>
          <w:rFonts w:eastAsia="Arial" w:cs="Arial"/>
          <w:i/>
          <w:lang w:eastAsia="es-MX"/>
        </w:rPr>
      </w:pPr>
    </w:p>
    <w:p w:rsidR="00CD3FDA" w:rsidRPr="00CD3FDA" w:rsidRDefault="00CD3FDA" w:rsidP="00CD3FDA">
      <w:pPr>
        <w:spacing w:line="360" w:lineRule="auto"/>
        <w:ind w:left="567" w:right="567"/>
        <w:rPr>
          <w:rFonts w:eastAsia="Arial" w:cs="Arial"/>
          <w:i/>
          <w:lang w:eastAsia="es-MX"/>
        </w:rPr>
      </w:pPr>
      <w:r w:rsidRPr="00CD3FDA">
        <w:rPr>
          <w:rFonts w:eastAsia="Arial" w:cs="Arial"/>
          <w:i/>
          <w:lang w:eastAsia="es-MX"/>
        </w:rPr>
        <w:t xml:space="preserve">Por ende, nuestra propuesta es extender el plazo de prescripción a cinco años.” </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val="es-ES" w:eastAsia="es-ES"/>
        </w:rPr>
      </w:pPr>
      <w:r w:rsidRPr="00CD3FDA">
        <w:rPr>
          <w:rFonts w:eastAsia="Times New Roman" w:cs="Arial"/>
          <w:b/>
          <w:lang w:val="es-ES" w:eastAsia="es-ES"/>
        </w:rPr>
        <w:t xml:space="preserve">CUARTO.- </w:t>
      </w:r>
      <w:r w:rsidRPr="00CD3FDA">
        <w:rPr>
          <w:rFonts w:eastAsia="Times New Roman" w:cs="Arial"/>
          <w:lang w:val="es-ES" w:eastAsia="es-ES"/>
        </w:rPr>
        <w:t xml:space="preserve"> Que las y los integrantes de esta Comisión de Gobernación, Puntos Constitucionales y Justicia, efectuamos el estudio y análisis de las iniciativas de reforma, así como de las consideraciones en las que encuentran sustento las mismas, verificando </w:t>
      </w:r>
      <w:r w:rsidRPr="00CD3FDA">
        <w:rPr>
          <w:rFonts w:eastAsia="Times New Roman" w:cs="Arial"/>
          <w:lang w:val="es-ES" w:eastAsia="es-ES"/>
        </w:rPr>
        <w:lastRenderedPageBreak/>
        <w:t>que ambos proyectos normativos tienen por objeto reformar el Código Civil para el Estado de Coahuila de Zaragoza, en materia de donaciones, por lo cual resulta aplicable lo previsto en el artículo 129 de la Ley Orgánica del Congreso del Estado Independiente, Libre y Soberano de Coahuila de Zaragoza, que en su párrafo sexto dispone que:</w:t>
      </w:r>
    </w:p>
    <w:p w:rsidR="00CD3FDA" w:rsidRPr="00CD3FDA" w:rsidRDefault="00CD3FDA" w:rsidP="00CD3FDA">
      <w:pPr>
        <w:spacing w:line="360" w:lineRule="auto"/>
        <w:rPr>
          <w:rFonts w:eastAsia="Times New Roman" w:cs="Arial"/>
          <w:lang w:val="es-ES" w:eastAsia="es-ES"/>
        </w:rPr>
      </w:pPr>
    </w:p>
    <w:p w:rsidR="00CD3FDA" w:rsidRPr="00CD3FDA" w:rsidRDefault="00CD3FDA" w:rsidP="00CD3FDA">
      <w:pPr>
        <w:spacing w:line="360" w:lineRule="auto"/>
        <w:ind w:left="708"/>
        <w:rPr>
          <w:rFonts w:eastAsia="Times New Roman" w:cs="Arial"/>
          <w:i/>
          <w:lang w:val="es-ES" w:eastAsia="es-ES"/>
        </w:rPr>
      </w:pPr>
      <w:r w:rsidRPr="00CD3FDA">
        <w:rPr>
          <w:rFonts w:eastAsia="Times New Roman" w:cs="Arial"/>
          <w:i/>
          <w:lang w:val="es-ES" w:eastAsia="es-ES"/>
        </w:rPr>
        <w:t>“Tratándose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w:t>
      </w:r>
    </w:p>
    <w:p w:rsidR="00CD3FDA" w:rsidRPr="00CD3FDA" w:rsidRDefault="00CD3FDA" w:rsidP="00CD3FDA">
      <w:pPr>
        <w:spacing w:line="360" w:lineRule="auto"/>
        <w:rPr>
          <w:rFonts w:eastAsia="Times New Roman" w:cs="Arial"/>
          <w:lang w:val="es-ES" w:eastAsia="es-ES"/>
        </w:rPr>
      </w:pPr>
    </w:p>
    <w:p w:rsidR="00CD3FDA" w:rsidRPr="00CD3FDA" w:rsidRDefault="00CD3FDA" w:rsidP="00CD3FDA">
      <w:pPr>
        <w:spacing w:line="360" w:lineRule="auto"/>
        <w:rPr>
          <w:rFonts w:eastAsia="Times New Roman" w:cs="Arial"/>
          <w:bCs/>
          <w:lang w:val="es-ES" w:eastAsia="es-MX"/>
        </w:rPr>
      </w:pPr>
      <w:r w:rsidRPr="00CD3FDA">
        <w:rPr>
          <w:rFonts w:eastAsia="Times New Roman" w:cs="Arial"/>
          <w:lang w:val="es-ES" w:eastAsia="es-MX"/>
        </w:rPr>
        <w:t>En este contexto,</w:t>
      </w:r>
      <w:r w:rsidRPr="00CD3FDA">
        <w:rPr>
          <w:rFonts w:eastAsia="Times New Roman" w:cs="Arial"/>
          <w:bCs/>
          <w:lang w:val="es-ES" w:eastAsia="es-MX"/>
        </w:rPr>
        <w:t xml:space="preserve"> esta dictaminadora verificó el contenido de las modificaciones propuestas, comparándolas con el texto vigente del Código Civil, mediante el siguiente cuadro comparativo:</w:t>
      </w:r>
    </w:p>
    <w:p w:rsidR="00CD3FDA" w:rsidRPr="00CD3FDA" w:rsidRDefault="00CD3FDA" w:rsidP="00CD3FDA">
      <w:pPr>
        <w:spacing w:line="360" w:lineRule="auto"/>
        <w:rPr>
          <w:rFonts w:eastAsia="Arial" w:cs="Arial"/>
          <w:color w:val="000000"/>
          <w:lang w:val="es-ES"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CD3FDA" w:rsidRPr="00CD3FDA" w:rsidTr="000A171D">
        <w:trPr>
          <w:jc w:val="center"/>
        </w:trPr>
        <w:tc>
          <w:tcPr>
            <w:tcW w:w="4414" w:type="dxa"/>
            <w:shd w:val="clear" w:color="auto" w:fill="auto"/>
          </w:tcPr>
          <w:p w:rsidR="00CD3FDA" w:rsidRPr="00CD3FDA" w:rsidRDefault="00CD3FDA" w:rsidP="00CD3FDA">
            <w:pPr>
              <w:spacing w:line="360" w:lineRule="auto"/>
              <w:jc w:val="center"/>
              <w:rPr>
                <w:rFonts w:eastAsia="Calibri" w:cs="Arial"/>
                <w:b/>
              </w:rPr>
            </w:pPr>
            <w:r w:rsidRPr="00CD3FDA">
              <w:rPr>
                <w:rFonts w:eastAsia="Calibri" w:cs="Arial"/>
                <w:b/>
              </w:rPr>
              <w:t>CÓDIGO CIVIL PARA EL ESTADO DE COAHUILA</w:t>
            </w:r>
          </w:p>
        </w:tc>
        <w:tc>
          <w:tcPr>
            <w:tcW w:w="4414" w:type="dxa"/>
            <w:shd w:val="clear" w:color="auto" w:fill="auto"/>
          </w:tcPr>
          <w:p w:rsidR="00CD3FDA" w:rsidRPr="00CD3FDA" w:rsidRDefault="00CD3FDA" w:rsidP="00CD3FDA">
            <w:pPr>
              <w:spacing w:line="360" w:lineRule="auto"/>
              <w:jc w:val="center"/>
              <w:rPr>
                <w:rFonts w:eastAsia="Calibri" w:cs="Arial"/>
                <w:b/>
              </w:rPr>
            </w:pPr>
            <w:r w:rsidRPr="00CD3FDA">
              <w:rPr>
                <w:rFonts w:eastAsia="Calibri" w:cs="Arial"/>
                <w:b/>
              </w:rPr>
              <w:t>TEXTO DE LAS INICIATIVAS</w:t>
            </w:r>
          </w:p>
        </w:tc>
      </w:tr>
      <w:tr w:rsidR="00CD3FDA" w:rsidRPr="00CD3FDA" w:rsidTr="000A171D">
        <w:trPr>
          <w:jc w:val="center"/>
        </w:trPr>
        <w:tc>
          <w:tcPr>
            <w:tcW w:w="4414" w:type="dxa"/>
            <w:shd w:val="clear" w:color="auto" w:fill="auto"/>
          </w:tcPr>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b/>
                <w:bCs/>
                <w:lang w:val="es-ES" w:eastAsia="es-ES"/>
              </w:rPr>
              <w:t>ARTÍCULO</w:t>
            </w:r>
            <w:r w:rsidRPr="00CD3FDA">
              <w:rPr>
                <w:rFonts w:eastAsia="Calibri" w:cs="Arial"/>
                <w:lang w:val="es-ES" w:eastAsia="es-ES"/>
              </w:rPr>
              <w:t xml:space="preserve"> </w:t>
            </w:r>
            <w:r w:rsidRPr="00CD3FDA">
              <w:rPr>
                <w:rFonts w:eastAsia="Calibri" w:cs="Arial"/>
                <w:b/>
                <w:bCs/>
                <w:lang w:val="es-ES" w:eastAsia="es-ES"/>
              </w:rPr>
              <w:t>2757.</w:t>
            </w:r>
            <w:r w:rsidRPr="00CD3FDA">
              <w:rPr>
                <w:rFonts w:eastAsia="Calibri" w:cs="Arial"/>
                <w:lang w:val="es-ES" w:eastAsia="es-ES"/>
              </w:rPr>
              <w:t xml:space="preserve"> Es nula la donación que comprenda la totalidad de los bienes del donante, si éste no se reserva en propiedad o en usufructo,  lo necesario para vivir según sus circunstancias.</w:t>
            </w:r>
          </w:p>
          <w:p w:rsidR="00CD3FDA" w:rsidRPr="00CD3FDA" w:rsidRDefault="00CD3FDA" w:rsidP="00CD3FDA">
            <w:pPr>
              <w:spacing w:line="360" w:lineRule="auto"/>
              <w:jc w:val="left"/>
              <w:rPr>
                <w:rFonts w:eastAsia="Calibri" w:cs="Arial"/>
                <w:i/>
                <w:iCs/>
                <w:lang w:val="es-ES"/>
              </w:rPr>
            </w:pPr>
          </w:p>
        </w:tc>
        <w:tc>
          <w:tcPr>
            <w:tcW w:w="4414" w:type="dxa"/>
            <w:shd w:val="clear" w:color="auto" w:fill="auto"/>
          </w:tcPr>
          <w:p w:rsidR="00CD3FDA" w:rsidRPr="00CD3FDA" w:rsidRDefault="00CD3FDA" w:rsidP="00CD3FDA">
            <w:pPr>
              <w:spacing w:line="360" w:lineRule="auto"/>
              <w:rPr>
                <w:rFonts w:eastAsia="Calibri" w:cs="Arial"/>
              </w:rPr>
            </w:pPr>
            <w:r w:rsidRPr="00CD3FDA">
              <w:rPr>
                <w:rFonts w:eastAsia="Calibri" w:cs="Arial"/>
                <w:b/>
              </w:rPr>
              <w:t xml:space="preserve">ARTÍCULO 2757. </w:t>
            </w:r>
            <w:r w:rsidRPr="00CD3FDA">
              <w:rPr>
                <w:rFonts w:eastAsia="Calibri" w:cs="Arial"/>
              </w:rPr>
              <w:t>…</w:t>
            </w: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b/>
                <w:bCs/>
              </w:rPr>
            </w:pPr>
            <w:r w:rsidRPr="00CD3FDA">
              <w:rPr>
                <w:rFonts w:eastAsia="Calibri" w:cs="Arial"/>
                <w:b/>
                <w:bCs/>
              </w:rPr>
              <w:t xml:space="preserve">Cuando él, la o los donantes, o bien, su cónyuge, sean personas de 65 años o más, el notario que expida el instrumento público de donación, </w:t>
            </w:r>
            <w:r w:rsidRPr="00CD3FDA">
              <w:rPr>
                <w:rFonts w:eastAsia="Calibri" w:cs="Arial"/>
                <w:b/>
                <w:bCs/>
              </w:rPr>
              <w:lastRenderedPageBreak/>
              <w:t>deberá forzozamente (sic) incluir la cláusula de usufructo vitalicio sobre los bienes otorgados a los donatarios.</w:t>
            </w:r>
          </w:p>
          <w:p w:rsidR="00CD3FDA" w:rsidRPr="00CD3FDA" w:rsidRDefault="00CD3FDA" w:rsidP="00CD3FDA">
            <w:pPr>
              <w:spacing w:line="360" w:lineRule="auto"/>
              <w:rPr>
                <w:rFonts w:eastAsia="Calibri" w:cs="Arial"/>
              </w:rPr>
            </w:pPr>
          </w:p>
        </w:tc>
      </w:tr>
      <w:tr w:rsidR="00CD3FDA" w:rsidRPr="00CD3FDA" w:rsidTr="000A171D">
        <w:trPr>
          <w:jc w:val="center"/>
        </w:trPr>
        <w:tc>
          <w:tcPr>
            <w:tcW w:w="4414" w:type="dxa"/>
            <w:shd w:val="clear" w:color="auto" w:fill="auto"/>
          </w:tcPr>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b/>
                <w:bCs/>
                <w:lang w:val="es-ES" w:eastAsia="es-ES"/>
              </w:rPr>
              <w:lastRenderedPageBreak/>
              <w:t>ARTÍCULO</w:t>
            </w:r>
            <w:r w:rsidRPr="00CD3FDA">
              <w:rPr>
                <w:rFonts w:eastAsia="Calibri" w:cs="Arial"/>
                <w:lang w:val="es-ES" w:eastAsia="es-ES"/>
              </w:rPr>
              <w:t xml:space="preserve"> </w:t>
            </w:r>
            <w:r w:rsidRPr="00CD3FDA">
              <w:rPr>
                <w:rFonts w:eastAsia="Calibri" w:cs="Arial"/>
                <w:b/>
                <w:bCs/>
                <w:lang w:val="es-ES" w:eastAsia="es-ES"/>
              </w:rPr>
              <w:t>2780.</w:t>
            </w:r>
            <w:r w:rsidRPr="00CD3FDA">
              <w:rPr>
                <w:rFonts w:eastAsia="Calibri" w:cs="Arial"/>
                <w:lang w:val="es-ES" w:eastAsia="es-ES"/>
              </w:rPr>
              <w:t xml:space="preserve"> Son aplicables a la acción de revocación por causa de ingratitud, las siguientes disposiciones:</w:t>
            </w:r>
          </w:p>
          <w:p w:rsidR="00CD3FDA" w:rsidRPr="00CD3FDA" w:rsidRDefault="00CD3FDA" w:rsidP="00CD3FDA">
            <w:pPr>
              <w:numPr>
                <w:ilvl w:val="12"/>
                <w:numId w:val="0"/>
              </w:numPr>
              <w:spacing w:line="360" w:lineRule="auto"/>
              <w:rPr>
                <w:rFonts w:eastAsia="Calibri" w:cs="Arial"/>
                <w:lang w:val="es-ES" w:eastAsia="es-ES"/>
              </w:rPr>
            </w:pPr>
          </w:p>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lang w:val="es-ES" w:eastAsia="es-ES"/>
              </w:rPr>
              <w:t>I. No puede ser renunciada anticipadamente.</w:t>
            </w:r>
          </w:p>
          <w:p w:rsidR="00CD3FDA" w:rsidRPr="00CD3FDA" w:rsidRDefault="00CD3FDA" w:rsidP="00CD3FDA">
            <w:pPr>
              <w:numPr>
                <w:ilvl w:val="12"/>
                <w:numId w:val="0"/>
              </w:numPr>
              <w:spacing w:line="360" w:lineRule="auto"/>
              <w:rPr>
                <w:rFonts w:eastAsia="Calibri" w:cs="Arial"/>
                <w:lang w:val="es-ES" w:eastAsia="es-ES"/>
              </w:rPr>
            </w:pPr>
          </w:p>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lang w:val="es-ES" w:eastAsia="es-ES"/>
              </w:rPr>
              <w:t>II. Prescribe en un año contado desde que se tuvo conocimiento del hecho que la motive.</w:t>
            </w:r>
          </w:p>
          <w:p w:rsidR="00CD3FDA" w:rsidRPr="00CD3FDA" w:rsidRDefault="00CD3FDA" w:rsidP="00CD3FDA">
            <w:pPr>
              <w:numPr>
                <w:ilvl w:val="12"/>
                <w:numId w:val="0"/>
              </w:numPr>
              <w:spacing w:line="360" w:lineRule="auto"/>
              <w:rPr>
                <w:rFonts w:eastAsia="Calibri" w:cs="Arial"/>
                <w:lang w:val="es-ES" w:eastAsia="es-ES"/>
              </w:rPr>
            </w:pPr>
          </w:p>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lang w:val="es-ES" w:eastAsia="es-ES"/>
              </w:rPr>
              <w:t>III. No podrá ejercitarse contra los herederos del donatario, a no ser que en vida de éste hubiese sido intentada.</w:t>
            </w:r>
          </w:p>
          <w:p w:rsidR="00CD3FDA" w:rsidRPr="00CD3FDA" w:rsidRDefault="00CD3FDA" w:rsidP="00CD3FDA">
            <w:pPr>
              <w:numPr>
                <w:ilvl w:val="12"/>
                <w:numId w:val="0"/>
              </w:numPr>
              <w:spacing w:line="360" w:lineRule="auto"/>
              <w:rPr>
                <w:rFonts w:eastAsia="Calibri" w:cs="Arial"/>
                <w:lang w:val="es-ES" w:eastAsia="es-ES"/>
              </w:rPr>
            </w:pPr>
          </w:p>
          <w:p w:rsidR="00CD3FDA" w:rsidRPr="00CD3FDA" w:rsidRDefault="00CD3FDA" w:rsidP="00CD3FDA">
            <w:pPr>
              <w:numPr>
                <w:ilvl w:val="12"/>
                <w:numId w:val="0"/>
              </w:numPr>
              <w:spacing w:line="360" w:lineRule="auto"/>
              <w:rPr>
                <w:rFonts w:eastAsia="Calibri" w:cs="Arial"/>
                <w:lang w:val="es-ES" w:eastAsia="es-ES"/>
              </w:rPr>
            </w:pPr>
            <w:r w:rsidRPr="00CD3FDA">
              <w:rPr>
                <w:rFonts w:eastAsia="Calibri" w:cs="Arial"/>
                <w:lang w:val="es-ES" w:eastAsia="es-ES"/>
              </w:rPr>
              <w:t>IV. No puede ser ejercitada por los herederos del donante, si éste pudiendo, no la hubiese intentado.</w:t>
            </w:r>
          </w:p>
          <w:p w:rsidR="00CD3FDA" w:rsidRPr="00CD3FDA" w:rsidRDefault="00CD3FDA" w:rsidP="00CD3FDA">
            <w:pPr>
              <w:spacing w:line="360" w:lineRule="auto"/>
              <w:jc w:val="left"/>
              <w:rPr>
                <w:rFonts w:eastAsia="Calibri" w:cs="Arial"/>
                <w:lang w:val="es-ES"/>
              </w:rPr>
            </w:pPr>
          </w:p>
        </w:tc>
        <w:tc>
          <w:tcPr>
            <w:tcW w:w="4414" w:type="dxa"/>
            <w:shd w:val="clear" w:color="auto" w:fill="auto"/>
          </w:tcPr>
          <w:p w:rsidR="00CD3FDA" w:rsidRPr="00CD3FDA" w:rsidRDefault="00CD3FDA" w:rsidP="00CD3FDA">
            <w:pPr>
              <w:pBdr>
                <w:top w:val="nil"/>
                <w:left w:val="nil"/>
                <w:bottom w:val="nil"/>
                <w:right w:val="nil"/>
                <w:between w:val="nil"/>
              </w:pBdr>
              <w:spacing w:line="360" w:lineRule="auto"/>
              <w:rPr>
                <w:rFonts w:eastAsia="Calibri" w:cs="Arial"/>
                <w:color w:val="000000"/>
              </w:rPr>
            </w:pPr>
            <w:r w:rsidRPr="00CD3FDA">
              <w:rPr>
                <w:rFonts w:eastAsia="Calibri" w:cs="Arial"/>
                <w:b/>
                <w:color w:val="000000"/>
              </w:rPr>
              <w:t>ARTÍCULO</w:t>
            </w:r>
            <w:r w:rsidRPr="00CD3FDA">
              <w:rPr>
                <w:rFonts w:eastAsia="Calibri" w:cs="Arial"/>
                <w:color w:val="000000"/>
              </w:rPr>
              <w:t xml:space="preserve"> </w:t>
            </w:r>
            <w:r w:rsidRPr="00CD3FDA">
              <w:rPr>
                <w:rFonts w:eastAsia="Calibri" w:cs="Arial"/>
                <w:b/>
                <w:color w:val="000000"/>
              </w:rPr>
              <w:t>2780.</w:t>
            </w:r>
            <w:r w:rsidRPr="00CD3FDA">
              <w:rPr>
                <w:rFonts w:eastAsia="Calibri" w:cs="Arial"/>
                <w:color w:val="000000"/>
              </w:rPr>
              <w:t xml:space="preserve"> …</w:t>
            </w:r>
          </w:p>
          <w:p w:rsidR="00CD3FDA" w:rsidRPr="00CD3FDA" w:rsidRDefault="00CD3FDA" w:rsidP="00CD3FDA">
            <w:pPr>
              <w:pBdr>
                <w:top w:val="nil"/>
                <w:left w:val="nil"/>
                <w:bottom w:val="nil"/>
                <w:right w:val="nil"/>
                <w:between w:val="nil"/>
              </w:pBdr>
              <w:spacing w:line="360" w:lineRule="auto"/>
              <w:rPr>
                <w:rFonts w:eastAsia="Calibri" w:cs="Arial"/>
                <w:color w:val="000000"/>
              </w:rPr>
            </w:pPr>
          </w:p>
          <w:p w:rsidR="00CD3FDA" w:rsidRPr="00CD3FDA" w:rsidRDefault="00CD3FDA" w:rsidP="00CD3FDA">
            <w:pPr>
              <w:pBdr>
                <w:top w:val="nil"/>
                <w:left w:val="nil"/>
                <w:bottom w:val="nil"/>
                <w:right w:val="nil"/>
                <w:between w:val="nil"/>
              </w:pBdr>
              <w:spacing w:line="360" w:lineRule="auto"/>
              <w:rPr>
                <w:rFonts w:eastAsia="Calibri" w:cs="Arial"/>
                <w:color w:val="000000"/>
              </w:rPr>
            </w:pPr>
          </w:p>
          <w:p w:rsidR="00CD3FDA" w:rsidRPr="00CD3FDA" w:rsidRDefault="00CD3FDA" w:rsidP="00CD3FDA">
            <w:pPr>
              <w:pBdr>
                <w:top w:val="nil"/>
                <w:left w:val="nil"/>
                <w:bottom w:val="nil"/>
                <w:right w:val="nil"/>
                <w:between w:val="nil"/>
              </w:pBdr>
              <w:spacing w:line="360" w:lineRule="auto"/>
              <w:rPr>
                <w:rFonts w:eastAsia="Calibri" w:cs="Arial"/>
                <w:color w:val="000000"/>
              </w:rPr>
            </w:pPr>
          </w:p>
          <w:p w:rsidR="00CD3FDA" w:rsidRPr="00CD3FDA" w:rsidRDefault="00CD3FDA" w:rsidP="00CD3FDA">
            <w:pPr>
              <w:spacing w:line="360" w:lineRule="auto"/>
              <w:rPr>
                <w:rFonts w:eastAsia="Calibri" w:cs="Arial"/>
              </w:rPr>
            </w:pPr>
            <w:r w:rsidRPr="00CD3FDA">
              <w:rPr>
                <w:rFonts w:eastAsia="Calibri" w:cs="Arial"/>
              </w:rPr>
              <w:t>I. …</w:t>
            </w: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r w:rsidRPr="00CD3FDA">
              <w:rPr>
                <w:rFonts w:eastAsia="Calibri" w:cs="Arial"/>
              </w:rPr>
              <w:t xml:space="preserve">II. Prescribe en </w:t>
            </w:r>
            <w:r w:rsidRPr="00CD3FDA">
              <w:rPr>
                <w:rFonts w:eastAsia="Calibri" w:cs="Arial"/>
                <w:b/>
              </w:rPr>
              <w:t>cinco años</w:t>
            </w:r>
            <w:r w:rsidRPr="00CD3FDA">
              <w:rPr>
                <w:rFonts w:eastAsia="Calibri" w:cs="Arial"/>
              </w:rPr>
              <w:t>, contados desde que se tuvo conocimiento del hecho que la motive.</w:t>
            </w:r>
          </w:p>
          <w:p w:rsidR="00CD3FDA" w:rsidRPr="00CD3FDA" w:rsidRDefault="00CD3FDA" w:rsidP="00CD3FDA">
            <w:pPr>
              <w:spacing w:line="360" w:lineRule="auto"/>
              <w:rPr>
                <w:rFonts w:eastAsia="Calibri" w:cs="Arial"/>
              </w:rPr>
            </w:pPr>
          </w:p>
          <w:p w:rsidR="00CD3FDA" w:rsidRPr="00CD3FDA" w:rsidRDefault="00CD3FDA" w:rsidP="00CD3FDA">
            <w:pPr>
              <w:spacing w:line="360" w:lineRule="auto"/>
              <w:rPr>
                <w:rFonts w:eastAsia="Calibri" w:cs="Arial"/>
              </w:rPr>
            </w:pPr>
            <w:r w:rsidRPr="00CD3FDA">
              <w:rPr>
                <w:rFonts w:eastAsia="Calibri" w:cs="Arial"/>
              </w:rPr>
              <w:t>III. …</w:t>
            </w:r>
          </w:p>
          <w:p w:rsidR="00CD3FDA" w:rsidRPr="00CD3FDA" w:rsidRDefault="00CD3FDA" w:rsidP="00CD3FDA">
            <w:pPr>
              <w:spacing w:line="360" w:lineRule="auto"/>
              <w:jc w:val="left"/>
              <w:rPr>
                <w:rFonts w:eastAsia="Calibri" w:cs="Arial"/>
              </w:rPr>
            </w:pPr>
          </w:p>
          <w:p w:rsidR="00CD3FDA" w:rsidRPr="00CD3FDA" w:rsidRDefault="00CD3FDA" w:rsidP="00CD3FDA">
            <w:pPr>
              <w:spacing w:line="360" w:lineRule="auto"/>
              <w:jc w:val="left"/>
              <w:rPr>
                <w:rFonts w:eastAsia="Calibri" w:cs="Arial"/>
              </w:rPr>
            </w:pPr>
          </w:p>
          <w:p w:rsidR="00CD3FDA" w:rsidRPr="00CD3FDA" w:rsidRDefault="00CD3FDA" w:rsidP="00CD3FDA">
            <w:pPr>
              <w:spacing w:line="360" w:lineRule="auto"/>
              <w:jc w:val="left"/>
              <w:rPr>
                <w:rFonts w:eastAsia="Calibri" w:cs="Arial"/>
              </w:rPr>
            </w:pPr>
          </w:p>
          <w:p w:rsidR="00CD3FDA" w:rsidRPr="00CD3FDA" w:rsidRDefault="00CD3FDA" w:rsidP="00CD3FDA">
            <w:pPr>
              <w:spacing w:line="360" w:lineRule="auto"/>
              <w:jc w:val="left"/>
              <w:rPr>
                <w:rFonts w:eastAsia="Calibri" w:cs="Arial"/>
              </w:rPr>
            </w:pPr>
            <w:r w:rsidRPr="00CD3FDA">
              <w:rPr>
                <w:rFonts w:eastAsia="Calibri" w:cs="Arial"/>
              </w:rPr>
              <w:t>IV. …</w:t>
            </w:r>
          </w:p>
        </w:tc>
      </w:tr>
    </w:tbl>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rPr>
          <w:rFonts w:eastAsia="Arial" w:cs="Arial"/>
          <w:lang w:eastAsia="es-MX"/>
        </w:rPr>
      </w:pPr>
      <w:r w:rsidRPr="00CD3FDA">
        <w:rPr>
          <w:rFonts w:eastAsia="Arial" w:cs="Arial"/>
          <w:b/>
          <w:lang w:eastAsia="es-MX"/>
        </w:rPr>
        <w:t>QUINTO.-</w:t>
      </w:r>
      <w:r w:rsidRPr="00CD3FDA">
        <w:rPr>
          <w:rFonts w:eastAsia="Arial" w:cs="Arial"/>
          <w:lang w:eastAsia="es-MX"/>
        </w:rPr>
        <w:t xml:space="preserve"> Que las y los integrantes de la Comisión de Gobernación, Puntos Constitucionales y Justicia, consideran como viables las iniciativas presentadas en </w:t>
      </w:r>
      <w:r w:rsidRPr="00CD3FDA">
        <w:rPr>
          <w:rFonts w:eastAsia="Arial" w:cs="Arial"/>
          <w:lang w:eastAsia="es-MX"/>
        </w:rPr>
        <w:lastRenderedPageBreak/>
        <w:t>materia de donaciones y, con base en las consideraciones que anteceden, sometemos a consideración del Pleno el siguiente Proyecto de:</w:t>
      </w:r>
    </w:p>
    <w:p w:rsidR="00CD3FDA" w:rsidRPr="00CD3FDA" w:rsidRDefault="00CD3FDA" w:rsidP="00CD3FDA">
      <w:pPr>
        <w:spacing w:line="360" w:lineRule="auto"/>
        <w:rPr>
          <w:rFonts w:eastAsia="Arial" w:cs="Arial"/>
          <w:lang w:eastAsia="es-MX"/>
        </w:rPr>
      </w:pPr>
    </w:p>
    <w:p w:rsidR="00CD3FDA" w:rsidRPr="00CD3FDA" w:rsidRDefault="00CD3FDA" w:rsidP="00CD3FDA">
      <w:pPr>
        <w:spacing w:line="360" w:lineRule="auto"/>
        <w:jc w:val="center"/>
        <w:rPr>
          <w:rFonts w:eastAsia="Times New Roman" w:cs="Arial"/>
          <w:b/>
          <w:lang w:eastAsia="es-ES"/>
        </w:rPr>
      </w:pPr>
      <w:r w:rsidRPr="00CD3FDA">
        <w:rPr>
          <w:rFonts w:eastAsia="Times New Roman" w:cs="Arial"/>
          <w:b/>
          <w:lang w:eastAsia="es-ES"/>
        </w:rPr>
        <w:t>DECRETO.</w:t>
      </w:r>
    </w:p>
    <w:p w:rsidR="00CD3FDA" w:rsidRPr="00CD3FDA" w:rsidRDefault="00CD3FDA" w:rsidP="00CD3FDA">
      <w:pPr>
        <w:spacing w:line="360" w:lineRule="auto"/>
        <w:jc w:val="center"/>
        <w:rPr>
          <w:rFonts w:eastAsia="Times New Roman" w:cs="Arial"/>
          <w:b/>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t>ARTÍCULO ÚNICO.–</w:t>
      </w:r>
      <w:r w:rsidRPr="00CD3FDA">
        <w:rPr>
          <w:rFonts w:eastAsia="Times New Roman" w:cs="Arial"/>
          <w:lang w:eastAsia="es-ES"/>
        </w:rPr>
        <w:t xml:space="preserve"> S</w:t>
      </w:r>
      <w:r w:rsidRPr="00CD3FDA">
        <w:rPr>
          <w:rFonts w:eastAsia="Times New Roman" w:cs="Arial"/>
          <w:bCs/>
          <w:lang w:eastAsia="es-ES"/>
        </w:rPr>
        <w:t xml:space="preserve">e </w:t>
      </w:r>
      <w:r w:rsidRPr="00CD3FDA">
        <w:rPr>
          <w:rFonts w:eastAsia="Times New Roman" w:cs="Arial"/>
          <w:b/>
          <w:lang w:eastAsia="es-ES"/>
        </w:rPr>
        <w:t xml:space="preserve">reforma </w:t>
      </w:r>
      <w:r w:rsidRPr="00CD3FDA">
        <w:rPr>
          <w:rFonts w:eastAsia="Times New Roman" w:cs="Arial"/>
          <w:lang w:eastAsia="es-ES"/>
        </w:rPr>
        <w:t xml:space="preserve">la fracción II del artículo 2780; y se </w:t>
      </w:r>
      <w:r w:rsidRPr="00CD3FDA">
        <w:rPr>
          <w:rFonts w:eastAsia="Times New Roman" w:cs="Arial"/>
          <w:b/>
          <w:lang w:eastAsia="es-ES"/>
        </w:rPr>
        <w:t xml:space="preserve">adiciona </w:t>
      </w:r>
      <w:r w:rsidRPr="00CD3FDA">
        <w:rPr>
          <w:rFonts w:eastAsia="Times New Roman" w:cs="Arial"/>
          <w:lang w:eastAsia="es-ES"/>
        </w:rPr>
        <w:t xml:space="preserve">un segundo párrafo al artículo 2757 del </w:t>
      </w:r>
      <w:r w:rsidRPr="00CD3FDA">
        <w:rPr>
          <w:rFonts w:eastAsia="Times New Roman" w:cs="Arial"/>
          <w:b/>
          <w:bCs/>
          <w:lang w:eastAsia="es-ES"/>
        </w:rPr>
        <w:t>Código Civil para el Estado de Coahuila de Zaragoza</w:t>
      </w:r>
      <w:r w:rsidRPr="00CD3FDA">
        <w:rPr>
          <w:rFonts w:eastAsia="Times New Roman" w:cs="Arial"/>
          <w:lang w:eastAsia="es-ES"/>
        </w:rPr>
        <w:t>, para quedar como sigue:</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ind w:right="473"/>
        <w:rPr>
          <w:rFonts w:eastAsia="Times New Roman" w:cs="Arial"/>
          <w:lang w:eastAsia="es-ES"/>
        </w:rPr>
      </w:pPr>
      <w:r w:rsidRPr="00CD3FDA">
        <w:rPr>
          <w:rFonts w:eastAsia="Times New Roman" w:cs="Arial"/>
          <w:b/>
          <w:lang w:eastAsia="es-ES"/>
        </w:rPr>
        <w:t xml:space="preserve">ARTÍCULO 2757. </w:t>
      </w:r>
      <w:r w:rsidRPr="00CD3FDA">
        <w:rPr>
          <w:rFonts w:eastAsia="Times New Roman" w:cs="Arial"/>
          <w:lang w:eastAsia="es-ES"/>
        </w:rPr>
        <w:t>…</w:t>
      </w:r>
    </w:p>
    <w:p w:rsidR="00CD3FDA" w:rsidRPr="00CD3FDA" w:rsidRDefault="00CD3FDA" w:rsidP="00CD3FDA">
      <w:pPr>
        <w:spacing w:line="360" w:lineRule="auto"/>
        <w:ind w:left="426" w:right="473"/>
        <w:rPr>
          <w:rFonts w:eastAsia="Times New Roman" w:cs="Arial"/>
          <w:lang w:eastAsia="es-ES"/>
        </w:rPr>
      </w:pPr>
    </w:p>
    <w:p w:rsidR="00CD3FDA" w:rsidRPr="00CD3FDA" w:rsidRDefault="00CD3FDA" w:rsidP="00CD3FDA">
      <w:pPr>
        <w:spacing w:line="360" w:lineRule="auto"/>
        <w:ind w:right="-91"/>
        <w:rPr>
          <w:rFonts w:eastAsia="Times New Roman" w:cs="Arial"/>
          <w:lang w:eastAsia="es-ES"/>
        </w:rPr>
      </w:pPr>
      <w:r w:rsidRPr="00CD3FDA">
        <w:rPr>
          <w:rFonts w:eastAsia="Times New Roman" w:cs="Arial"/>
          <w:lang w:eastAsia="es-ES"/>
        </w:rPr>
        <w:t>Cuando él, la o los donantes, o bien, su cónyuge, sean personas de 65 años o más, el notario que expida el instrumento público de donación, deberá forzosamente incluir la cláusula de usufructo vitalicio sobre los bienes otorgados a los donatarios.</w:t>
      </w:r>
    </w:p>
    <w:p w:rsidR="00CD3FDA" w:rsidRPr="00CD3FDA" w:rsidRDefault="00CD3FDA" w:rsidP="00CD3FDA">
      <w:pPr>
        <w:spacing w:line="360" w:lineRule="auto"/>
        <w:rPr>
          <w:rFonts w:eastAsia="Times New Roman" w:cs="Arial"/>
          <w:lang w:eastAsia="es-ES"/>
        </w:rPr>
      </w:pPr>
    </w:p>
    <w:p w:rsidR="00CD3FDA" w:rsidRPr="00CD3FDA" w:rsidRDefault="00CD3FDA" w:rsidP="00CD3FDA">
      <w:pPr>
        <w:pBdr>
          <w:top w:val="nil"/>
          <w:left w:val="nil"/>
          <w:bottom w:val="nil"/>
          <w:right w:val="nil"/>
          <w:between w:val="nil"/>
        </w:pBdr>
        <w:spacing w:line="360" w:lineRule="auto"/>
        <w:rPr>
          <w:rFonts w:eastAsia="Times New Roman" w:cs="Arial"/>
          <w:color w:val="000000"/>
          <w:lang w:eastAsia="es-ES"/>
        </w:rPr>
      </w:pPr>
      <w:r w:rsidRPr="00CD3FDA">
        <w:rPr>
          <w:rFonts w:eastAsia="Times New Roman" w:cs="Arial"/>
          <w:b/>
          <w:color w:val="000000"/>
          <w:lang w:eastAsia="es-ES"/>
        </w:rPr>
        <w:t>ARTÍCULO</w:t>
      </w:r>
      <w:r w:rsidRPr="00CD3FDA">
        <w:rPr>
          <w:rFonts w:eastAsia="Times New Roman" w:cs="Arial"/>
          <w:color w:val="000000"/>
          <w:lang w:eastAsia="es-ES"/>
        </w:rPr>
        <w:t xml:space="preserve"> </w:t>
      </w:r>
      <w:r w:rsidRPr="00CD3FDA">
        <w:rPr>
          <w:rFonts w:eastAsia="Times New Roman" w:cs="Arial"/>
          <w:b/>
          <w:color w:val="000000"/>
          <w:lang w:eastAsia="es-ES"/>
        </w:rPr>
        <w:t>2780.</w:t>
      </w:r>
      <w:r w:rsidRPr="00CD3FDA">
        <w:rPr>
          <w:rFonts w:eastAsia="Times New Roman" w:cs="Arial"/>
          <w:color w:val="000000"/>
          <w:lang w:eastAsia="es-ES"/>
        </w:rPr>
        <w:t xml:space="preserve"> …</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lang w:eastAsia="es-ES"/>
        </w:rPr>
        <w:t>I. …</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lang w:eastAsia="es-ES"/>
        </w:rPr>
        <w:t xml:space="preserve">II. Prescribe en </w:t>
      </w:r>
      <w:r w:rsidRPr="00CD3FDA">
        <w:rPr>
          <w:rFonts w:eastAsia="Times New Roman" w:cs="Arial"/>
          <w:b/>
          <w:lang w:eastAsia="es-ES"/>
        </w:rPr>
        <w:t>cinco años</w:t>
      </w:r>
      <w:r w:rsidRPr="00CD3FDA">
        <w:rPr>
          <w:rFonts w:eastAsia="Times New Roman" w:cs="Arial"/>
          <w:lang w:eastAsia="es-ES"/>
        </w:rPr>
        <w:t>, contados desde que se tuvo conocimiento del hecho que la motive.</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val="en-US" w:eastAsia="es-ES"/>
        </w:rPr>
      </w:pPr>
      <w:r w:rsidRPr="00CD3FDA">
        <w:rPr>
          <w:rFonts w:eastAsia="Times New Roman" w:cs="Arial"/>
          <w:lang w:val="en-US" w:eastAsia="es-ES"/>
        </w:rPr>
        <w:t>III. …</w:t>
      </w:r>
    </w:p>
    <w:p w:rsidR="00CD3FDA" w:rsidRPr="00CD3FDA" w:rsidRDefault="00CD3FDA" w:rsidP="00CD3FDA">
      <w:pPr>
        <w:spacing w:line="360" w:lineRule="auto"/>
        <w:rPr>
          <w:rFonts w:eastAsia="Times New Roman" w:cs="Arial"/>
          <w:lang w:val="en-US" w:eastAsia="es-ES"/>
        </w:rPr>
      </w:pPr>
    </w:p>
    <w:p w:rsidR="00CD3FDA" w:rsidRPr="00CD3FDA" w:rsidRDefault="00CD3FDA" w:rsidP="00CD3FDA">
      <w:pPr>
        <w:spacing w:line="360" w:lineRule="auto"/>
        <w:rPr>
          <w:rFonts w:eastAsia="Times New Roman" w:cs="Arial"/>
          <w:lang w:val="en-US" w:eastAsia="es-ES"/>
        </w:rPr>
      </w:pPr>
      <w:r w:rsidRPr="00CD3FDA">
        <w:rPr>
          <w:rFonts w:eastAsia="Times New Roman" w:cs="Arial"/>
          <w:lang w:val="en-US" w:eastAsia="es-ES"/>
        </w:rPr>
        <w:t>IV. …</w:t>
      </w:r>
    </w:p>
    <w:p w:rsidR="00CD3FDA" w:rsidRPr="00CD3FDA" w:rsidRDefault="00CD3FDA" w:rsidP="00CD3FDA">
      <w:pPr>
        <w:spacing w:line="360" w:lineRule="auto"/>
        <w:rPr>
          <w:rFonts w:eastAsia="Times New Roman" w:cs="Arial"/>
          <w:b/>
          <w:lang w:val="en-US" w:eastAsia="es-ES"/>
        </w:rPr>
      </w:pPr>
    </w:p>
    <w:p w:rsidR="00CD3FDA" w:rsidRPr="00CD3FDA" w:rsidRDefault="00CD3FDA" w:rsidP="00CD3FDA">
      <w:pPr>
        <w:tabs>
          <w:tab w:val="left" w:pos="7065"/>
        </w:tabs>
        <w:spacing w:line="360" w:lineRule="auto"/>
        <w:jc w:val="center"/>
        <w:rPr>
          <w:rFonts w:eastAsia="Times New Roman" w:cs="Arial"/>
          <w:b/>
          <w:lang w:val="en-US" w:eastAsia="es-ES"/>
        </w:rPr>
      </w:pPr>
      <w:r w:rsidRPr="00CD3FDA">
        <w:rPr>
          <w:rFonts w:eastAsia="Times New Roman" w:cs="Arial"/>
          <w:b/>
          <w:lang w:val="en-US" w:eastAsia="es-ES"/>
        </w:rPr>
        <w:t>T R A N S I T O R I O S</w:t>
      </w:r>
    </w:p>
    <w:p w:rsidR="00CD3FDA" w:rsidRPr="00CD3FDA" w:rsidRDefault="00CD3FDA" w:rsidP="00CD3FDA">
      <w:pPr>
        <w:tabs>
          <w:tab w:val="left" w:pos="7065"/>
        </w:tabs>
        <w:spacing w:line="360" w:lineRule="auto"/>
        <w:rPr>
          <w:rFonts w:eastAsia="Times New Roman" w:cs="Arial"/>
          <w:b/>
          <w:lang w:val="en-US"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lastRenderedPageBreak/>
        <w:t>PRIMERO.-</w:t>
      </w:r>
      <w:r w:rsidRPr="00CD3FDA">
        <w:rPr>
          <w:rFonts w:eastAsia="Times New Roman" w:cs="Arial"/>
          <w:lang w:eastAsia="es-ES"/>
        </w:rPr>
        <w:t xml:space="preserve"> El presente Decreto entrará en vigor al día siguiente de su publicación en el Periódico Oficial de Gobierno del Estado. </w:t>
      </w:r>
    </w:p>
    <w:p w:rsidR="00CD3FDA" w:rsidRPr="00CD3FDA" w:rsidRDefault="00CD3FDA" w:rsidP="00CD3FDA">
      <w:pPr>
        <w:spacing w:line="360" w:lineRule="auto"/>
        <w:rPr>
          <w:rFonts w:eastAsia="Times New Roman" w:cs="Arial"/>
          <w:lang w:eastAsia="es-ES"/>
        </w:rPr>
      </w:pPr>
    </w:p>
    <w:p w:rsidR="00CD3FDA" w:rsidRPr="00CD3FDA" w:rsidRDefault="00CD3FDA" w:rsidP="00CD3FDA">
      <w:pPr>
        <w:spacing w:line="360" w:lineRule="auto"/>
        <w:rPr>
          <w:rFonts w:eastAsia="Times New Roman" w:cs="Arial"/>
          <w:lang w:eastAsia="es-ES"/>
        </w:rPr>
      </w:pPr>
      <w:r w:rsidRPr="00CD3FDA">
        <w:rPr>
          <w:rFonts w:eastAsia="Times New Roman" w:cs="Arial"/>
          <w:b/>
          <w:lang w:eastAsia="es-ES"/>
        </w:rPr>
        <w:t>SEGUNDO.-</w:t>
      </w:r>
      <w:r w:rsidRPr="00CD3FDA">
        <w:rPr>
          <w:rFonts w:eastAsia="Times New Roman" w:cs="Arial"/>
          <w:lang w:eastAsia="es-ES"/>
        </w:rPr>
        <w:t xml:space="preserve"> Se derogan todas las disposiciones legales que se opongan al presente Decreto.</w:t>
      </w:r>
    </w:p>
    <w:p w:rsidR="00CD3FDA" w:rsidRPr="00CD3FDA" w:rsidRDefault="00CD3FDA" w:rsidP="00CD3FDA">
      <w:pPr>
        <w:spacing w:line="360" w:lineRule="auto"/>
        <w:rPr>
          <w:rFonts w:eastAsia="Times New Roman" w:cs="Arial"/>
          <w:lang w:eastAsia="es-ES"/>
        </w:rPr>
      </w:pPr>
    </w:p>
    <w:p w:rsidR="00CD3FDA" w:rsidRPr="00CD3FDA" w:rsidRDefault="00CD3FDA" w:rsidP="00CD3FDA">
      <w:pPr>
        <w:autoSpaceDE w:val="0"/>
        <w:autoSpaceDN w:val="0"/>
        <w:adjustRightInd w:val="0"/>
        <w:spacing w:line="360" w:lineRule="auto"/>
        <w:rPr>
          <w:rFonts w:eastAsia="Calibri" w:cs="Arial"/>
          <w:color w:val="000000"/>
          <w:lang w:eastAsia="es-ES"/>
        </w:rPr>
      </w:pPr>
      <w:r w:rsidRPr="00CD3FDA">
        <w:rPr>
          <w:rFonts w:eastAsia="Calibri" w:cs="Arial"/>
          <w:color w:val="000000"/>
          <w:lang w:eastAsia="es-ES"/>
        </w:rPr>
        <w:t xml:space="preserve">Así lo acuerdan las Diputadas y Diputados integrantes de la </w:t>
      </w:r>
      <w:r w:rsidRPr="00CD3FDA">
        <w:rPr>
          <w:rFonts w:eastAsia="Times New Roman" w:cs="Arial"/>
          <w:lang w:eastAsia="es-ES"/>
        </w:rPr>
        <w:t xml:space="preserve">Comisión de Gobernación, Puntos Constitucionales y Justicia, </w:t>
      </w:r>
      <w:r w:rsidRPr="00CD3FDA">
        <w:rPr>
          <w:rFonts w:eastAsia="Calibri" w:cs="Arial"/>
          <w:color w:val="000000"/>
          <w:lang w:eastAsia="es-ES"/>
        </w:rPr>
        <w:t xml:space="preserve">de la Sexagésima Segunda Legislatura del Congreso del Estado Independiente, Libre y Soberano de Coahuila de Zaragoza, </w:t>
      </w:r>
      <w:r w:rsidRPr="00CD3FDA">
        <w:rPr>
          <w:rFonts w:eastAsia="Times New Roman" w:cs="Arial"/>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CD3FDA">
        <w:rPr>
          <w:rFonts w:eastAsia="Calibri" w:cs="Arial"/>
          <w:color w:val="000000"/>
        </w:rPr>
        <w:t>.</w:t>
      </w:r>
      <w:r w:rsidRPr="00CD3FDA">
        <w:rPr>
          <w:rFonts w:eastAsia="Calibri" w:cs="Arial"/>
          <w:b/>
          <w:color w:val="000000"/>
        </w:rPr>
        <w:t xml:space="preserve"> </w:t>
      </w:r>
      <w:r w:rsidRPr="00CD3FDA">
        <w:rPr>
          <w:rFonts w:eastAsia="Calibri" w:cs="Arial"/>
          <w:color w:val="000000"/>
        </w:rPr>
        <w:t>En la Ciudad de Saltillo, Coahuila de Zaragoza</w:t>
      </w:r>
      <w:r w:rsidRPr="00CD3FDA">
        <w:rPr>
          <w:rFonts w:eastAsia="Calibri" w:cs="Arial"/>
          <w:color w:val="000000"/>
          <w:lang w:eastAsia="es-ES"/>
        </w:rPr>
        <w:t>, a 03 de mayo de 2021.</w:t>
      </w:r>
    </w:p>
    <w:p w:rsidR="00CD3FDA" w:rsidRDefault="00CD3FDA" w:rsidP="00CD3FDA">
      <w:pPr>
        <w:autoSpaceDE w:val="0"/>
        <w:autoSpaceDN w:val="0"/>
        <w:adjustRightInd w:val="0"/>
        <w:spacing w:line="360" w:lineRule="auto"/>
        <w:jc w:val="center"/>
        <w:rPr>
          <w:rFonts w:eastAsia="Calibri" w:cs="Arial"/>
          <w:b/>
          <w:color w:val="000000"/>
        </w:rPr>
      </w:pPr>
    </w:p>
    <w:p w:rsidR="00CD3FDA" w:rsidRPr="00CD3FDA" w:rsidRDefault="00CD3FDA" w:rsidP="00CD3FDA">
      <w:pPr>
        <w:autoSpaceDE w:val="0"/>
        <w:autoSpaceDN w:val="0"/>
        <w:adjustRightInd w:val="0"/>
        <w:spacing w:line="360" w:lineRule="auto"/>
        <w:jc w:val="center"/>
        <w:rPr>
          <w:rFonts w:eastAsia="Calibri" w:cs="Arial"/>
          <w:b/>
          <w:color w:val="000000"/>
        </w:rPr>
      </w:pPr>
      <w:r w:rsidRPr="00CD3FDA">
        <w:rPr>
          <w:rFonts w:eastAsia="Calibri" w:cs="Arial"/>
          <w:b/>
          <w:color w:val="000000"/>
        </w:rPr>
        <w:t>COMISIÓN DE GOBERNACIÓN, PUNTOS CONSTITUCIONALES Y JUSTICIA</w:t>
      </w:r>
    </w:p>
    <w:p w:rsidR="00CD3FDA" w:rsidRPr="00CD3FDA" w:rsidRDefault="00CD3FDA" w:rsidP="00CD3FDA">
      <w:pPr>
        <w:autoSpaceDE w:val="0"/>
        <w:autoSpaceDN w:val="0"/>
        <w:adjustRightInd w:val="0"/>
        <w:spacing w:line="360" w:lineRule="auto"/>
        <w:jc w:val="center"/>
        <w:rPr>
          <w:rFonts w:eastAsia="Calibri" w:cs="Arial"/>
          <w:b/>
          <w:color w:val="000000"/>
        </w:rPr>
      </w:pPr>
    </w:p>
    <w:tbl>
      <w:tblPr>
        <w:tblW w:w="9300" w:type="dxa"/>
        <w:jc w:val="center"/>
        <w:tblLayout w:type="fixed"/>
        <w:tblLook w:val="04A0" w:firstRow="1" w:lastRow="0" w:firstColumn="1" w:lastColumn="0" w:noHBand="0" w:noVBand="1"/>
      </w:tblPr>
      <w:tblGrid>
        <w:gridCol w:w="2782"/>
        <w:gridCol w:w="1276"/>
        <w:gridCol w:w="1417"/>
        <w:gridCol w:w="1845"/>
        <w:gridCol w:w="707"/>
        <w:gridCol w:w="1273"/>
      </w:tblGrid>
      <w:tr w:rsidR="00CD3FDA" w:rsidRPr="00CD3FDA" w:rsidTr="000A171D">
        <w:trPr>
          <w:jc w:val="center"/>
        </w:trPr>
        <w:tc>
          <w:tcPr>
            <w:tcW w:w="2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val="es-ES_tradnl" w:eastAsia="es-ES"/>
              </w:rPr>
            </w:pPr>
          </w:p>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NOMBRE Y FIRMA</w:t>
            </w:r>
          </w:p>
        </w:tc>
        <w:tc>
          <w:tcPr>
            <w:tcW w:w="45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val="es-ES_tradnl" w:eastAsia="es-ES"/>
              </w:rPr>
            </w:pPr>
          </w:p>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VOTO</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val="es-ES_tradnl" w:eastAsia="es-ES"/>
              </w:rPr>
            </w:pPr>
          </w:p>
          <w:p w:rsidR="00CD3FDA" w:rsidRPr="00CD3FDA" w:rsidRDefault="00CD3FDA" w:rsidP="00CD3FDA">
            <w:pPr>
              <w:jc w:val="center"/>
              <w:rPr>
                <w:rFonts w:eastAsia="MS Mincho" w:cs="Arial"/>
                <w:b/>
                <w:bCs/>
                <w:color w:val="000000"/>
                <w:lang w:val="es-ES_tradnl" w:eastAsia="es-ES"/>
              </w:rPr>
            </w:pPr>
            <w:r w:rsidRPr="00CD3FDA">
              <w:rPr>
                <w:rFonts w:eastAsia="MS Mincho" w:cs="Arial"/>
                <w:b/>
                <w:bCs/>
                <w:color w:val="000000"/>
                <w:lang w:val="es-ES_tradnl" w:eastAsia="es-ES"/>
              </w:rPr>
              <w:t>RESERVA DE ARTÍCULOS</w:t>
            </w:r>
          </w:p>
          <w:p w:rsidR="00CD3FDA" w:rsidRPr="00CD3FDA" w:rsidRDefault="00CD3FDA" w:rsidP="00CD3FDA">
            <w:pPr>
              <w:jc w:val="center"/>
              <w:rPr>
                <w:rFonts w:eastAsia="MS Mincho" w:cs="Arial"/>
                <w:lang w:val="es-ES_tradnl" w:eastAsia="es-ES"/>
              </w:rPr>
            </w:pPr>
          </w:p>
        </w:tc>
      </w:tr>
      <w:tr w:rsidR="00CD3FDA" w:rsidRPr="00CD3FDA" w:rsidTr="000A171D">
        <w:trPr>
          <w:trHeight w:val="261"/>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 RICARDO LÓPEZ CAMPOS (COORDINADOR)</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278"/>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lang w:val="es-ES_tradnl" w:eastAsia="es-ES"/>
              </w:rPr>
            </w:pPr>
            <w:r w:rsidRPr="00CD3FDA">
              <w:rPr>
                <w:rFonts w:eastAsia="MS Mincho" w:cs="Arial"/>
                <w:b/>
                <w:bCs/>
                <w:color w:val="000000"/>
                <w:lang w:val="es-ES_tradnl" w:eastAsia="es-ES"/>
              </w:rPr>
              <w:t>DIP. LUZ ELENA GUADALUPE MORALES NÚÑEZ</w:t>
            </w:r>
          </w:p>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(SECRETARIA)</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1088"/>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261"/>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lastRenderedPageBreak/>
              <w:t>DIP. OLIVIA MARTÍNEZ LEYVA</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90"/>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DIP.MARÍA GUADALUPE OYERVIDES VALDEZ</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1240"/>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225"/>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 MARÍA BÁRBARA CEPEDA BOEHRINGER</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249"/>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 RODOLFO GERARDO WALSS AURIOLES</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lastRenderedPageBreak/>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84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rPr>
                <w:rFonts w:eastAsia="MS Mincho" w:cs="Arial"/>
                <w:lang w:val="es-ES_tradnl" w:eastAsia="es-ES"/>
              </w:rPr>
            </w:pPr>
          </w:p>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left"/>
              <w:rPr>
                <w:rFonts w:eastAsia="Times New Roman" w:cs="Arial"/>
                <w:lang w:eastAsia="es-MX"/>
              </w:rPr>
            </w:pPr>
          </w:p>
        </w:tc>
      </w:tr>
      <w:tr w:rsidR="00CD3FDA" w:rsidRPr="00CD3FDA" w:rsidTr="000A171D">
        <w:trPr>
          <w:trHeight w:val="261"/>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lastRenderedPageBreak/>
              <w:t xml:space="preserve">DIP. YOLANDA ELIZONDO MALTOS </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845"/>
          <w:jc w:val="center"/>
        </w:trPr>
        <w:tc>
          <w:tcPr>
            <w:tcW w:w="2782" w:type="dxa"/>
            <w:vMerge/>
            <w:tcBorders>
              <w:left w:val="single" w:sz="4" w:space="0" w:color="000000"/>
              <w:bottom w:val="single" w:sz="4" w:space="0" w:color="000000"/>
              <w:right w:val="single" w:sz="4" w:space="0" w:color="000000"/>
            </w:tcBorders>
            <w:vAlign w:val="center"/>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r>
      <w:tr w:rsidR="00CD3FDA" w:rsidRPr="00CD3FDA" w:rsidTr="000A171D">
        <w:trPr>
          <w:trHeight w:val="645"/>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 CLAUDIA ELVIRA RODRÍGUEZ MÁRQUEZ</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845"/>
          <w:jc w:val="center"/>
        </w:trPr>
        <w:tc>
          <w:tcPr>
            <w:tcW w:w="2782" w:type="dxa"/>
            <w:vMerge/>
            <w:tcBorders>
              <w:left w:val="single" w:sz="4" w:space="0" w:color="000000"/>
              <w:bottom w:val="single" w:sz="4" w:space="0" w:color="000000"/>
              <w:right w:val="single" w:sz="4" w:space="0" w:color="000000"/>
            </w:tcBorders>
            <w:vAlign w:val="center"/>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r>
      <w:tr w:rsidR="00CD3FDA" w:rsidRPr="00CD3FDA" w:rsidTr="000A171D">
        <w:trPr>
          <w:trHeight w:val="261"/>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MS Mincho" w:cs="Arial"/>
                <w:b/>
                <w:bCs/>
                <w:color w:val="000000"/>
                <w:lang w:val="es-ES_tradnl" w:eastAsia="es-ES"/>
              </w:rPr>
            </w:pPr>
            <w:r w:rsidRPr="00CD3FDA">
              <w:rPr>
                <w:rFonts w:eastAsia="MS Mincho" w:cs="Arial"/>
                <w:b/>
                <w:bCs/>
                <w:color w:val="000000"/>
                <w:lang w:val="es-ES_tradnl" w:eastAsia="es-ES"/>
              </w:rPr>
              <w:t>DIP. LIZBETH OGAZÓN NAVA</w:t>
            </w: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b/>
                <w:bCs/>
                <w:color w:val="000000"/>
                <w:lang w:val="es-ES_tradnl" w:eastAsia="es-ES"/>
              </w:rPr>
            </w:pPr>
          </w:p>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CD3FDA" w:rsidRPr="00CD3FDA" w:rsidRDefault="00CD3FDA" w:rsidP="00CD3FDA">
            <w:pPr>
              <w:jc w:val="center"/>
              <w:rPr>
                <w:rFonts w:eastAsia="MS Mincho" w:cs="Arial"/>
                <w:lang w:val="es-ES_tradnl" w:eastAsia="es-ES"/>
              </w:rPr>
            </w:pPr>
            <w:r w:rsidRPr="00CD3FDA">
              <w:rPr>
                <w:rFonts w:eastAsia="MS Mincho" w:cs="Arial"/>
                <w:b/>
                <w:bCs/>
                <w:color w:val="000000"/>
                <w:lang w:val="es-ES_tradnl" w:eastAsia="es-ES"/>
              </w:rPr>
              <w:t>CUALES</w:t>
            </w:r>
          </w:p>
        </w:tc>
      </w:tr>
      <w:tr w:rsidR="00CD3FDA" w:rsidRPr="00CD3FDA" w:rsidTr="000A171D">
        <w:trPr>
          <w:trHeight w:val="845"/>
          <w:jc w:val="center"/>
        </w:trPr>
        <w:tc>
          <w:tcPr>
            <w:tcW w:w="2782" w:type="dxa"/>
            <w:vMerge/>
            <w:tcBorders>
              <w:left w:val="single" w:sz="4" w:space="0" w:color="000000"/>
              <w:bottom w:val="single" w:sz="4" w:space="0" w:color="000000"/>
              <w:right w:val="single" w:sz="4" w:space="0" w:color="000000"/>
            </w:tcBorders>
            <w:vAlign w:val="center"/>
          </w:tcPr>
          <w:p w:rsidR="00CD3FDA" w:rsidRPr="00CD3FDA" w:rsidRDefault="00CD3FDA" w:rsidP="00CD3FDA">
            <w:pPr>
              <w:jc w:val="left"/>
              <w:rPr>
                <w:rFonts w:eastAsia="MS Mincho" w:cs="Arial"/>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rPr>
                <w:rFonts w:eastAsia="MS Mincho" w:cs="Arial"/>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D3FDA" w:rsidRPr="00CD3FDA" w:rsidRDefault="00CD3FDA" w:rsidP="00CD3FDA">
            <w:pPr>
              <w:jc w:val="left"/>
              <w:rPr>
                <w:rFonts w:eastAsia="Times New Roman" w:cs="Arial"/>
                <w:lang w:eastAsia="es-MX"/>
              </w:rPr>
            </w:pPr>
          </w:p>
        </w:tc>
      </w:tr>
    </w:tbl>
    <w:p w:rsidR="00CD3FDA" w:rsidRPr="00CD3FDA" w:rsidRDefault="00CD3FDA" w:rsidP="00CD3FDA">
      <w:pPr>
        <w:spacing w:after="160" w:line="360" w:lineRule="auto"/>
        <w:ind w:right="-518"/>
        <w:rPr>
          <w:rFonts w:eastAsia="Calibri" w:cs="Arial"/>
          <w:b/>
        </w:rPr>
      </w:pPr>
    </w:p>
    <w:p w:rsidR="000A171D" w:rsidRDefault="000A171D">
      <w:pPr>
        <w:spacing w:after="160" w:line="259" w:lineRule="auto"/>
        <w:jc w:val="left"/>
        <w:rPr>
          <w:sz w:val="26"/>
          <w:szCs w:val="26"/>
        </w:rPr>
        <w:sectPr w:rsidR="000A171D" w:rsidSect="007D0402">
          <w:headerReference w:type="default" r:id="rId8"/>
          <w:footnotePr>
            <w:numRestart w:val="eachSect"/>
          </w:footnotePr>
          <w:pgSz w:w="12242" w:h="15842" w:code="1"/>
          <w:pgMar w:top="1418" w:right="1418" w:bottom="1418" w:left="1418" w:header="567" w:footer="567" w:gutter="0"/>
          <w:cols w:space="708"/>
          <w:docGrid w:linePitch="360"/>
        </w:sectPr>
      </w:pPr>
    </w:p>
    <w:p w:rsidR="00CD3FDA" w:rsidRDefault="00CD3FDA">
      <w:pPr>
        <w:spacing w:after="160" w:line="259" w:lineRule="auto"/>
        <w:jc w:val="left"/>
        <w:rPr>
          <w:sz w:val="26"/>
          <w:szCs w:val="26"/>
        </w:rPr>
      </w:pPr>
    </w:p>
    <w:p w:rsidR="0006583A" w:rsidRPr="0006583A" w:rsidRDefault="0006583A" w:rsidP="0006583A">
      <w:pPr>
        <w:autoSpaceDE w:val="0"/>
        <w:autoSpaceDN w:val="0"/>
        <w:adjustRightInd w:val="0"/>
        <w:spacing w:line="360" w:lineRule="auto"/>
        <w:rPr>
          <w:rFonts w:eastAsia="Calibri" w:cs="Arial"/>
          <w:color w:val="000000"/>
          <w:lang w:eastAsia="es-ES"/>
        </w:rPr>
      </w:pPr>
      <w:r w:rsidRPr="0006583A">
        <w:rPr>
          <w:rFonts w:eastAsia="Calibri" w:cs="Arial"/>
          <w:b/>
          <w:color w:val="000000"/>
          <w:lang w:eastAsia="es-ES"/>
        </w:rPr>
        <w:t>DICTAMEN</w:t>
      </w:r>
      <w:r w:rsidRPr="0006583A">
        <w:rPr>
          <w:rFonts w:eastAsia="Calibri" w:cs="Arial"/>
          <w:color w:val="000000"/>
          <w:lang w:eastAsia="es-ES"/>
        </w:rPr>
        <w:t xml:space="preserve"> de la Comisión de Gobernación, Puntos Constitucionales y Justicia, relativo a la </w:t>
      </w:r>
      <w:r w:rsidRPr="0006583A">
        <w:rPr>
          <w:rFonts w:eastAsia="Times New Roman" w:cs="Arial"/>
          <w:color w:val="000000"/>
          <w:lang w:eastAsia="es-ES"/>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06583A">
        <w:rPr>
          <w:rFonts w:eastAsia="Calibri" w:cs="Arial"/>
          <w:color w:val="000000"/>
          <w:lang w:eastAsia="es-ES"/>
        </w:rPr>
        <w:t>.</w:t>
      </w:r>
    </w:p>
    <w:p w:rsidR="0006583A" w:rsidRPr="0006583A" w:rsidRDefault="0006583A" w:rsidP="0006583A">
      <w:pPr>
        <w:autoSpaceDE w:val="0"/>
        <w:autoSpaceDN w:val="0"/>
        <w:adjustRightInd w:val="0"/>
        <w:spacing w:line="360" w:lineRule="auto"/>
        <w:rPr>
          <w:rFonts w:eastAsia="Calibri" w:cs="Arial"/>
          <w:color w:val="000000"/>
          <w:lang w:eastAsia="es-ES"/>
        </w:rPr>
      </w:pPr>
    </w:p>
    <w:p w:rsidR="0006583A" w:rsidRPr="0006583A" w:rsidRDefault="0006583A" w:rsidP="0006583A">
      <w:pPr>
        <w:spacing w:line="360" w:lineRule="auto"/>
        <w:jc w:val="center"/>
        <w:rPr>
          <w:rFonts w:eastAsia="Times New Roman" w:cs="Arial"/>
          <w:b/>
          <w:lang w:eastAsia="es-ES"/>
        </w:rPr>
      </w:pPr>
      <w:r w:rsidRPr="0006583A">
        <w:rPr>
          <w:rFonts w:eastAsia="Times New Roman" w:cs="Arial"/>
          <w:b/>
          <w:lang w:eastAsia="es-ES"/>
        </w:rPr>
        <w:t>R E S U L T A N D O</w:t>
      </w:r>
    </w:p>
    <w:p w:rsidR="0006583A" w:rsidRPr="0006583A" w:rsidRDefault="0006583A" w:rsidP="0006583A">
      <w:pPr>
        <w:spacing w:line="360" w:lineRule="auto"/>
        <w:rPr>
          <w:rFonts w:eastAsia="Times New Roman" w:cs="Times New Roman"/>
          <w:lang w:eastAsia="es-ES"/>
        </w:rPr>
      </w:pPr>
    </w:p>
    <w:p w:rsidR="0006583A" w:rsidRPr="0006583A" w:rsidRDefault="0006583A" w:rsidP="0006583A">
      <w:pPr>
        <w:spacing w:line="360" w:lineRule="auto"/>
        <w:rPr>
          <w:rFonts w:eastAsia="Times New Roman" w:cs="Arial"/>
          <w:lang w:eastAsia="es-ES"/>
        </w:rPr>
      </w:pPr>
      <w:r w:rsidRPr="0006583A">
        <w:rPr>
          <w:rFonts w:eastAsia="Times New Roman" w:cs="Arial"/>
          <w:b/>
          <w:lang w:eastAsia="es-ES"/>
        </w:rPr>
        <w:t xml:space="preserve">PRIMERO.- </w:t>
      </w:r>
      <w:r w:rsidRPr="0006583A">
        <w:rPr>
          <w:rFonts w:eastAsia="Times New Roman" w:cs="Arial"/>
          <w:lang w:eastAsia="es-ES"/>
        </w:rPr>
        <w:t>Que en sesión celebrada por el Pleno del Congreso el día 29 del mes de marzo del presente año, se acordó turnar a esta Comisión de Gobernación, Puntos Constitucionales y Justicia, la iniciativa a que se ha hecho referencia.</w:t>
      </w:r>
    </w:p>
    <w:p w:rsidR="0006583A" w:rsidRPr="0006583A" w:rsidRDefault="0006583A" w:rsidP="0006583A">
      <w:pPr>
        <w:spacing w:after="200" w:line="360" w:lineRule="auto"/>
        <w:rPr>
          <w:rFonts w:eastAsia="Times New Roman" w:cs="Times New Roman"/>
          <w:lang w:eastAsia="es-ES"/>
        </w:rPr>
      </w:pPr>
    </w:p>
    <w:p w:rsidR="0006583A" w:rsidRPr="0006583A" w:rsidRDefault="0006583A" w:rsidP="0006583A">
      <w:pPr>
        <w:spacing w:line="360" w:lineRule="auto"/>
        <w:rPr>
          <w:rFonts w:eastAsia="Times New Roman" w:cs="Arial"/>
          <w:lang w:eastAsia="es-ES"/>
        </w:rPr>
      </w:pPr>
      <w:r w:rsidRPr="0006583A">
        <w:rPr>
          <w:rFonts w:eastAsia="Times New Roman" w:cs="Arial"/>
          <w:b/>
          <w:lang w:eastAsia="es-ES"/>
        </w:rPr>
        <w:t xml:space="preserve">SEGUNDO.- </w:t>
      </w:r>
      <w:r w:rsidRPr="0006583A">
        <w:rPr>
          <w:rFonts w:eastAsia="Times New Roman" w:cs="Arial"/>
          <w:lang w:eastAsia="es-ES"/>
        </w:rPr>
        <w:t xml:space="preserve">Que en cumplimiento de dicho acuerdo, en fecha 07 de abril de 2021 se turnó a esta Comisión de Gobernación, Puntos Constitucionales y Justicia, la </w:t>
      </w:r>
      <w:r w:rsidRPr="0006583A">
        <w:rPr>
          <w:rFonts w:eastAsia="Times New Roman" w:cs="Arial"/>
          <w:color w:val="000000"/>
          <w:lang w:eastAsia="es-ES"/>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06583A">
        <w:rPr>
          <w:rFonts w:eastAsia="Times New Roman" w:cs="Arial"/>
          <w:lang w:eastAsia="es-ES"/>
        </w:rPr>
        <w:t xml:space="preserve">  </w:t>
      </w:r>
    </w:p>
    <w:p w:rsidR="0006583A" w:rsidRPr="0006583A" w:rsidRDefault="0006583A" w:rsidP="0006583A">
      <w:pPr>
        <w:spacing w:line="360" w:lineRule="auto"/>
        <w:jc w:val="center"/>
        <w:rPr>
          <w:rFonts w:eastAsia="Times New Roman" w:cs="Arial"/>
          <w:b/>
          <w:lang w:eastAsia="es-ES"/>
        </w:rPr>
      </w:pPr>
    </w:p>
    <w:p w:rsidR="0006583A" w:rsidRPr="0006583A" w:rsidRDefault="0006583A" w:rsidP="0006583A">
      <w:pPr>
        <w:spacing w:line="360" w:lineRule="auto"/>
        <w:jc w:val="center"/>
        <w:rPr>
          <w:rFonts w:eastAsia="Times New Roman" w:cs="Arial"/>
          <w:b/>
          <w:lang w:eastAsia="es-ES"/>
        </w:rPr>
      </w:pPr>
      <w:r w:rsidRPr="0006583A">
        <w:rPr>
          <w:rFonts w:eastAsia="Times New Roman" w:cs="Arial"/>
          <w:b/>
          <w:lang w:eastAsia="es-ES"/>
        </w:rPr>
        <w:t>C O N S I D E R A N D O</w:t>
      </w:r>
    </w:p>
    <w:p w:rsidR="0006583A" w:rsidRPr="0006583A" w:rsidRDefault="0006583A" w:rsidP="0006583A">
      <w:pPr>
        <w:spacing w:after="200" w:line="360" w:lineRule="auto"/>
        <w:rPr>
          <w:rFonts w:eastAsia="Times New Roman" w:cs="Times New Roman"/>
          <w:lang w:eastAsia="es-ES"/>
        </w:rPr>
      </w:pPr>
    </w:p>
    <w:p w:rsidR="0006583A" w:rsidRPr="0006583A" w:rsidRDefault="0006583A" w:rsidP="0006583A">
      <w:pPr>
        <w:spacing w:line="360" w:lineRule="auto"/>
        <w:rPr>
          <w:rFonts w:eastAsia="Times New Roman" w:cs="Arial"/>
          <w:lang w:eastAsia="es-ES"/>
        </w:rPr>
      </w:pPr>
      <w:r w:rsidRPr="0006583A">
        <w:rPr>
          <w:rFonts w:eastAsia="Times New Roman" w:cs="Arial"/>
          <w:b/>
          <w:lang w:eastAsia="es-ES"/>
        </w:rPr>
        <w:lastRenderedPageBreak/>
        <w:t xml:space="preserve">PRIMERO.- </w:t>
      </w:r>
      <w:r w:rsidRPr="0006583A">
        <w:rPr>
          <w:rFonts w:eastAsia="Times New Roman" w:cs="Arial"/>
          <w:lang w:eastAsia="es-ES"/>
        </w:rPr>
        <w:t>Que esta Comisión, con fundamento en los artículos 90, 116, 117 y demás relativos de la Ley Orgánica del Congreso del Estado Independiente, Libre y Soberano de Coahuila de Zaragoza, es competente para emitir el presente Dictamen.</w:t>
      </w:r>
    </w:p>
    <w:p w:rsidR="0006583A" w:rsidRPr="0006583A" w:rsidRDefault="0006583A" w:rsidP="0006583A">
      <w:pPr>
        <w:spacing w:after="200" w:line="360" w:lineRule="auto"/>
        <w:rPr>
          <w:rFonts w:eastAsia="Times New Roman" w:cs="Times New Roman"/>
          <w:lang w:eastAsia="es-ES"/>
        </w:rPr>
      </w:pPr>
    </w:p>
    <w:p w:rsidR="0006583A" w:rsidRPr="0006583A" w:rsidRDefault="0006583A" w:rsidP="0006583A">
      <w:pPr>
        <w:spacing w:line="360" w:lineRule="auto"/>
        <w:rPr>
          <w:rFonts w:eastAsia="Times New Roman" w:cs="Arial"/>
          <w:lang w:eastAsia="es-ES"/>
        </w:rPr>
      </w:pPr>
      <w:r w:rsidRPr="0006583A">
        <w:rPr>
          <w:rFonts w:eastAsia="Times New Roman" w:cs="Arial"/>
          <w:b/>
          <w:lang w:eastAsia="es-ES"/>
        </w:rPr>
        <w:t xml:space="preserve">SEGUNDO.- </w:t>
      </w:r>
      <w:r w:rsidRPr="0006583A">
        <w:rPr>
          <w:rFonts w:eastAsia="Times New Roman" w:cs="Arial"/>
          <w:lang w:eastAsia="es-ES"/>
        </w:rPr>
        <w:t xml:space="preserve">Que la </w:t>
      </w:r>
      <w:r w:rsidRPr="0006583A">
        <w:rPr>
          <w:rFonts w:eastAsia="Times New Roman" w:cs="Arial"/>
          <w:color w:val="000000"/>
          <w:lang w:eastAsia="es-ES"/>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06583A">
        <w:rPr>
          <w:rFonts w:eastAsia="Calibri" w:cs="Arial"/>
          <w:color w:val="000000"/>
          <w:lang w:eastAsia="es-ES"/>
        </w:rPr>
        <w:t xml:space="preserve">, </w:t>
      </w:r>
      <w:r w:rsidRPr="0006583A">
        <w:rPr>
          <w:rFonts w:eastAsia="Times New Roman" w:cs="Arial"/>
          <w:lang w:eastAsia="es-ES"/>
        </w:rPr>
        <w:t xml:space="preserve">se basa entre otras en las consideraciones siguientes:  </w:t>
      </w:r>
    </w:p>
    <w:p w:rsidR="0006583A" w:rsidRPr="0006583A" w:rsidRDefault="0006583A" w:rsidP="0006583A">
      <w:pPr>
        <w:spacing w:after="200" w:line="360" w:lineRule="auto"/>
        <w:rPr>
          <w:rFonts w:eastAsia="Times New Roman" w:cs="Times New Roman"/>
          <w:lang w:eastAsia="es-ES"/>
        </w:rPr>
      </w:pPr>
    </w:p>
    <w:p w:rsidR="0006583A" w:rsidRPr="0006583A" w:rsidRDefault="0006583A" w:rsidP="0006583A">
      <w:pPr>
        <w:spacing w:line="360" w:lineRule="auto"/>
        <w:jc w:val="center"/>
        <w:rPr>
          <w:rFonts w:eastAsia="Times New Roman" w:cs="Arial"/>
          <w:b/>
          <w:lang w:eastAsia="es-ES"/>
        </w:rPr>
      </w:pPr>
      <w:r w:rsidRPr="0006583A">
        <w:rPr>
          <w:rFonts w:eastAsia="Times New Roman" w:cs="Arial"/>
          <w:b/>
          <w:lang w:eastAsia="es-ES"/>
        </w:rPr>
        <w:t>E X P O S I C I Ó N   D E   M O T I V O S</w:t>
      </w:r>
    </w:p>
    <w:p w:rsidR="0006583A" w:rsidRPr="0006583A" w:rsidRDefault="0006583A" w:rsidP="0006583A">
      <w:pPr>
        <w:spacing w:after="200" w:line="360" w:lineRule="auto"/>
        <w:rPr>
          <w:rFonts w:eastAsia="Times New Roman" w:cs="Times New Roman"/>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“En la legislación federal y local, la participación ciudadana se encuentra incluida de modo enunciativo. La Carta Magna de México señala en la fracción II de su artículo 115 que:</w:t>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833" w:right="901"/>
        <w:rPr>
          <w:rFonts w:eastAsia="Times New Roman" w:cs="Arial"/>
          <w:b/>
          <w:i/>
          <w:lang w:eastAsia="es-ES"/>
        </w:rPr>
      </w:pPr>
      <w:r w:rsidRPr="0006583A">
        <w:rPr>
          <w:rFonts w:eastAsia="Times New Roman" w:cs="Arial"/>
          <w:i/>
          <w:lang w:eastAsia="es-ES"/>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Pr="0006583A">
        <w:rPr>
          <w:rFonts w:eastAsia="Times New Roman" w:cs="Arial"/>
          <w:b/>
          <w:i/>
          <w:lang w:eastAsia="es-ES"/>
        </w:rPr>
        <w:t>y aseguren la participación ciudadana y vecinal.</w:t>
      </w:r>
    </w:p>
    <w:p w:rsidR="0006583A" w:rsidRPr="0006583A" w:rsidRDefault="0006583A" w:rsidP="0006583A">
      <w:pPr>
        <w:spacing w:line="360" w:lineRule="auto"/>
        <w:rPr>
          <w:rFonts w:eastAsia="Times New Roman" w:cs="Arial"/>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lastRenderedPageBreak/>
        <w:t>Así mismo, la Constitución Política del Estado de Coahuila de Zaragoza en el quinto párrafo del artículo 8º establece que:</w:t>
      </w:r>
    </w:p>
    <w:p w:rsidR="0006583A" w:rsidRPr="0006583A" w:rsidRDefault="0006583A" w:rsidP="0006583A">
      <w:pPr>
        <w:spacing w:line="360" w:lineRule="auto"/>
        <w:ind w:left="708"/>
        <w:rPr>
          <w:rFonts w:eastAsia="Times New Roman" w:cs="Arial"/>
          <w:i/>
          <w:lang w:eastAsia="es-ES"/>
        </w:rPr>
      </w:pPr>
      <w:r w:rsidRPr="0006583A">
        <w:rPr>
          <w:rFonts w:eastAsia="Times New Roman" w:cs="Arial"/>
          <w:i/>
          <w:lang w:eastAsia="es-ES"/>
        </w:rPr>
        <w:t xml:space="preserve">La ley establecerá las formas, términos y procedimientos de </w:t>
      </w:r>
      <w:bookmarkStart w:id="4" w:name="_Hlk65585946"/>
      <w:r w:rsidRPr="0006583A">
        <w:rPr>
          <w:rFonts w:eastAsia="Times New Roman" w:cs="Arial"/>
          <w:i/>
          <w:lang w:eastAsia="es-ES"/>
        </w:rPr>
        <w:t xml:space="preserve">los instrumentos de </w:t>
      </w:r>
      <w:r w:rsidRPr="0006583A">
        <w:rPr>
          <w:rFonts w:eastAsia="Times New Roman" w:cs="Arial"/>
          <w:b/>
          <w:i/>
          <w:lang w:eastAsia="es-ES"/>
        </w:rPr>
        <w:t>participación ciudadana y comunitaria</w:t>
      </w:r>
      <w:r w:rsidRPr="0006583A">
        <w:rPr>
          <w:rFonts w:eastAsia="Times New Roman" w:cs="Arial"/>
          <w:i/>
          <w:lang w:eastAsia="es-ES"/>
        </w:rPr>
        <w:t>, para garantizar el derecho a participar en la vida pública del estado y de los municipios.</w:t>
      </w:r>
      <w:bookmarkEnd w:id="4"/>
    </w:p>
    <w:p w:rsidR="0006583A" w:rsidRPr="0006583A" w:rsidRDefault="0006583A" w:rsidP="0006583A">
      <w:pPr>
        <w:spacing w:line="360" w:lineRule="auto"/>
        <w:rPr>
          <w:rFonts w:eastAsia="Times New Roman" w:cs="Arial"/>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Y en la misma constitución local, en la fracción III del Artículo 19 establece que son derechos de los ciudadanos coahuilenses:</w:t>
      </w:r>
    </w:p>
    <w:p w:rsidR="0006583A" w:rsidRPr="0006583A" w:rsidRDefault="0006583A" w:rsidP="0006583A">
      <w:pPr>
        <w:spacing w:line="360" w:lineRule="auto"/>
        <w:ind w:left="708" w:right="1184"/>
        <w:rPr>
          <w:rFonts w:eastAsia="Times New Roman" w:cs="Arial"/>
          <w:i/>
          <w:lang w:eastAsia="es-ES"/>
        </w:rPr>
      </w:pPr>
      <w:r w:rsidRPr="0006583A">
        <w:rPr>
          <w:rFonts w:eastAsia="Times New Roman" w:cs="Arial"/>
          <w:i/>
          <w:lang w:eastAsia="es-ES"/>
        </w:rPr>
        <w:t xml:space="preserve">Fomentar, promover y ejercer los instrumentos </w:t>
      </w:r>
      <w:r w:rsidRPr="0006583A">
        <w:rPr>
          <w:rFonts w:eastAsia="Times New Roman" w:cs="Arial"/>
          <w:b/>
          <w:i/>
          <w:lang w:eastAsia="es-ES"/>
        </w:rPr>
        <w:t>de participación ciudadana y comunitaria</w:t>
      </w:r>
      <w:r w:rsidRPr="0006583A">
        <w:rPr>
          <w:rFonts w:eastAsia="Times New Roman" w:cs="Arial"/>
          <w:i/>
          <w:lang w:eastAsia="es-ES"/>
        </w:rPr>
        <w:t xml:space="preserve"> conforme lo establezca la ley.</w:t>
      </w:r>
    </w:p>
    <w:p w:rsidR="0006583A" w:rsidRPr="0006583A" w:rsidRDefault="0006583A" w:rsidP="0006583A">
      <w:pPr>
        <w:spacing w:line="360" w:lineRule="auto"/>
        <w:rPr>
          <w:rFonts w:eastAsia="Times New Roman" w:cs="Arial"/>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Finalmente, en el punto 5 de la fracción VIII del artículo 158-U en materia de participación ciudadana y vecinal, se precisa que los Ayuntamientos tendrán las competencias, facultades y obligaciones las de:</w:t>
      </w:r>
    </w:p>
    <w:p w:rsidR="0006583A" w:rsidRPr="0006583A" w:rsidRDefault="0006583A" w:rsidP="0006583A">
      <w:pPr>
        <w:spacing w:line="360" w:lineRule="auto"/>
        <w:ind w:left="708" w:right="1184"/>
        <w:rPr>
          <w:rFonts w:eastAsia="Times New Roman" w:cs="Arial"/>
          <w:i/>
          <w:lang w:eastAsia="es-ES"/>
        </w:rPr>
      </w:pPr>
      <w:bookmarkStart w:id="5" w:name="_Hlk65586070"/>
      <w:r w:rsidRPr="0006583A">
        <w:rPr>
          <w:rFonts w:eastAsia="Times New Roman" w:cs="Arial"/>
          <w:i/>
          <w:lang w:eastAsia="es-ES"/>
        </w:rPr>
        <w:t xml:space="preserve">Establecer e instrumentar mecanismos efectivos, funcionales y democráticos de </w:t>
      </w:r>
      <w:r w:rsidRPr="0006583A">
        <w:rPr>
          <w:rFonts w:eastAsia="Times New Roman" w:cs="Arial"/>
          <w:b/>
          <w:i/>
          <w:lang w:eastAsia="es-ES"/>
        </w:rPr>
        <w:t>participación comunitaria directa</w:t>
      </w:r>
      <w:r w:rsidRPr="0006583A">
        <w:rPr>
          <w:rFonts w:eastAsia="Times New Roman" w:cs="Arial"/>
          <w:i/>
          <w:lang w:eastAsia="es-ES"/>
        </w:rPr>
        <w:t xml:space="preserve"> para la toma de decisiones fundamentales hacia el interior del gobierno municipal</w:t>
      </w:r>
      <w:bookmarkEnd w:id="5"/>
      <w:r w:rsidRPr="0006583A">
        <w:rPr>
          <w:rFonts w:eastAsia="Times New Roman" w:cs="Arial"/>
          <w:i/>
          <w:lang w:eastAsia="es-ES"/>
        </w:rPr>
        <w:t>.</w:t>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Coahuila cuenta con dos leyes que procuran la participación ciudadana y las actividades de los organismos no gubernamentales. En la Ley de Participación Ciudadana para el Estado de Coahuila de Zaragoza uno de sus principales objetivos es el de fomentar, promover y salvaguardar el derecho de los ciudadanos y habitantes coahuilenses, para participar en la vida pública. Así mismo, en la Ley de Instituciones y Asociaciones de Beneficencia Privada para el Estado de Coahuila de Zaragoza se señala que el Estado estimulará la actividad de los particulares encaminada a fomentar el sentido de apoyo y solidaridad en la comunidad hacia los grupos sociales vulnerables.</w:t>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lastRenderedPageBreak/>
        <w:t>“Para este Republicano Ayuntamiento es prioridad la participación ciudadana”, como lo expresa el Eje “Saltillo Ciudadano” del Plan Municipal de Desarrollo 2019-2021 con el objetivo de impulsar una mayor participación responsable de la sociedad en la toma de decisiones en el gobierno municipal, y hacerles partícipes en la elaboración y ejecución de las políticas públicas y en la definición de programas y obras, cuyas líneas de acción se desprenden, entre otras:</w:t>
      </w:r>
    </w:p>
    <w:p w:rsidR="0006583A" w:rsidRPr="0006583A" w:rsidRDefault="0006583A" w:rsidP="0006583A">
      <w:pPr>
        <w:spacing w:line="360" w:lineRule="auto"/>
        <w:rPr>
          <w:rFonts w:eastAsia="Times New Roman" w:cs="Arial"/>
          <w:lang w:eastAsia="es-ES"/>
        </w:rPr>
      </w:pPr>
    </w:p>
    <w:p w:rsidR="0006583A" w:rsidRPr="0006583A" w:rsidRDefault="0006583A" w:rsidP="0006583A">
      <w:pPr>
        <w:numPr>
          <w:ilvl w:val="0"/>
          <w:numId w:val="7"/>
        </w:numPr>
        <w:spacing w:after="160" w:line="360" w:lineRule="auto"/>
        <w:ind w:right="901"/>
        <w:contextualSpacing/>
        <w:rPr>
          <w:rFonts w:eastAsia="Times New Roman" w:cs="Arial"/>
          <w:i/>
          <w:lang w:eastAsia="es-ES"/>
        </w:rPr>
      </w:pPr>
      <w:r w:rsidRPr="0006583A">
        <w:rPr>
          <w:rFonts w:eastAsia="Times New Roman" w:cs="Arial"/>
          <w:i/>
          <w:lang w:eastAsia="es-ES"/>
        </w:rPr>
        <w:t xml:space="preserve">Seguir impulsando la formación de más consejos y comités ciudadanos, reforzar los ya formados, y otorgarles mayores facultades </w:t>
      </w:r>
    </w:p>
    <w:p w:rsidR="0006583A" w:rsidRPr="0006583A" w:rsidRDefault="0006583A" w:rsidP="0006583A">
      <w:pPr>
        <w:numPr>
          <w:ilvl w:val="0"/>
          <w:numId w:val="7"/>
        </w:numPr>
        <w:spacing w:after="160" w:line="360" w:lineRule="auto"/>
        <w:ind w:right="901"/>
        <w:contextualSpacing/>
        <w:rPr>
          <w:rFonts w:eastAsia="Times New Roman" w:cs="Arial"/>
          <w:i/>
          <w:lang w:eastAsia="es-ES"/>
        </w:rPr>
      </w:pPr>
      <w:r w:rsidRPr="0006583A">
        <w:rPr>
          <w:rFonts w:eastAsia="Times New Roman" w:cs="Arial"/>
          <w:i/>
          <w:lang w:eastAsia="es-ES"/>
        </w:rPr>
        <w:t xml:space="preserve">Promover espacios de participación y diálogo entre funcionarios municipales y ciudadanos. </w:t>
      </w:r>
    </w:p>
    <w:p w:rsidR="0006583A" w:rsidRPr="0006583A" w:rsidRDefault="0006583A" w:rsidP="0006583A">
      <w:pPr>
        <w:numPr>
          <w:ilvl w:val="0"/>
          <w:numId w:val="7"/>
        </w:numPr>
        <w:spacing w:after="160" w:line="360" w:lineRule="auto"/>
        <w:ind w:right="901"/>
        <w:contextualSpacing/>
        <w:rPr>
          <w:rFonts w:eastAsia="Times New Roman" w:cs="Arial"/>
          <w:i/>
          <w:lang w:eastAsia="es-ES"/>
        </w:rPr>
      </w:pPr>
      <w:r w:rsidRPr="0006583A">
        <w:rPr>
          <w:rFonts w:eastAsia="Times New Roman" w:cs="Arial"/>
          <w:i/>
          <w:lang w:eastAsia="es-ES"/>
        </w:rPr>
        <w:t xml:space="preserve">Promover la participación de la ciudadanía en acciones que impulsen el desarrollo económico del municipio y en materia de desarrollo social, para lograr un mayor alcance y beneficio para los saltillenses. </w:t>
      </w:r>
    </w:p>
    <w:p w:rsidR="0006583A" w:rsidRPr="0006583A" w:rsidRDefault="0006583A" w:rsidP="0006583A">
      <w:pPr>
        <w:spacing w:line="360" w:lineRule="auto"/>
        <w:rPr>
          <w:rFonts w:eastAsia="Times New Roman" w:cs="Arial"/>
          <w:b/>
          <w:color w:val="000000" w:themeColor="text1"/>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Quien encabeza el gobierno municipal registró ante el Instituto Electoral de Coahuila la plataforma política que ofertó sus propuestas de campaña, en el que se nombra al segundo tema del documento registrado “Gobernanza y Participación Ciudadana”, precisando en su estrategia 2 de su primer objetivo el fortalecer y profundizar la colaboración entre poderes y organismos autónomos mediante el diálogo. Lo anterior para cumplir su visión de tener un gobierno eficiente y moderno con participación e inclusión de todos los miembros de una sociedad.</w:t>
      </w:r>
      <w:r w:rsidRPr="0006583A">
        <w:rPr>
          <w:rFonts w:eastAsia="Times New Roman" w:cs="Arial"/>
          <w:i/>
          <w:vertAlign w:val="superscript"/>
          <w:lang w:eastAsia="es-ES"/>
        </w:rPr>
        <w:footnoteReference w:id="1"/>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lastRenderedPageBreak/>
        <w:t>La normativa que rige a las organizaciones de la sociedad civil en México tiene su fundamento en el artículo noveno constituci</w:t>
      </w:r>
      <w:r w:rsidRPr="0006583A">
        <w:rPr>
          <w:rFonts w:eastAsia="Times New Roman" w:cs="Arial"/>
          <w:i/>
          <w:lang w:eastAsia="es-ES"/>
        </w:rPr>
        <w:lastRenderedPageBreak/>
        <w:t>onal, que establece el derecho de asociación. De allí se deriva un marco regulatorio amplio y complejo, que incluye al Código Civil Federal y sus equivalentes a nivel estatal, la Ley General de Desarrollo Social, La Ley de Asistencia Social, las leyes de Instituciones de Asistencia Privada estatales, las diferentes leyes de fomento a las activid</w:t>
      </w:r>
      <w:r w:rsidRPr="0006583A">
        <w:rPr>
          <w:rFonts w:eastAsia="Times New Roman" w:cs="Arial"/>
          <w:i/>
          <w:lang w:eastAsia="es-ES"/>
        </w:rPr>
        <w:lastRenderedPageBreak/>
        <w:t>ades realizadas por organizaciones de la sociedad civil a nivel estatal, y, por supuesto, la Ley Federal de Fomento a las Actividades Realizadas por Organizaciones de la Sociedad Civil, entre otras. Resultan también de particular relevancia, por el efecto potencial que tienen en la capacidad de las organizaciones de recaudar recursos privados para el financiamiento de sus actividades, las diversas disposiciones de carácter fiscal y presupuestario: notoriamente la Ley del Impuesto sobre la Renta, la Ley del Impuesto Empresarial a Tasa Única, y la Ley Federal de Presupuesto y Responsabilidad Hacendaria.</w:t>
      </w:r>
      <w:r w:rsidRPr="0006583A">
        <w:rPr>
          <w:rFonts w:eastAsia="Times New Roman" w:cs="Arial"/>
          <w:i/>
          <w:vertAlign w:val="superscript"/>
          <w:lang w:eastAsia="es-ES"/>
        </w:rPr>
        <w:footnoteReference w:id="2"/>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Para estudiosos de la UNAM, la participación ciudadana es aquella donde la sociedad posee una injerencia directa con el Estado; asimismo, tiene una visión más amplia de lo público. Esta participación está muy relacionada con el involucramiento de los ciudadanos en la administración pública. Los mecanismos de democracia directa (iniciativa de ley, referéndum, plebiscito y consultas ciudadanas), la revocación de mandato (</w:t>
      </w:r>
      <w:r w:rsidRPr="0006583A">
        <w:rPr>
          <w:rFonts w:eastAsia="Times New Roman" w:cs="Arial"/>
          <w:i/>
          <w:iCs/>
          <w:lang w:eastAsia="es-ES"/>
        </w:rPr>
        <w:t>recall</w:t>
      </w:r>
      <w:r w:rsidRPr="0006583A">
        <w:rPr>
          <w:rFonts w:eastAsia="Times New Roman" w:cs="Arial"/>
          <w:i/>
          <w:lang w:eastAsia="es-ES"/>
        </w:rPr>
        <w:t>) y la cooperación de los ciudadanos en la prestación de servicios o en la elaboración de políticas públicas, son formas de participación ciudadana.</w:t>
      </w:r>
      <w:r w:rsidRPr="0006583A">
        <w:rPr>
          <w:rFonts w:eastAsia="Times New Roman" w:cs="Arial"/>
          <w:i/>
          <w:vertAlign w:val="superscript"/>
          <w:lang w:eastAsia="es-ES"/>
        </w:rPr>
        <w:footnoteReference w:id="3"/>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lastRenderedPageBreak/>
        <w:t>Las atribuciones de los diferentes ámbitos de gobierno han de estar presididas por el principio de proximidad, cuya esencia exige que to</w:t>
      </w:r>
      <w:r w:rsidRPr="0006583A">
        <w:rPr>
          <w:rFonts w:eastAsia="Times New Roman" w:cs="Arial"/>
          <w:i/>
          <w:lang w:eastAsia="es-ES"/>
        </w:rPr>
        <w:lastRenderedPageBreak/>
        <w:t xml:space="preserve">das aquellas funciones que inciden directamente en la vida diaria de las personas sean atribuidas al órgano de gobierno más cercano al ciudadano. El contar con una comisión que se dedique exclusivamente a la actividad de la sociedad civil y la participación ciudadana, es para el gobierno municipal una tarea pendiente de solventar, en concordancia al desarrollo de ciudades similares a la de Saltillo.  Entre ellas las principales ciudades capitales del país que cuentan con una comisión edilicia dedicada exclusivamente al respecto, se encuentran Xalapa, Guadalajara, Monterrey, Puebla, Ciudad Victoria y San Luis Potosí, entre otras. </w:t>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Al crearse esta comisión de participación ciudadana y organizaciones de la sociedad civil, se velará por realizar los lineamientos municipales enfocados a establecer, convenir y desarrollar relaciones de colaboración con organizaciones sociales, instituciones públicas y privadas, cuya finalidad sea de interés para la comunidad. Así mismo delinear la promoción y continuidad a la participación ciudadana –individual o grupal- con la finalidad de detonar el desarrollo social y cultural de los habitantes del municipio.</w:t>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Para el  ex Presidente de la Comisión Nacional de los Derechos Humanos, Lic. Luis Raúl González Pérez, el fortalecimiento y subsistencia de nuestras instituciones democráticas está ineludiblemente vinculado a la existencia de la sociedad civil organizada, que a través de los años ha sido, en buena medida, motor y artífice de los grandes cambios que nuestro país ha tenido. Ya sea que hablemos de la alternancia en el poder,</w:t>
      </w:r>
      <w:r w:rsidRPr="0006583A">
        <w:rPr>
          <w:rFonts w:eastAsia="Times New Roman" w:cs="Arial"/>
          <w:i/>
          <w:lang w:eastAsia="es-ES"/>
        </w:rPr>
        <w:lastRenderedPageBreak/>
        <w:t xml:space="preserve"> de la lucha por el reconocimiento de los derechos humanos, de la reivindicación de los derechos de los grupos en condición de vulnerabilidad, de la defensa de nuestros recursos naturales </w:t>
      </w:r>
      <w:r w:rsidRPr="0006583A">
        <w:rPr>
          <w:rFonts w:eastAsia="Times New Roman" w:cs="Arial"/>
          <w:i/>
          <w:lang w:eastAsia="es-ES"/>
        </w:rPr>
        <w:lastRenderedPageBreak/>
        <w:t>o de la protección del medio ambiente, tan sólo por citar algunos casos, es claro que no podríamos entender ni explicar el estado actual de cosas, sin considerar la relevante tarea que las y los luchadores sociales, los colectivos y las organizaciones civiles han tenido. Frente al miedo, la resignación, la indiferencia o la falta de vías claras para buscar solución a las necesidades y retos de nuestro país, así como para plantear inconformidades y demandas sociales, su responsabilidad y compromiso con las causas que procuran, históricamente ha abierto puertas y señalado rutas para el reconocimiento y atención de los problemas, al igual que para la búsqueda de soluciones. La sociedad civil organizada, con su ejemplo, ha contribuido y contribuye a iluminar la conciencia pública de los mexicanos y a reforzar la idea de que para generar las condiciones que todos deseamos para nuestro país es necesario que tomemos la decisión de actuar para ello y aportemos lo que esté a nuestro alcance para tal efecto.</w:t>
      </w:r>
      <w:r w:rsidRPr="0006583A">
        <w:rPr>
          <w:rFonts w:eastAsia="Times New Roman" w:cs="Arial"/>
          <w:i/>
          <w:vertAlign w:val="superscript"/>
          <w:lang w:eastAsia="es-ES"/>
        </w:rPr>
        <w:footnoteReference w:id="4"/>
      </w:r>
    </w:p>
    <w:p w:rsidR="0006583A" w:rsidRPr="0006583A" w:rsidRDefault="0006583A" w:rsidP="0006583A">
      <w:pPr>
        <w:spacing w:line="360" w:lineRule="auto"/>
        <w:ind w:left="567" w:right="567"/>
        <w:rPr>
          <w:rFonts w:eastAsia="Times New Roman" w:cs="Arial"/>
          <w:i/>
          <w:lang w:eastAsia="es-ES"/>
        </w:rPr>
      </w:pPr>
    </w:p>
    <w:p w:rsidR="0006583A" w:rsidRPr="0006583A" w:rsidRDefault="0006583A" w:rsidP="0006583A">
      <w:pPr>
        <w:spacing w:line="360" w:lineRule="auto"/>
        <w:ind w:left="567" w:right="567"/>
        <w:rPr>
          <w:rFonts w:eastAsia="Times New Roman" w:cs="Arial"/>
          <w:i/>
          <w:lang w:eastAsia="es-ES"/>
        </w:rPr>
      </w:pPr>
      <w:r w:rsidRPr="0006583A">
        <w:rPr>
          <w:rFonts w:eastAsia="Times New Roman" w:cs="Arial"/>
          <w:i/>
          <w:lang w:eastAsia="es-ES"/>
        </w:rPr>
        <w:t>En Coahuila existe una legislación puntual sobre participación ciudadana y organismos de la sociedad civil que involucra a los municipios a coadyuvar a la promoción y fortalecimiento de estas acciones. Con la Ley</w:t>
      </w:r>
      <w:r w:rsidRPr="0006583A">
        <w:rPr>
          <w:rFonts w:eastAsia="Times New Roman" w:cs="Arial"/>
          <w:i/>
          <w:lang w:eastAsia="es-ES"/>
        </w:rPr>
        <w:lastRenderedPageBreak/>
        <w:t xml:space="preserve"> de Participación Ciudadana y la Ley de Instituciones y Asociaciones de Beneficencia Privada se hace partícipe a la esfera municipal en diversos artículos, por lo que los ayuntamientos tendrán la capacidad de recibir y dar trámite a las solicitudes y actividades que los saltillenses, en lo individual y en forma asociada, requieren para sus actividades ciudadanas”.</w:t>
      </w:r>
    </w:p>
    <w:p w:rsidR="0006583A" w:rsidRPr="0006583A" w:rsidRDefault="0006583A" w:rsidP="0006583A">
      <w:pPr>
        <w:widowControl w:val="0"/>
        <w:autoSpaceDE w:val="0"/>
        <w:autoSpaceDN w:val="0"/>
        <w:adjustRightInd w:val="0"/>
        <w:spacing w:line="360" w:lineRule="auto"/>
        <w:rPr>
          <w:rFonts w:eastAsia="Times New Roman" w:cs="Arial"/>
          <w:lang w:eastAsia="es-ES"/>
        </w:rPr>
      </w:pPr>
    </w:p>
    <w:p w:rsidR="0006583A" w:rsidRPr="0006583A" w:rsidRDefault="0006583A" w:rsidP="0006583A">
      <w:pPr>
        <w:widowControl w:val="0"/>
        <w:autoSpaceDE w:val="0"/>
        <w:autoSpaceDN w:val="0"/>
        <w:adjustRightInd w:val="0"/>
        <w:spacing w:line="360" w:lineRule="auto"/>
        <w:rPr>
          <w:rFonts w:eastAsia="Times New Roman" w:cs="Arial"/>
          <w:lang w:eastAsia="es-ES"/>
        </w:rPr>
      </w:pPr>
      <w:r w:rsidRPr="0006583A">
        <w:rPr>
          <w:rFonts w:eastAsia="Times New Roman" w:cs="Arial"/>
          <w:b/>
          <w:lang w:eastAsia="es-ES"/>
        </w:rPr>
        <w:t>TERCERO.-</w:t>
      </w:r>
      <w:r w:rsidRPr="0006583A">
        <w:rPr>
          <w:rFonts w:eastAsia="Times New Roman" w:cs="Arial"/>
          <w:lang w:eastAsia="es-ES"/>
        </w:rPr>
        <w:t xml:space="preserve"> Que las y los integrantes de la Comisión de Gobernación, Puntos Constitucionales y Justicia, consideramos que la participación ciudadana y el fomento de </w:t>
      </w:r>
      <w:r w:rsidRPr="0006583A">
        <w:rPr>
          <w:rFonts w:eastAsia="Times New Roman" w:cs="Arial"/>
          <w:lang w:eastAsia="es-ES"/>
        </w:rPr>
        <w:lastRenderedPageBreak/>
        <w:t xml:space="preserve">las organizaciones de la sociedad civil son importantes para la vida democrática en el Estado. </w:t>
      </w:r>
    </w:p>
    <w:p w:rsidR="0006583A" w:rsidRPr="0006583A" w:rsidRDefault="0006583A" w:rsidP="0006583A">
      <w:pPr>
        <w:widowControl w:val="0"/>
        <w:autoSpaceDE w:val="0"/>
        <w:autoSpaceDN w:val="0"/>
        <w:adjustRightInd w:val="0"/>
        <w:spacing w:line="360" w:lineRule="auto"/>
        <w:rPr>
          <w:rFonts w:eastAsia="Times New Roman" w:cs="Arial"/>
          <w:lang w:eastAsia="es-ES"/>
        </w:rPr>
      </w:pPr>
    </w:p>
    <w:p w:rsidR="0006583A" w:rsidRPr="0006583A" w:rsidRDefault="0006583A" w:rsidP="0006583A">
      <w:pPr>
        <w:widowControl w:val="0"/>
        <w:autoSpaceDE w:val="0"/>
        <w:autoSpaceDN w:val="0"/>
        <w:adjustRightInd w:val="0"/>
        <w:spacing w:line="360" w:lineRule="auto"/>
        <w:rPr>
          <w:rFonts w:eastAsia="Times New Roman" w:cs="Arial"/>
          <w:lang w:eastAsia="es-ES"/>
        </w:rPr>
      </w:pPr>
      <w:r w:rsidRPr="0006583A">
        <w:rPr>
          <w:rFonts w:eastAsia="Times New Roman" w:cs="Arial"/>
          <w:lang w:eastAsia="es-ES"/>
        </w:rPr>
        <w:t xml:space="preserve">Sin embargo, consideramos que en lugar de una comisión obligatoria, la participación ciudadana y de los organismos de la sociedad civil debe incorporarse al Código Municipal para el Estado de Coahuila de Zaragoza, como una directriz transversal para todas las comisiones de los Ayuntamientos.  </w:t>
      </w:r>
    </w:p>
    <w:p w:rsidR="0006583A" w:rsidRPr="0006583A" w:rsidRDefault="0006583A" w:rsidP="0006583A">
      <w:pPr>
        <w:spacing w:line="360" w:lineRule="auto"/>
        <w:rPr>
          <w:rFonts w:eastAsia="Times New Roman" w:cs="Times New Roman"/>
          <w:lang w:eastAsia="es-ES"/>
        </w:rPr>
      </w:pPr>
    </w:p>
    <w:p w:rsidR="0006583A" w:rsidRPr="0006583A" w:rsidRDefault="0006583A" w:rsidP="0006583A">
      <w:pPr>
        <w:widowControl w:val="0"/>
        <w:autoSpaceDE w:val="0"/>
        <w:autoSpaceDN w:val="0"/>
        <w:adjustRightInd w:val="0"/>
        <w:spacing w:line="360" w:lineRule="auto"/>
        <w:rPr>
          <w:rFonts w:eastAsia="Times New Roman" w:cs="Arial"/>
          <w:lang w:eastAsia="es-ES"/>
        </w:rPr>
      </w:pPr>
      <w:r w:rsidRPr="0006583A">
        <w:rPr>
          <w:rFonts w:eastAsia="Times New Roman" w:cs="Arial"/>
          <w:bCs/>
          <w:kern w:val="36"/>
          <w:lang w:eastAsia="es-MX"/>
        </w:rPr>
        <w:t xml:space="preserve">Por las consideraciones expuestas, sometemos a </w:t>
      </w:r>
      <w:r w:rsidRPr="0006583A">
        <w:rPr>
          <w:rFonts w:eastAsia="Times New Roman" w:cs="Arial"/>
          <w:lang w:eastAsia="es-ES"/>
        </w:rPr>
        <w:t>consideración del Pleno el siguiente Proyecto de:</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spacing w:line="360" w:lineRule="auto"/>
        <w:jc w:val="center"/>
        <w:rPr>
          <w:rFonts w:eastAsia="Times New Roman" w:cs="Arial"/>
          <w:b/>
          <w:bCs/>
          <w:lang w:val="es-ES" w:eastAsia="es-ES"/>
        </w:rPr>
      </w:pPr>
      <w:r w:rsidRPr="0006583A">
        <w:rPr>
          <w:rFonts w:eastAsia="Times New Roman" w:cs="Arial"/>
          <w:b/>
          <w:bCs/>
          <w:lang w:val="es-ES" w:eastAsia="es-ES"/>
        </w:rPr>
        <w:t>DECRETO</w:t>
      </w:r>
    </w:p>
    <w:p w:rsidR="0006583A" w:rsidRPr="0006583A" w:rsidRDefault="0006583A" w:rsidP="0006583A">
      <w:pPr>
        <w:spacing w:line="360" w:lineRule="auto"/>
        <w:jc w:val="center"/>
        <w:rPr>
          <w:rFonts w:eastAsia="Times New Roman" w:cs="Arial"/>
          <w:b/>
          <w:bCs/>
          <w:lang w:val="es-ES" w:eastAsia="es-ES"/>
        </w:rPr>
      </w:pPr>
    </w:p>
    <w:p w:rsidR="0006583A" w:rsidRPr="0006583A" w:rsidRDefault="0006583A" w:rsidP="0006583A">
      <w:pPr>
        <w:spacing w:line="360" w:lineRule="auto"/>
        <w:rPr>
          <w:rFonts w:eastAsia="Times New Roman" w:cs="Arial"/>
          <w:lang w:val="es-ES" w:eastAsia="es-ES"/>
        </w:rPr>
      </w:pPr>
      <w:r w:rsidRPr="0006583A">
        <w:rPr>
          <w:rFonts w:eastAsia="Times New Roman" w:cs="Arial"/>
          <w:b/>
          <w:bCs/>
          <w:lang w:val="es-ES" w:eastAsia="es-ES"/>
        </w:rPr>
        <w:t>ARTÍCULO ÚNICO.-</w:t>
      </w:r>
      <w:r w:rsidRPr="0006583A">
        <w:rPr>
          <w:rFonts w:eastAsia="Times New Roman" w:cs="Arial"/>
          <w:lang w:val="es-ES" w:eastAsia="es-ES"/>
        </w:rPr>
        <w:t xml:space="preserve"> Se </w:t>
      </w:r>
      <w:r w:rsidRPr="0006583A">
        <w:rPr>
          <w:rFonts w:eastAsia="Times New Roman" w:cs="Arial"/>
          <w:b/>
          <w:bCs/>
          <w:lang w:val="es-ES" w:eastAsia="es-ES"/>
        </w:rPr>
        <w:t>adiciona</w:t>
      </w:r>
      <w:r w:rsidRPr="0006583A">
        <w:rPr>
          <w:rFonts w:eastAsia="Times New Roman" w:cs="Arial"/>
          <w:lang w:val="es-ES" w:eastAsia="es-ES"/>
        </w:rPr>
        <w:t xml:space="preserve"> un tercer párrafo al artículo 111 del Código Municipal para el Estado de Coahuila de Zaragoza, para quedar como sigue: : </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spacing w:line="360" w:lineRule="auto"/>
        <w:rPr>
          <w:rFonts w:eastAsia="Times New Roman" w:cs="Arial"/>
          <w:b/>
          <w:bCs/>
          <w:lang w:val="es-ES" w:eastAsia="es-ES"/>
        </w:rPr>
      </w:pPr>
      <w:r w:rsidRPr="0006583A">
        <w:rPr>
          <w:rFonts w:eastAsia="Times New Roman" w:cs="Arial"/>
          <w:b/>
          <w:bCs/>
          <w:lang w:val="es-ES" w:eastAsia="es-ES"/>
        </w:rPr>
        <w:t xml:space="preserve">ARTÍCULO 111.- </w:t>
      </w:r>
      <w:r w:rsidRPr="0006583A">
        <w:rPr>
          <w:rFonts w:eastAsia="Times New Roman" w:cs="Arial"/>
          <w:lang w:val="es-ES" w:eastAsia="es-ES"/>
        </w:rPr>
        <w:t>…</w:t>
      </w:r>
    </w:p>
    <w:p w:rsidR="0006583A" w:rsidRPr="0006583A" w:rsidRDefault="0006583A" w:rsidP="0006583A">
      <w:pPr>
        <w:spacing w:line="360" w:lineRule="auto"/>
        <w:rPr>
          <w:rFonts w:eastAsia="Times New Roman" w:cs="Arial"/>
          <w:b/>
          <w:bCs/>
          <w:lang w:val="es-ES" w:eastAsia="es-ES"/>
        </w:rPr>
      </w:pPr>
    </w:p>
    <w:p w:rsidR="0006583A" w:rsidRPr="0006583A" w:rsidRDefault="0006583A" w:rsidP="0006583A">
      <w:pPr>
        <w:spacing w:line="360" w:lineRule="auto"/>
        <w:rPr>
          <w:rFonts w:eastAsia="Times New Roman" w:cs="Arial"/>
          <w:lang w:val="es-ES" w:eastAsia="es-ES"/>
        </w:rPr>
      </w:pPr>
      <w:r w:rsidRPr="0006583A">
        <w:rPr>
          <w:rFonts w:eastAsia="Times New Roman" w:cs="Arial"/>
          <w:lang w:val="es-ES" w:eastAsia="es-ES"/>
        </w:rPr>
        <w:t>…</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spacing w:line="360" w:lineRule="auto"/>
        <w:rPr>
          <w:rFonts w:eastAsia="Times New Roman" w:cs="Arial"/>
          <w:lang w:val="es-ES" w:eastAsia="es-ES"/>
        </w:rPr>
      </w:pPr>
      <w:r w:rsidRPr="0006583A">
        <w:rPr>
          <w:rFonts w:eastAsia="Times New Roman" w:cs="Arial"/>
          <w:lang w:val="es-ES" w:eastAsia="es-ES"/>
        </w:rPr>
        <w:t xml:space="preserve">Las comisiones de los Ayuntamientos deberán promover, en el desempeño de sus funciones, la participación ciudadana y de las organizaciones de la sociedad civil, en los términos de la Ley de Participación Ciudadana para el Estado de Coahuila de Zaragoza, y la Ley de Fomento a las Actividades de las Organizaciones de la Sociedad Civil en el Estado de Coahuila de Zaragoza. </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spacing w:line="360" w:lineRule="auto"/>
        <w:jc w:val="center"/>
        <w:rPr>
          <w:rFonts w:eastAsia="Times New Roman" w:cs="Arial"/>
          <w:b/>
          <w:bCs/>
          <w:lang w:val="es-ES" w:eastAsia="es-ES"/>
        </w:rPr>
      </w:pPr>
      <w:r w:rsidRPr="0006583A">
        <w:rPr>
          <w:rFonts w:eastAsia="Times New Roman" w:cs="Arial"/>
          <w:b/>
          <w:bCs/>
          <w:lang w:val="es-ES" w:eastAsia="es-ES"/>
        </w:rPr>
        <w:t>TRANSITORIOS</w:t>
      </w:r>
    </w:p>
    <w:p w:rsidR="0006583A" w:rsidRPr="0006583A" w:rsidRDefault="0006583A" w:rsidP="0006583A">
      <w:pPr>
        <w:spacing w:line="360" w:lineRule="auto"/>
        <w:jc w:val="center"/>
        <w:rPr>
          <w:rFonts w:eastAsia="Times New Roman" w:cs="Arial"/>
          <w:b/>
          <w:bCs/>
          <w:lang w:val="es-ES" w:eastAsia="es-ES"/>
        </w:rPr>
      </w:pPr>
    </w:p>
    <w:p w:rsidR="0006583A" w:rsidRPr="0006583A" w:rsidRDefault="0006583A" w:rsidP="0006583A">
      <w:pPr>
        <w:spacing w:line="360" w:lineRule="auto"/>
        <w:rPr>
          <w:rFonts w:eastAsia="Times New Roman" w:cs="Arial"/>
          <w:lang w:val="es-ES" w:eastAsia="es-ES"/>
        </w:rPr>
      </w:pPr>
      <w:r w:rsidRPr="0006583A">
        <w:rPr>
          <w:rFonts w:eastAsia="Times New Roman" w:cs="Arial"/>
          <w:b/>
          <w:bCs/>
          <w:lang w:val="es-ES" w:eastAsia="es-ES"/>
        </w:rPr>
        <w:lastRenderedPageBreak/>
        <w:t>PRIMERO.-</w:t>
      </w:r>
      <w:r w:rsidRPr="0006583A">
        <w:rPr>
          <w:rFonts w:eastAsia="Times New Roman" w:cs="Arial"/>
          <w:lang w:val="es-ES" w:eastAsia="es-ES"/>
        </w:rPr>
        <w:t xml:space="preserve"> El presente Decreto entrará en vigor al día siguiente de su publicación en el Periódico Oficial del Gobierno del Estado.</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spacing w:line="360" w:lineRule="auto"/>
        <w:rPr>
          <w:rFonts w:eastAsia="Times New Roman" w:cs="Arial"/>
          <w:lang w:val="es-ES" w:eastAsia="es-ES"/>
        </w:rPr>
      </w:pPr>
      <w:r w:rsidRPr="0006583A">
        <w:rPr>
          <w:rFonts w:eastAsia="Times New Roman" w:cs="Arial"/>
          <w:b/>
          <w:bCs/>
          <w:lang w:val="es-ES" w:eastAsia="es-ES"/>
        </w:rPr>
        <w:t>SEGUNDO.-</w:t>
      </w:r>
      <w:r w:rsidRPr="0006583A">
        <w:rPr>
          <w:rFonts w:eastAsia="Times New Roman" w:cs="Arial"/>
          <w:lang w:val="es-ES" w:eastAsia="es-ES"/>
        </w:rPr>
        <w:t xml:space="preserve"> Se derogan todas las disposiciones que se opongan al presente Decreto.</w:t>
      </w:r>
    </w:p>
    <w:p w:rsidR="0006583A" w:rsidRPr="0006583A" w:rsidRDefault="0006583A" w:rsidP="0006583A">
      <w:pPr>
        <w:spacing w:line="360" w:lineRule="auto"/>
        <w:rPr>
          <w:rFonts w:eastAsia="Times New Roman" w:cs="Arial"/>
          <w:lang w:val="es-ES" w:eastAsia="es-ES"/>
        </w:rPr>
      </w:pPr>
    </w:p>
    <w:p w:rsidR="0006583A" w:rsidRPr="0006583A" w:rsidRDefault="0006583A" w:rsidP="0006583A">
      <w:pPr>
        <w:autoSpaceDE w:val="0"/>
        <w:autoSpaceDN w:val="0"/>
        <w:adjustRightInd w:val="0"/>
        <w:spacing w:line="360" w:lineRule="auto"/>
        <w:rPr>
          <w:rFonts w:eastAsia="Calibri" w:cs="Arial"/>
          <w:color w:val="000000"/>
          <w:lang w:eastAsia="es-ES"/>
        </w:rPr>
      </w:pPr>
      <w:r w:rsidRPr="0006583A">
        <w:rPr>
          <w:rFonts w:eastAsia="Calibri" w:cs="Arial"/>
          <w:color w:val="000000"/>
          <w:lang w:eastAsia="es-ES"/>
        </w:rPr>
        <w:t xml:space="preserve">Así lo acuerdan las Diputadas y Diputados integrantes de la </w:t>
      </w:r>
      <w:r w:rsidRPr="0006583A">
        <w:rPr>
          <w:rFonts w:eastAsia="Times New Roman" w:cs="Arial"/>
          <w:lang w:eastAsia="es-ES"/>
        </w:rPr>
        <w:t xml:space="preserve">Comisión de Gobernación, Puntos Constitucionales y Justicia, </w:t>
      </w:r>
      <w:r w:rsidRPr="0006583A">
        <w:rPr>
          <w:rFonts w:eastAsia="Calibri" w:cs="Arial"/>
          <w:color w:val="000000"/>
          <w:lang w:eastAsia="es-ES"/>
        </w:rPr>
        <w:t>de la Sexagésima Segunda Legislat</w:t>
      </w:r>
      <w:r w:rsidRPr="0006583A">
        <w:rPr>
          <w:rFonts w:eastAsia="Calibri" w:cs="Arial"/>
          <w:color w:val="000000"/>
          <w:lang w:eastAsia="es-ES"/>
        </w:rPr>
        <w:lastRenderedPageBreak/>
        <w:t xml:space="preserve">ura del Congreso del Estado Independiente, Libre y Soberano de Coahuila de Zaragoza, </w:t>
      </w:r>
      <w:r w:rsidRPr="0006583A">
        <w:rPr>
          <w:rFonts w:eastAsia="Times New Roman" w:cs="Times New Roman"/>
          <w:lang w:eastAsia="es-ES"/>
        </w:rPr>
        <w:t>Dip. Ricardo López Campos (Coordinador), Dip. Luz Elena Guadalupe Morales Núñez (Secretaria), Dip. Olivia Martínez Leyva, Dip. María Guadalupe Oyervides Valdez, Dip. María Bárbara Cepeda Boehringer, Dip. Rodolfo Gerardo Walss Aurioles, Dip. Yolanda Elizondo Maltos, Dip. Claudia Elvira Rodríguez Márquez y Dip. Lizbeth Ogazón Nava</w:t>
      </w:r>
      <w:r w:rsidRPr="0006583A">
        <w:rPr>
          <w:rFonts w:eastAsia="Calibri" w:cs="Arial"/>
          <w:color w:val="000000"/>
        </w:rPr>
        <w:t>.</w:t>
      </w:r>
      <w:r w:rsidRPr="0006583A">
        <w:rPr>
          <w:rFonts w:eastAsia="Calibri" w:cs="Arial"/>
          <w:b/>
          <w:color w:val="000000"/>
        </w:rPr>
        <w:t xml:space="preserve"> </w:t>
      </w:r>
      <w:r w:rsidRPr="0006583A">
        <w:rPr>
          <w:rFonts w:eastAsia="Calibri" w:cs="Arial"/>
          <w:color w:val="000000"/>
        </w:rPr>
        <w:t>En la Ciudad de Saltillo, Coahuila de Zaragoza</w:t>
      </w:r>
      <w:r w:rsidRPr="0006583A">
        <w:rPr>
          <w:rFonts w:eastAsia="Calibri" w:cs="Arial"/>
          <w:color w:val="000000"/>
          <w:lang w:eastAsia="es-ES"/>
        </w:rPr>
        <w:t>, a 03 de mayo de 2021.</w:t>
      </w:r>
    </w:p>
    <w:p w:rsidR="0006583A" w:rsidRPr="0006583A" w:rsidRDefault="0006583A" w:rsidP="0006583A">
      <w:pPr>
        <w:spacing w:after="160" w:line="259" w:lineRule="auto"/>
        <w:jc w:val="left"/>
        <w:rPr>
          <w:rFonts w:eastAsia="Calibri" w:cs="Arial"/>
          <w:color w:val="000000"/>
          <w:lang w:eastAsia="es-ES"/>
        </w:rPr>
      </w:pPr>
    </w:p>
    <w:p w:rsidR="0006583A" w:rsidRPr="0006583A" w:rsidRDefault="0006583A" w:rsidP="0006583A">
      <w:pPr>
        <w:autoSpaceDE w:val="0"/>
        <w:autoSpaceDN w:val="0"/>
        <w:adjustRightInd w:val="0"/>
        <w:spacing w:line="360" w:lineRule="auto"/>
        <w:rPr>
          <w:rFonts w:eastAsia="Calibri" w:cs="Arial"/>
          <w:color w:val="000000"/>
          <w:lang w:eastAsia="es-ES"/>
        </w:rPr>
      </w:pPr>
    </w:p>
    <w:p w:rsidR="0006583A" w:rsidRPr="0006583A" w:rsidRDefault="0006583A" w:rsidP="0006583A">
      <w:pPr>
        <w:jc w:val="center"/>
        <w:rPr>
          <w:rFonts w:eastAsia="Times New Roman" w:cs="Arial"/>
          <w:b/>
          <w:lang w:eastAsia="es-ES"/>
        </w:rPr>
      </w:pPr>
      <w:r w:rsidRPr="0006583A">
        <w:rPr>
          <w:rFonts w:eastAsia="Times New Roman" w:cs="Arial"/>
          <w:b/>
          <w:lang w:eastAsia="es-ES"/>
        </w:rPr>
        <w:t>COMISIÓN DE GOBERNACIÓN, PUNTOS CONSTITUCIONALES Y JUSTICIA</w:t>
      </w:r>
    </w:p>
    <w:p w:rsidR="0006583A" w:rsidRPr="0006583A" w:rsidRDefault="0006583A" w:rsidP="0006583A">
      <w:pPr>
        <w:jc w:val="center"/>
        <w:rPr>
          <w:rFonts w:eastAsia="Times New Roman" w:cs="Arial"/>
          <w:b/>
          <w:lang w:eastAsia="es-ES"/>
        </w:rPr>
      </w:pPr>
    </w:p>
    <w:p w:rsidR="0006583A" w:rsidRPr="0006583A" w:rsidRDefault="0006583A" w:rsidP="0006583A">
      <w:pPr>
        <w:jc w:val="center"/>
        <w:rPr>
          <w:rFonts w:eastAsia="Times New Roman" w:cs="Arial"/>
          <w:b/>
          <w:lang w:eastAsia="es-ES"/>
        </w:rPr>
      </w:pPr>
    </w:p>
    <w:p w:rsidR="0006583A" w:rsidRPr="0006583A" w:rsidRDefault="0006583A" w:rsidP="0006583A">
      <w:pPr>
        <w:jc w:val="center"/>
        <w:rPr>
          <w:rFonts w:eastAsia="Times New Roman" w:cs="Arial"/>
          <w:b/>
          <w:lang w:eastAsia="es-ES"/>
        </w:rPr>
      </w:pPr>
      <w:r w:rsidRPr="0006583A">
        <w:rPr>
          <w:rFonts w:eastAsia="Times New Roman" w:cs="Arial"/>
          <w:b/>
          <w:lang w:eastAsia="es-ES"/>
        </w:rPr>
        <w:t xml:space="preserve"> </w:t>
      </w:r>
    </w:p>
    <w:p w:rsidR="0006583A" w:rsidRPr="0006583A" w:rsidRDefault="0006583A" w:rsidP="0006583A">
      <w:pPr>
        <w:rPr>
          <w:rFonts w:eastAsia="Times New Roman" w:cs="Times New Roman"/>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101"/>
        <w:gridCol w:w="1318"/>
        <w:gridCol w:w="1803"/>
        <w:gridCol w:w="524"/>
        <w:gridCol w:w="1422"/>
      </w:tblGrid>
      <w:tr w:rsidR="0006583A" w:rsidRPr="0006583A" w:rsidTr="000A171D">
        <w:trPr>
          <w:jc w:val="center"/>
        </w:trPr>
        <w:tc>
          <w:tcPr>
            <w:tcW w:w="3399" w:type="dxa"/>
            <w:shd w:val="clear" w:color="auto" w:fill="auto"/>
            <w:vAlign w:val="center"/>
          </w:tcPr>
          <w:p w:rsidR="0006583A" w:rsidRPr="0006583A" w:rsidRDefault="0006583A" w:rsidP="0006583A">
            <w:pPr>
              <w:jc w:val="center"/>
              <w:rPr>
                <w:rFonts w:eastAsia="Calibri" w:cs="Arial"/>
                <w:b/>
              </w:rPr>
            </w:pPr>
            <w:r w:rsidRPr="0006583A">
              <w:rPr>
                <w:rFonts w:eastAsia="Calibri" w:cs="Arial"/>
                <w:b/>
              </w:rPr>
              <w:t>NOMBRE Y FIRMA</w:t>
            </w:r>
          </w:p>
        </w:tc>
        <w:tc>
          <w:tcPr>
            <w:tcW w:w="0" w:type="auto"/>
            <w:gridSpan w:val="3"/>
            <w:shd w:val="clear" w:color="auto" w:fill="auto"/>
            <w:vAlign w:val="center"/>
          </w:tcPr>
          <w:p w:rsidR="0006583A" w:rsidRPr="0006583A" w:rsidRDefault="0006583A" w:rsidP="0006583A">
            <w:pPr>
              <w:jc w:val="center"/>
              <w:rPr>
                <w:rFonts w:eastAsia="Calibri" w:cs="Arial"/>
              </w:rPr>
            </w:pPr>
            <w:r w:rsidRPr="0006583A">
              <w:rPr>
                <w:rFonts w:eastAsia="Calibri" w:cs="Arial"/>
                <w:b/>
              </w:rPr>
              <w:t>VOTO</w:t>
            </w:r>
          </w:p>
        </w:tc>
        <w:tc>
          <w:tcPr>
            <w:tcW w:w="0" w:type="auto"/>
            <w:gridSpan w:val="2"/>
            <w:shd w:val="clear" w:color="auto" w:fill="auto"/>
            <w:vAlign w:val="center"/>
          </w:tcPr>
          <w:p w:rsidR="0006583A" w:rsidRPr="0006583A" w:rsidRDefault="0006583A" w:rsidP="0006583A">
            <w:pPr>
              <w:jc w:val="center"/>
              <w:rPr>
                <w:rFonts w:eastAsia="Calibri" w:cs="Arial"/>
                <w:b/>
              </w:rPr>
            </w:pPr>
            <w:r w:rsidRPr="0006583A">
              <w:rPr>
                <w:rFonts w:eastAsia="Calibri" w:cs="Arial"/>
                <w:b/>
              </w:rPr>
              <w:t>RESERVA DE ARTÍCULOS</w:t>
            </w:r>
          </w:p>
        </w:tc>
      </w:tr>
      <w:tr w:rsidR="0006583A" w:rsidRPr="0006583A" w:rsidTr="000A171D">
        <w:trPr>
          <w:jc w:val="center"/>
        </w:trPr>
        <w:tc>
          <w:tcPr>
            <w:tcW w:w="3399" w:type="dxa"/>
            <w:vMerge w:val="restart"/>
            <w:shd w:val="clear" w:color="auto" w:fill="auto"/>
          </w:tcPr>
          <w:p w:rsidR="0006583A" w:rsidRPr="0006583A" w:rsidRDefault="0006583A" w:rsidP="0006583A">
            <w:pPr>
              <w:ind w:right="-142"/>
              <w:jc w:val="center"/>
              <w:rPr>
                <w:rFonts w:eastAsia="Calibri" w:cs="Arial"/>
                <w:b/>
                <w:lang w:eastAsia="es-ES"/>
              </w:rPr>
            </w:pPr>
            <w:r w:rsidRPr="0006583A">
              <w:rPr>
                <w:rFonts w:eastAsia="Calibri" w:cs="Arial"/>
                <w:b/>
                <w:lang w:eastAsia="es-ES"/>
              </w:rPr>
              <w:t xml:space="preserve">DIP. </w:t>
            </w:r>
            <w:r w:rsidRPr="0006583A">
              <w:rPr>
                <w:rFonts w:eastAsia="Calibri" w:cs="Arial"/>
                <w:b/>
                <w:lang w:val="es-ES" w:eastAsia="es-ES"/>
              </w:rPr>
              <w:t>RICARDO LÓPEZ CAMPOS</w:t>
            </w:r>
          </w:p>
          <w:p w:rsidR="0006583A" w:rsidRPr="0006583A" w:rsidRDefault="0006583A" w:rsidP="0006583A">
            <w:pPr>
              <w:ind w:right="-142"/>
              <w:jc w:val="center"/>
              <w:rPr>
                <w:rFonts w:eastAsia="Calibri" w:cs="Arial"/>
                <w:b/>
                <w:lang w:eastAsia="es-ES"/>
              </w:rPr>
            </w:pPr>
            <w:r w:rsidRPr="0006583A">
              <w:rPr>
                <w:rFonts w:eastAsia="Calibri" w:cs="Arial"/>
                <w:b/>
                <w:lang w:eastAsia="es-ES"/>
              </w:rPr>
              <w:t>(COORDINADOR)</w:t>
            </w: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jc w:val="center"/>
        </w:trPr>
        <w:tc>
          <w:tcPr>
            <w:tcW w:w="3399" w:type="dxa"/>
            <w:vMerge w:val="restart"/>
            <w:shd w:val="clear" w:color="auto" w:fill="auto"/>
          </w:tcPr>
          <w:p w:rsidR="0006583A" w:rsidRPr="0006583A" w:rsidRDefault="0006583A" w:rsidP="0006583A">
            <w:pPr>
              <w:ind w:right="-142"/>
              <w:jc w:val="center"/>
              <w:rPr>
                <w:rFonts w:eastAsia="Calibri" w:cs="Arial"/>
                <w:b/>
                <w:lang w:eastAsia="es-ES"/>
              </w:rPr>
            </w:pPr>
            <w:r w:rsidRPr="0006583A">
              <w:rPr>
                <w:rFonts w:eastAsia="Calibri" w:cs="Arial"/>
                <w:b/>
                <w:lang w:eastAsia="es-ES"/>
              </w:rPr>
              <w:t xml:space="preserve">DIP. </w:t>
            </w:r>
            <w:r w:rsidRPr="0006583A">
              <w:rPr>
                <w:rFonts w:eastAsia="Calibri" w:cs="Arial"/>
                <w:b/>
                <w:lang w:val="es-ES" w:eastAsia="es-ES"/>
              </w:rPr>
              <w:t>LUZ ELENA GUADALUPE MORALES NÚÑEZ</w:t>
            </w:r>
          </w:p>
          <w:p w:rsidR="0006583A" w:rsidRPr="0006583A" w:rsidRDefault="0006583A" w:rsidP="0006583A">
            <w:pPr>
              <w:ind w:right="-142"/>
              <w:jc w:val="center"/>
              <w:rPr>
                <w:rFonts w:eastAsia="Calibri" w:cs="Arial"/>
                <w:b/>
                <w:lang w:eastAsia="es-ES"/>
              </w:rPr>
            </w:pPr>
            <w:r w:rsidRPr="0006583A">
              <w:rPr>
                <w:rFonts w:eastAsia="Calibri" w:cs="Arial"/>
                <w:b/>
                <w:lang w:eastAsia="es-ES"/>
              </w:rPr>
              <w:t>(SECRETARIA)</w:t>
            </w:r>
          </w:p>
          <w:p w:rsidR="0006583A" w:rsidRPr="0006583A" w:rsidRDefault="0006583A" w:rsidP="0006583A">
            <w:pPr>
              <w:jc w:val="left"/>
              <w:rPr>
                <w:rFonts w:eastAsia="Calibri" w:cs="Arial"/>
              </w:rPr>
            </w:pPr>
          </w:p>
          <w:p w:rsidR="0006583A" w:rsidRPr="0006583A" w:rsidRDefault="0006583A" w:rsidP="0006583A">
            <w:pPr>
              <w:jc w:val="left"/>
              <w:rPr>
                <w:rFonts w:eastAsia="Calibri" w:cs="Arial"/>
              </w:rPr>
            </w:pPr>
          </w:p>
          <w:p w:rsidR="0006583A" w:rsidRPr="0006583A" w:rsidRDefault="0006583A" w:rsidP="0006583A">
            <w:pPr>
              <w:jc w:val="left"/>
              <w:rPr>
                <w:rFonts w:eastAsia="Calibri" w:cs="Arial"/>
              </w:rPr>
            </w:pPr>
          </w:p>
          <w:p w:rsidR="0006583A" w:rsidRPr="0006583A" w:rsidRDefault="0006583A" w:rsidP="0006583A">
            <w:pPr>
              <w:jc w:val="left"/>
              <w:rPr>
                <w:rFonts w:eastAsia="Calibri" w:cs="Arial"/>
              </w:rPr>
            </w:pPr>
          </w:p>
          <w:p w:rsidR="0006583A" w:rsidRPr="0006583A" w:rsidRDefault="0006583A" w:rsidP="0006583A">
            <w:pPr>
              <w:jc w:val="left"/>
              <w:rPr>
                <w:rFonts w:eastAsia="Calibri" w:cs="Arial"/>
              </w:rPr>
            </w:pP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jc w:val="center"/>
              <w:rPr>
                <w:rFonts w:eastAsia="Calibri" w:cs="Arial"/>
              </w:rPr>
            </w:pPr>
            <w:r w:rsidRPr="0006583A">
              <w:rPr>
                <w:rFonts w:eastAsia="Calibri" w:cs="Arial"/>
                <w:b/>
                <w:lang w:eastAsia="es-ES"/>
              </w:rPr>
              <w:lastRenderedPageBreak/>
              <w:t xml:space="preserve">DIP. </w:t>
            </w:r>
            <w:r w:rsidRPr="0006583A">
              <w:rPr>
                <w:rFonts w:eastAsia="Calibri" w:cs="Arial"/>
                <w:b/>
                <w:lang w:val="es-ES" w:eastAsia="es-ES"/>
              </w:rPr>
              <w:t>OLIVIA MARTÍNEZ LEYVA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464"/>
          <w:jc w:val="center"/>
        </w:trPr>
        <w:tc>
          <w:tcPr>
            <w:tcW w:w="3399" w:type="dxa"/>
            <w:vMerge w:val="restart"/>
            <w:shd w:val="clear" w:color="auto" w:fill="auto"/>
          </w:tcPr>
          <w:p w:rsidR="0006583A" w:rsidRPr="0006583A" w:rsidRDefault="0006583A" w:rsidP="0006583A">
            <w:pPr>
              <w:ind w:right="-142"/>
              <w:jc w:val="center"/>
              <w:rPr>
                <w:rFonts w:eastAsia="Calibri" w:cs="Arial"/>
                <w:b/>
                <w:lang w:eastAsia="es-ES"/>
              </w:rPr>
            </w:pPr>
            <w:r w:rsidRPr="0006583A">
              <w:rPr>
                <w:rFonts w:eastAsia="Calibri" w:cs="Arial"/>
                <w:b/>
                <w:lang w:eastAsia="es-ES"/>
              </w:rPr>
              <w:t>DIP. MARÍA GUADALUPE OYERVIDES VALDEZ</w:t>
            </w: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p w:rsidR="0006583A" w:rsidRPr="0006583A" w:rsidRDefault="0006583A" w:rsidP="0006583A">
            <w:pPr>
              <w:ind w:right="-142"/>
              <w:jc w:val="center"/>
              <w:rPr>
                <w:rFonts w:eastAsia="Calibri" w:cs="Arial"/>
                <w:b/>
                <w:lang w:eastAsia="es-ES"/>
              </w:rPr>
            </w:pPr>
          </w:p>
        </w:tc>
        <w:tc>
          <w:tcPr>
            <w:tcW w:w="0" w:type="auto"/>
            <w:shd w:val="clear" w:color="auto" w:fill="auto"/>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463"/>
          <w:jc w:val="center"/>
        </w:trPr>
        <w:tc>
          <w:tcPr>
            <w:tcW w:w="3399" w:type="dxa"/>
            <w:vMerge/>
            <w:shd w:val="clear" w:color="auto" w:fill="auto"/>
          </w:tcPr>
          <w:p w:rsidR="0006583A" w:rsidRPr="0006583A" w:rsidRDefault="0006583A" w:rsidP="0006583A">
            <w:pPr>
              <w:ind w:right="-142"/>
              <w:jc w:val="center"/>
              <w:rPr>
                <w:rFonts w:eastAsia="Calibri" w:cs="Arial"/>
                <w:b/>
                <w:lang w:eastAsia="es-ES"/>
              </w:rPr>
            </w:pPr>
          </w:p>
        </w:tc>
        <w:tc>
          <w:tcPr>
            <w:tcW w:w="0" w:type="auto"/>
            <w:shd w:val="clear" w:color="auto" w:fill="auto"/>
          </w:tcPr>
          <w:p w:rsidR="0006583A" w:rsidRPr="0006583A" w:rsidRDefault="0006583A" w:rsidP="0006583A">
            <w:pPr>
              <w:rPr>
                <w:rFonts w:eastAsia="Calibri" w:cs="Arial"/>
                <w:b/>
              </w:rPr>
            </w:pPr>
          </w:p>
        </w:tc>
        <w:tc>
          <w:tcPr>
            <w:tcW w:w="0" w:type="auto"/>
            <w:shd w:val="clear" w:color="auto" w:fill="auto"/>
          </w:tcPr>
          <w:p w:rsidR="0006583A" w:rsidRPr="0006583A" w:rsidRDefault="0006583A" w:rsidP="0006583A">
            <w:pPr>
              <w:jc w:val="center"/>
              <w:rPr>
                <w:rFonts w:eastAsia="Calibri" w:cs="Arial"/>
                <w:b/>
              </w:rPr>
            </w:pPr>
          </w:p>
        </w:tc>
        <w:tc>
          <w:tcPr>
            <w:tcW w:w="0" w:type="auto"/>
            <w:shd w:val="clear" w:color="auto" w:fill="auto"/>
          </w:tcPr>
          <w:p w:rsidR="0006583A" w:rsidRPr="0006583A" w:rsidRDefault="0006583A" w:rsidP="0006583A">
            <w:pPr>
              <w:jc w:val="center"/>
              <w:rPr>
                <w:rFonts w:eastAsia="Calibri" w:cs="Arial"/>
                <w:b/>
              </w:rPr>
            </w:pPr>
          </w:p>
        </w:tc>
        <w:tc>
          <w:tcPr>
            <w:tcW w:w="0" w:type="auto"/>
            <w:shd w:val="clear" w:color="auto" w:fill="auto"/>
          </w:tcPr>
          <w:p w:rsidR="0006583A" w:rsidRPr="0006583A" w:rsidRDefault="0006583A" w:rsidP="0006583A">
            <w:pPr>
              <w:jc w:val="center"/>
              <w:rPr>
                <w:rFonts w:eastAsia="Calibri" w:cs="Arial"/>
                <w:b/>
              </w:rPr>
            </w:pPr>
          </w:p>
        </w:tc>
        <w:tc>
          <w:tcPr>
            <w:tcW w:w="0" w:type="auto"/>
            <w:shd w:val="clear" w:color="auto" w:fill="auto"/>
          </w:tcPr>
          <w:p w:rsidR="0006583A" w:rsidRPr="0006583A" w:rsidRDefault="0006583A" w:rsidP="0006583A">
            <w:pPr>
              <w:jc w:val="center"/>
              <w:rPr>
                <w:rFonts w:eastAsia="Calibri" w:cs="Arial"/>
                <w:b/>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ind w:right="-142"/>
              <w:jc w:val="center"/>
              <w:rPr>
                <w:rFonts w:eastAsia="Calibri" w:cs="Arial"/>
                <w:b/>
                <w:lang w:eastAsia="es-ES"/>
              </w:rPr>
            </w:pPr>
            <w:r w:rsidRPr="0006583A">
              <w:rPr>
                <w:rFonts w:eastAsia="Calibri" w:cs="Arial"/>
                <w:b/>
                <w:lang w:eastAsia="es-ES"/>
              </w:rPr>
              <w:t xml:space="preserve">DIP. </w:t>
            </w:r>
            <w:r w:rsidRPr="0006583A">
              <w:rPr>
                <w:rFonts w:eastAsia="Calibri" w:cs="Arial"/>
                <w:b/>
                <w:lang w:val="es-ES" w:eastAsia="es-ES"/>
              </w:rPr>
              <w:t>MARÍA BÁRBARA CEPEDA BOEHRINGER</w:t>
            </w:r>
          </w:p>
          <w:p w:rsidR="0006583A" w:rsidRPr="0006583A" w:rsidRDefault="0006583A" w:rsidP="0006583A">
            <w:pPr>
              <w:jc w:val="left"/>
              <w:rPr>
                <w:rFonts w:eastAsia="Calibri" w:cs="Arial"/>
              </w:rPr>
            </w:pP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jc w:val="center"/>
              <w:rPr>
                <w:rFonts w:eastAsia="Calibri" w:cs="Arial"/>
              </w:rPr>
            </w:pPr>
            <w:r w:rsidRPr="0006583A">
              <w:rPr>
                <w:rFonts w:eastAsia="Calibri" w:cs="Arial"/>
                <w:b/>
                <w:lang w:eastAsia="es-ES"/>
              </w:rPr>
              <w:t xml:space="preserve">DIP. </w:t>
            </w:r>
            <w:r w:rsidRPr="0006583A">
              <w:rPr>
                <w:rFonts w:eastAsia="Calibri" w:cs="Arial"/>
                <w:b/>
                <w:lang w:val="es-ES" w:eastAsia="es-ES"/>
              </w:rPr>
              <w:t>RODOLFO GERARDO WALSS AURIOLES</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ind w:right="-142"/>
              <w:jc w:val="center"/>
              <w:rPr>
                <w:rFonts w:eastAsia="Calibri" w:cs="Arial"/>
                <w:b/>
                <w:lang w:eastAsia="es-ES"/>
              </w:rPr>
            </w:pPr>
            <w:r w:rsidRPr="0006583A">
              <w:rPr>
                <w:rFonts w:eastAsia="Calibri" w:cs="Arial"/>
                <w:b/>
                <w:lang w:eastAsia="es-ES"/>
              </w:rPr>
              <w:t>DIP. YOLANDA ELIZONDO MALTOS</w:t>
            </w:r>
          </w:p>
          <w:p w:rsidR="0006583A" w:rsidRPr="0006583A" w:rsidRDefault="0006583A" w:rsidP="0006583A">
            <w:pPr>
              <w:jc w:val="left"/>
              <w:rPr>
                <w:rFonts w:eastAsia="Calibri" w:cs="Arial"/>
              </w:rPr>
            </w:pP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lastRenderedPageBreak/>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jc w:val="center"/>
              <w:rPr>
                <w:rFonts w:eastAsia="Calibri" w:cs="Arial"/>
              </w:rPr>
            </w:pPr>
            <w:r w:rsidRPr="0006583A">
              <w:rPr>
                <w:rFonts w:eastAsia="Calibri" w:cs="Arial"/>
                <w:b/>
                <w:lang w:eastAsia="es-ES"/>
              </w:rPr>
              <w:lastRenderedPageBreak/>
              <w:t xml:space="preserve">DIP. </w:t>
            </w:r>
            <w:r w:rsidRPr="0006583A">
              <w:rPr>
                <w:rFonts w:eastAsia="Calibri" w:cs="Arial"/>
                <w:b/>
                <w:lang w:val="es-ES" w:eastAsia="es-ES"/>
              </w:rPr>
              <w:t>CLAUDIA ELVIRA RODRÍGUEZ MÁRQUEZ</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center"/>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r w:rsidR="0006583A" w:rsidRPr="0006583A" w:rsidTr="000A171D">
        <w:trPr>
          <w:trHeight w:val="624"/>
          <w:jc w:val="center"/>
        </w:trPr>
        <w:tc>
          <w:tcPr>
            <w:tcW w:w="3399" w:type="dxa"/>
            <w:vMerge w:val="restart"/>
            <w:shd w:val="clear" w:color="auto" w:fill="auto"/>
          </w:tcPr>
          <w:p w:rsidR="0006583A" w:rsidRPr="0006583A" w:rsidRDefault="0006583A" w:rsidP="0006583A">
            <w:pPr>
              <w:jc w:val="center"/>
              <w:rPr>
                <w:rFonts w:eastAsia="Calibri" w:cs="Arial"/>
                <w:b/>
              </w:rPr>
            </w:pPr>
            <w:r w:rsidRPr="0006583A">
              <w:rPr>
                <w:rFonts w:eastAsia="Calibri" w:cs="Arial"/>
                <w:b/>
              </w:rPr>
              <w:t>DIP. LIZBETH OGAZÓN NAVA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 FAVOR</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EN CONTRA</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ABSTENCIÓN</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SI</w:t>
            </w:r>
          </w:p>
        </w:tc>
        <w:tc>
          <w:tcPr>
            <w:tcW w:w="0" w:type="auto"/>
            <w:shd w:val="clear" w:color="auto" w:fill="auto"/>
            <w:vAlign w:val="center"/>
          </w:tcPr>
          <w:p w:rsidR="0006583A" w:rsidRPr="0006583A" w:rsidRDefault="0006583A" w:rsidP="0006583A">
            <w:pPr>
              <w:jc w:val="center"/>
              <w:rPr>
                <w:rFonts w:eastAsia="Calibri" w:cs="Arial"/>
                <w:b/>
              </w:rPr>
            </w:pPr>
            <w:r w:rsidRPr="0006583A">
              <w:rPr>
                <w:rFonts w:eastAsia="Calibri" w:cs="Arial"/>
                <w:b/>
              </w:rPr>
              <w:t>CUALES</w:t>
            </w:r>
          </w:p>
        </w:tc>
      </w:tr>
      <w:tr w:rsidR="0006583A" w:rsidRPr="0006583A" w:rsidTr="000A171D">
        <w:trPr>
          <w:trHeight w:val="1417"/>
          <w:jc w:val="center"/>
        </w:trPr>
        <w:tc>
          <w:tcPr>
            <w:tcW w:w="3399" w:type="dxa"/>
            <w:vMerge/>
            <w:shd w:val="clear" w:color="auto" w:fill="auto"/>
          </w:tcPr>
          <w:p w:rsidR="0006583A" w:rsidRPr="0006583A" w:rsidRDefault="0006583A" w:rsidP="0006583A">
            <w:pPr>
              <w:jc w:val="center"/>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c>
          <w:tcPr>
            <w:tcW w:w="0" w:type="auto"/>
            <w:shd w:val="clear" w:color="auto" w:fill="auto"/>
          </w:tcPr>
          <w:p w:rsidR="0006583A" w:rsidRPr="0006583A" w:rsidRDefault="0006583A" w:rsidP="0006583A">
            <w:pPr>
              <w:jc w:val="left"/>
              <w:rPr>
                <w:rFonts w:eastAsia="Calibri" w:cs="Arial"/>
              </w:rPr>
            </w:pPr>
          </w:p>
        </w:tc>
      </w:tr>
    </w:tbl>
    <w:p w:rsidR="0006583A" w:rsidRPr="0006583A" w:rsidRDefault="0006583A" w:rsidP="0006583A">
      <w:pPr>
        <w:rPr>
          <w:rFonts w:eastAsia="Times New Roman" w:cs="Times New Roman"/>
          <w:sz w:val="20"/>
          <w:szCs w:val="20"/>
          <w:lang w:eastAsia="es-ES"/>
        </w:rPr>
      </w:pPr>
    </w:p>
    <w:p w:rsidR="000A171D" w:rsidRDefault="000A171D">
      <w:pPr>
        <w:spacing w:after="160" w:line="259" w:lineRule="auto"/>
        <w:jc w:val="left"/>
        <w:rPr>
          <w:sz w:val="26"/>
          <w:szCs w:val="26"/>
        </w:rPr>
      </w:pPr>
    </w:p>
    <w:p w:rsidR="0098396B" w:rsidRPr="0098396B" w:rsidRDefault="0098396B" w:rsidP="0098396B">
      <w:pPr>
        <w:spacing w:line="360" w:lineRule="auto"/>
        <w:rPr>
          <w:rFonts w:eastAsia="Times New Roman" w:cs="Times New Roman"/>
          <w:sz w:val="20"/>
          <w:szCs w:val="20"/>
          <w:lang w:eastAsia="es-ES"/>
        </w:rPr>
      </w:pPr>
    </w:p>
    <w:sectPr w:rsidR="0098396B" w:rsidRPr="0098396B" w:rsidSect="007D0402">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CF4" w:rsidRDefault="00ED4CF4" w:rsidP="00373395">
      <w:r>
        <w:separator/>
      </w:r>
    </w:p>
  </w:endnote>
  <w:endnote w:type="continuationSeparator" w:id="0">
    <w:p w:rsidR="00ED4CF4" w:rsidRDefault="00ED4CF4"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CF4" w:rsidRDefault="00ED4CF4" w:rsidP="00373395">
      <w:r>
        <w:separator/>
      </w:r>
    </w:p>
  </w:footnote>
  <w:footnote w:type="continuationSeparator" w:id="0">
    <w:p w:rsidR="00ED4CF4" w:rsidRDefault="00ED4CF4" w:rsidP="00373395">
      <w:r>
        <w:continuationSeparator/>
      </w:r>
    </w:p>
  </w:footnote>
  <w:footnote w:id="1">
    <w:p w:rsidR="00E6568B" w:rsidRPr="000A171D" w:rsidRDefault="00E6568B" w:rsidP="0006583A">
      <w:pPr>
        <w:pStyle w:val="Textonotapie"/>
        <w:rPr>
          <w:sz w:val="16"/>
        </w:rPr>
      </w:pPr>
      <w:r w:rsidRPr="000A171D">
        <w:rPr>
          <w:rStyle w:val="Refdenotaalpie"/>
          <w:sz w:val="16"/>
        </w:rPr>
        <w:footnoteRef/>
      </w:r>
      <w:r w:rsidRPr="000A171D">
        <w:rPr>
          <w:sz w:val="16"/>
        </w:rPr>
        <w:t xml:space="preserve"> PLATAFORMA ELECTORAL COAHUILA 2018 PRESIDENCIAS MUNICIPALES- http://www.iec.org.mx/v1/images/procesoElectoral2018/plataformas/PRI/PLATAFORMA%20ELECTORAL.pdf</w:t>
      </w:r>
    </w:p>
  </w:footnote>
  <w:footnote w:id="2">
    <w:p w:rsidR="00E6568B" w:rsidRPr="000A171D" w:rsidRDefault="00E6568B" w:rsidP="0006583A">
      <w:pPr>
        <w:pStyle w:val="Textonotapie"/>
        <w:rPr>
          <w:sz w:val="16"/>
          <w:lang w:val="en-US"/>
        </w:rPr>
      </w:pPr>
      <w:r w:rsidRPr="000A171D">
        <w:rPr>
          <w:rStyle w:val="Refdenotaalpie"/>
          <w:sz w:val="16"/>
        </w:rPr>
        <w:footnoteRef/>
      </w:r>
      <w:r w:rsidRPr="000A171D">
        <w:rPr>
          <w:sz w:val="16"/>
        </w:rPr>
        <w:t xml:space="preserve"> Ireri Ablanedo Terrazas, Las organizaciones de la sociedad civil en la legislación mexicana. </w:t>
      </w:r>
      <w:r w:rsidRPr="000A171D">
        <w:rPr>
          <w:sz w:val="16"/>
          <w:lang w:val="en-US"/>
        </w:rPr>
        <w:t xml:space="preserve">United States Agency for International Development – USAID. </w:t>
      </w:r>
      <w:hyperlink r:id="rId1" w:history="1">
        <w:r w:rsidRPr="000A171D">
          <w:rPr>
            <w:rStyle w:val="Hipervnculo"/>
            <w:sz w:val="16"/>
            <w:lang w:val="en-US"/>
          </w:rPr>
          <w:t>http://www.icnl.org/programs/lac/mexico/ablanedo-estudio-final.pdf</w:t>
        </w:r>
      </w:hyperlink>
    </w:p>
  </w:footnote>
  <w:footnote w:id="3">
    <w:p w:rsidR="00E6568B" w:rsidRPr="000A171D" w:rsidRDefault="00E6568B" w:rsidP="0006583A">
      <w:pPr>
        <w:pStyle w:val="Textonotapie"/>
        <w:rPr>
          <w:sz w:val="16"/>
          <w:lang w:val="en-US"/>
        </w:rPr>
      </w:pPr>
      <w:r w:rsidRPr="000A171D">
        <w:rPr>
          <w:rStyle w:val="Refdenotaalpie"/>
          <w:sz w:val="16"/>
        </w:rPr>
        <w:footnoteRef/>
      </w:r>
      <w:r w:rsidRPr="000A171D">
        <w:rPr>
          <w:sz w:val="16"/>
        </w:rPr>
        <w:t xml:space="preserve">La participación ciudadana en México, Estudios Políticos UNAM. </w:t>
      </w:r>
      <w:r w:rsidRPr="000A171D">
        <w:rPr>
          <w:sz w:val="16"/>
          <w:lang w:val="en-US"/>
        </w:rPr>
        <w:t xml:space="preserve">Volume 34, January–April 2015, Pages 93-116 </w:t>
      </w:r>
      <w:hyperlink r:id="rId2" w:anchor="!" w:history="1">
        <w:r w:rsidRPr="000A171D">
          <w:rPr>
            <w:rStyle w:val="Hipervnculo"/>
            <w:sz w:val="16"/>
            <w:lang w:val="en-US"/>
          </w:rPr>
          <w:t>https://www.sciencedirect.com/science/article/pii/S0185161615000025#!</w:t>
        </w:r>
      </w:hyperlink>
    </w:p>
  </w:footnote>
  <w:footnote w:id="4">
    <w:p w:rsidR="00E6568B" w:rsidRPr="000A171D" w:rsidRDefault="00E6568B" w:rsidP="0006583A">
      <w:pPr>
        <w:pStyle w:val="Textonotapie"/>
        <w:rPr>
          <w:sz w:val="16"/>
        </w:rPr>
      </w:pPr>
      <w:r w:rsidRPr="000A171D">
        <w:rPr>
          <w:rStyle w:val="Refdenotaalpie"/>
          <w:sz w:val="16"/>
        </w:rPr>
        <w:footnoteRef/>
      </w:r>
      <w:r w:rsidRPr="000A171D">
        <w:rPr>
          <w:sz w:val="16"/>
        </w:rPr>
        <w:t xml:space="preserve"> La importancia de las organizaciones de la sociedad civil. Artículo de Luis Raúl González Pérez, publicado en El Sol de México el 18 de febrero de 2019.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E6568B" w:rsidRPr="00DF7528" w:rsidTr="00B56395">
      <w:trPr>
        <w:jc w:val="center"/>
      </w:trPr>
      <w:tc>
        <w:tcPr>
          <w:tcW w:w="1541" w:type="dxa"/>
        </w:tcPr>
        <w:p w:rsidR="00E6568B" w:rsidRPr="00DF7528" w:rsidRDefault="00E6568B"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09BF1A4F" wp14:editId="0360FD9A">
                <wp:simplePos x="0" y="0"/>
                <wp:positionH relativeFrom="column">
                  <wp:posOffset>-41275</wp:posOffset>
                </wp:positionH>
                <wp:positionV relativeFrom="paragraph">
                  <wp:posOffset>108585</wp:posOffset>
                </wp:positionV>
                <wp:extent cx="902335" cy="886460"/>
                <wp:effectExtent l="0" t="0" r="0" b="889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68B" w:rsidRPr="00DF7528" w:rsidRDefault="00E6568B" w:rsidP="00DF7528">
          <w:pPr>
            <w:jc w:val="center"/>
            <w:rPr>
              <w:rFonts w:eastAsia="Times New Roman" w:cs="Times New Roman"/>
              <w:b/>
              <w:bCs/>
              <w:sz w:val="12"/>
              <w:szCs w:val="20"/>
              <w:lang w:eastAsia="es-ES"/>
            </w:rPr>
          </w:pPr>
        </w:p>
        <w:p w:rsidR="00E6568B" w:rsidRPr="00DF7528" w:rsidRDefault="00E6568B" w:rsidP="00DF7528">
          <w:pPr>
            <w:jc w:val="center"/>
            <w:rPr>
              <w:rFonts w:eastAsia="Times New Roman" w:cs="Times New Roman"/>
              <w:b/>
              <w:bCs/>
              <w:sz w:val="12"/>
              <w:szCs w:val="20"/>
              <w:lang w:eastAsia="es-ES"/>
            </w:rPr>
          </w:pPr>
        </w:p>
      </w:tc>
      <w:tc>
        <w:tcPr>
          <w:tcW w:w="8665" w:type="dxa"/>
        </w:tcPr>
        <w:p w:rsidR="00E6568B" w:rsidRPr="00DF7528" w:rsidRDefault="00E6568B" w:rsidP="00DF7528">
          <w:pPr>
            <w:jc w:val="center"/>
            <w:rPr>
              <w:rFonts w:eastAsia="Times New Roman" w:cs="Times New Roman"/>
              <w:b/>
              <w:bCs/>
              <w:sz w:val="20"/>
              <w:szCs w:val="20"/>
              <w:lang w:eastAsia="es-ES"/>
            </w:rPr>
          </w:pP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 xml:space="preserve">Estado Independiente, Libre y Soberano </w:t>
          </w: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32"/>
              <w:szCs w:val="32"/>
              <w:lang w:eastAsia="es-ES"/>
            </w:rPr>
          </w:pPr>
          <w:r w:rsidRPr="00DF7528">
            <w:rPr>
              <w:rFonts w:ascii="Times New Roman" w:eastAsia="Times New Roman" w:hAnsi="Times New Roman" w:cs="Times New Roman"/>
              <w:smallCaps/>
              <w:spacing w:val="20"/>
              <w:sz w:val="32"/>
              <w:szCs w:val="32"/>
              <w:lang w:eastAsia="es-ES"/>
            </w:rPr>
            <w:t>de Coahuila de Zaragoza</w:t>
          </w: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20"/>
              <w:szCs w:val="20"/>
              <w:lang w:eastAsia="es-ES"/>
            </w:rPr>
          </w:pPr>
        </w:p>
        <w:p w:rsidR="00E6568B" w:rsidRPr="00DF7528" w:rsidRDefault="00E6568B" w:rsidP="00DF7528">
          <w:pPr>
            <w:tabs>
              <w:tab w:val="center" w:pos="4252"/>
              <w:tab w:val="right" w:pos="8504"/>
            </w:tabs>
            <w:jc w:val="center"/>
            <w:rPr>
              <w:rFonts w:ascii="Times New Roman" w:eastAsia="Times New Roman" w:hAnsi="Times New Roman" w:cs="Times New Roman"/>
              <w:smallCaps/>
              <w:spacing w:val="20"/>
              <w:sz w:val="28"/>
              <w:szCs w:val="28"/>
              <w:lang w:eastAsia="es-ES"/>
            </w:rPr>
          </w:pPr>
          <w:r w:rsidRPr="00DF7528">
            <w:rPr>
              <w:rFonts w:ascii="Times New Roman" w:eastAsia="Times New Roman" w:hAnsi="Times New Roman" w:cs="Times New Roman"/>
              <w:smallCaps/>
              <w:spacing w:val="20"/>
              <w:sz w:val="28"/>
              <w:szCs w:val="28"/>
              <w:lang w:eastAsia="es-ES"/>
            </w:rPr>
            <w:t>Poder Legislativo</w:t>
          </w:r>
        </w:p>
        <w:p w:rsidR="00E6568B" w:rsidRPr="00DF7528" w:rsidRDefault="00E6568B" w:rsidP="00DF7528">
          <w:pPr>
            <w:tabs>
              <w:tab w:val="center" w:pos="4252"/>
              <w:tab w:val="left" w:pos="5040"/>
              <w:tab w:val="right" w:pos="8504"/>
            </w:tabs>
            <w:ind w:right="-93"/>
            <w:jc w:val="center"/>
            <w:rPr>
              <w:rFonts w:eastAsia="Times New Roman" w:cs="Times New Roman"/>
              <w:b/>
              <w:bCs/>
              <w:sz w:val="16"/>
              <w:szCs w:val="20"/>
              <w:lang w:eastAsia="es-ES"/>
            </w:rPr>
          </w:pPr>
        </w:p>
        <w:p w:rsidR="00E6568B" w:rsidRPr="00DF7528" w:rsidRDefault="00E6568B" w:rsidP="00DF7528">
          <w:pPr>
            <w:tabs>
              <w:tab w:val="center" w:pos="4252"/>
              <w:tab w:val="left" w:pos="5040"/>
              <w:tab w:val="right" w:pos="8504"/>
            </w:tabs>
            <w:ind w:right="-93"/>
            <w:jc w:val="center"/>
            <w:rPr>
              <w:rFonts w:eastAsia="Times New Roman" w:cs="Times New Roman"/>
              <w:bCs/>
              <w:sz w:val="12"/>
              <w:szCs w:val="20"/>
              <w:lang w:eastAsia="es-ES"/>
            </w:rPr>
          </w:pPr>
          <w:r w:rsidRPr="00DF7528">
            <w:rPr>
              <w:rFonts w:eastAsia="Times New Roman" w:cs="Times New Roman"/>
              <w:bCs/>
              <w:sz w:val="18"/>
              <w:szCs w:val="20"/>
              <w:lang w:eastAsia="es-ES"/>
            </w:rPr>
            <w:t>“2021, Año del reconocimiento al trabajo del personal de salud por su lucha contra el COVID-19”</w:t>
          </w:r>
        </w:p>
      </w:tc>
      <w:tc>
        <w:tcPr>
          <w:tcW w:w="851" w:type="dxa"/>
        </w:tcPr>
        <w:p w:rsidR="00E6568B" w:rsidRPr="00DF7528" w:rsidRDefault="00E6568B" w:rsidP="00DF7528">
          <w:pPr>
            <w:jc w:val="center"/>
            <w:rPr>
              <w:rFonts w:eastAsia="Times New Roman" w:cs="Times New Roman"/>
              <w:b/>
              <w:bCs/>
              <w:sz w:val="12"/>
              <w:szCs w:val="20"/>
              <w:lang w:eastAsia="es-ES"/>
            </w:rPr>
          </w:pPr>
        </w:p>
      </w:tc>
    </w:tr>
  </w:tbl>
  <w:p w:rsidR="00E6568B" w:rsidRDefault="00E6568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C44"/>
    <w:multiLevelType w:val="hybridMultilevel"/>
    <w:tmpl w:val="C3CAD0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26025070"/>
    <w:multiLevelType w:val="hybridMultilevel"/>
    <w:tmpl w:val="20689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78319A5"/>
    <w:multiLevelType w:val="hybridMultilevel"/>
    <w:tmpl w:val="5E7AFFE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D646D7"/>
    <w:multiLevelType w:val="hybridMultilevel"/>
    <w:tmpl w:val="C1E4BE5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DDD2476"/>
    <w:multiLevelType w:val="hybridMultilevel"/>
    <w:tmpl w:val="7F58F1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381626A"/>
    <w:multiLevelType w:val="hybridMultilevel"/>
    <w:tmpl w:val="65666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10"/>
  </w:num>
  <w:num w:numId="5">
    <w:abstractNumId w:val="0"/>
  </w:num>
  <w:num w:numId="6">
    <w:abstractNumId w:val="1"/>
  </w:num>
  <w:num w:numId="7">
    <w:abstractNumId w:val="9"/>
  </w:num>
  <w:num w:numId="8">
    <w:abstractNumId w:val="11"/>
  </w:num>
  <w:num w:numId="9">
    <w:abstractNumId w:val="2"/>
  </w:num>
  <w:num w:numId="10">
    <w:abstractNumId w:val="6"/>
  </w:num>
  <w:num w:numId="11">
    <w:abstractNumId w:val="4"/>
  </w:num>
  <w:num w:numId="12">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2ED8"/>
    <w:rsid w:val="0000740E"/>
    <w:rsid w:val="00013160"/>
    <w:rsid w:val="00013F1C"/>
    <w:rsid w:val="00017CCB"/>
    <w:rsid w:val="000234B6"/>
    <w:rsid w:val="00024498"/>
    <w:rsid w:val="0002454C"/>
    <w:rsid w:val="00033906"/>
    <w:rsid w:val="0003564E"/>
    <w:rsid w:val="00044DD8"/>
    <w:rsid w:val="00047D18"/>
    <w:rsid w:val="000543C4"/>
    <w:rsid w:val="000552D5"/>
    <w:rsid w:val="0005777C"/>
    <w:rsid w:val="0006583A"/>
    <w:rsid w:val="000667BC"/>
    <w:rsid w:val="00066DD1"/>
    <w:rsid w:val="00074A62"/>
    <w:rsid w:val="00082B4D"/>
    <w:rsid w:val="00082CB3"/>
    <w:rsid w:val="00082F28"/>
    <w:rsid w:val="000A018E"/>
    <w:rsid w:val="000A171D"/>
    <w:rsid w:val="000A56D5"/>
    <w:rsid w:val="000A5A63"/>
    <w:rsid w:val="000A7868"/>
    <w:rsid w:val="000B1727"/>
    <w:rsid w:val="000B3F66"/>
    <w:rsid w:val="000B7050"/>
    <w:rsid w:val="000C10E7"/>
    <w:rsid w:val="000C3D46"/>
    <w:rsid w:val="000C47A6"/>
    <w:rsid w:val="000C6825"/>
    <w:rsid w:val="000E4D8B"/>
    <w:rsid w:val="000E5673"/>
    <w:rsid w:val="000E6C02"/>
    <w:rsid w:val="000E77AE"/>
    <w:rsid w:val="000E77B6"/>
    <w:rsid w:val="000F4B46"/>
    <w:rsid w:val="001007B0"/>
    <w:rsid w:val="0010210F"/>
    <w:rsid w:val="0012342C"/>
    <w:rsid w:val="001265BA"/>
    <w:rsid w:val="00126762"/>
    <w:rsid w:val="00131BC5"/>
    <w:rsid w:val="001375E4"/>
    <w:rsid w:val="00140B66"/>
    <w:rsid w:val="001449FE"/>
    <w:rsid w:val="00153F1A"/>
    <w:rsid w:val="001579AB"/>
    <w:rsid w:val="00161933"/>
    <w:rsid w:val="00162A6E"/>
    <w:rsid w:val="001651FD"/>
    <w:rsid w:val="00170519"/>
    <w:rsid w:val="0017700B"/>
    <w:rsid w:val="0017732C"/>
    <w:rsid w:val="0019289B"/>
    <w:rsid w:val="0019451A"/>
    <w:rsid w:val="001A2915"/>
    <w:rsid w:val="001B12A3"/>
    <w:rsid w:val="001C0E85"/>
    <w:rsid w:val="001C1634"/>
    <w:rsid w:val="001C33B2"/>
    <w:rsid w:val="001D1FAA"/>
    <w:rsid w:val="001D2782"/>
    <w:rsid w:val="001D2B4A"/>
    <w:rsid w:val="001D57F0"/>
    <w:rsid w:val="001E14E2"/>
    <w:rsid w:val="001E2C6A"/>
    <w:rsid w:val="001F0FC7"/>
    <w:rsid w:val="00200E7E"/>
    <w:rsid w:val="0020144E"/>
    <w:rsid w:val="002121E2"/>
    <w:rsid w:val="0021558C"/>
    <w:rsid w:val="0021593D"/>
    <w:rsid w:val="0021768F"/>
    <w:rsid w:val="0022566A"/>
    <w:rsid w:val="0022675C"/>
    <w:rsid w:val="002275ED"/>
    <w:rsid w:val="00227BBC"/>
    <w:rsid w:val="00236976"/>
    <w:rsid w:val="00242F7E"/>
    <w:rsid w:val="00243831"/>
    <w:rsid w:val="00244464"/>
    <w:rsid w:val="00244BDA"/>
    <w:rsid w:val="00246752"/>
    <w:rsid w:val="0025187C"/>
    <w:rsid w:val="002545D5"/>
    <w:rsid w:val="0025518C"/>
    <w:rsid w:val="0025539E"/>
    <w:rsid w:val="00262D8F"/>
    <w:rsid w:val="00266702"/>
    <w:rsid w:val="0026674B"/>
    <w:rsid w:val="002700E7"/>
    <w:rsid w:val="00270C51"/>
    <w:rsid w:val="00273034"/>
    <w:rsid w:val="00273524"/>
    <w:rsid w:val="00274E1F"/>
    <w:rsid w:val="0027762D"/>
    <w:rsid w:val="00280199"/>
    <w:rsid w:val="0028330A"/>
    <w:rsid w:val="002859D8"/>
    <w:rsid w:val="00286010"/>
    <w:rsid w:val="00286110"/>
    <w:rsid w:val="002909B7"/>
    <w:rsid w:val="00293E9D"/>
    <w:rsid w:val="00294550"/>
    <w:rsid w:val="0029731F"/>
    <w:rsid w:val="002A01B5"/>
    <w:rsid w:val="002A01C2"/>
    <w:rsid w:val="002A0424"/>
    <w:rsid w:val="002B2DCA"/>
    <w:rsid w:val="002B611B"/>
    <w:rsid w:val="002C49A3"/>
    <w:rsid w:val="002C5BB0"/>
    <w:rsid w:val="002D4105"/>
    <w:rsid w:val="002E04CC"/>
    <w:rsid w:val="002E166C"/>
    <w:rsid w:val="002E42CF"/>
    <w:rsid w:val="002E781B"/>
    <w:rsid w:val="002F2F35"/>
    <w:rsid w:val="002F5135"/>
    <w:rsid w:val="00303986"/>
    <w:rsid w:val="0030713D"/>
    <w:rsid w:val="00310669"/>
    <w:rsid w:val="00311B2C"/>
    <w:rsid w:val="00312AE7"/>
    <w:rsid w:val="00313C06"/>
    <w:rsid w:val="003214A0"/>
    <w:rsid w:val="00321A1B"/>
    <w:rsid w:val="00333A03"/>
    <w:rsid w:val="0033578C"/>
    <w:rsid w:val="00336626"/>
    <w:rsid w:val="00336AF1"/>
    <w:rsid w:val="00341E5B"/>
    <w:rsid w:val="0034532B"/>
    <w:rsid w:val="00346D35"/>
    <w:rsid w:val="00356729"/>
    <w:rsid w:val="00357374"/>
    <w:rsid w:val="00360C13"/>
    <w:rsid w:val="0036357E"/>
    <w:rsid w:val="00364705"/>
    <w:rsid w:val="00372587"/>
    <w:rsid w:val="00373395"/>
    <w:rsid w:val="00373DE8"/>
    <w:rsid w:val="00380634"/>
    <w:rsid w:val="00385ACE"/>
    <w:rsid w:val="00391691"/>
    <w:rsid w:val="00392D79"/>
    <w:rsid w:val="00397CBA"/>
    <w:rsid w:val="003A1BEB"/>
    <w:rsid w:val="003A20A6"/>
    <w:rsid w:val="003A257A"/>
    <w:rsid w:val="003A4245"/>
    <w:rsid w:val="003B0184"/>
    <w:rsid w:val="003B1362"/>
    <w:rsid w:val="003B5433"/>
    <w:rsid w:val="003B68E7"/>
    <w:rsid w:val="003B7BBC"/>
    <w:rsid w:val="003C27DC"/>
    <w:rsid w:val="003C31C1"/>
    <w:rsid w:val="003C418E"/>
    <w:rsid w:val="003D0BAA"/>
    <w:rsid w:val="003D4B53"/>
    <w:rsid w:val="003D601A"/>
    <w:rsid w:val="003E5580"/>
    <w:rsid w:val="00404C63"/>
    <w:rsid w:val="00404E3D"/>
    <w:rsid w:val="004064BA"/>
    <w:rsid w:val="004129A5"/>
    <w:rsid w:val="0041498D"/>
    <w:rsid w:val="00416888"/>
    <w:rsid w:val="00416C7E"/>
    <w:rsid w:val="00420F78"/>
    <w:rsid w:val="00425E00"/>
    <w:rsid w:val="004300E3"/>
    <w:rsid w:val="00433DEB"/>
    <w:rsid w:val="00440F7E"/>
    <w:rsid w:val="00451B96"/>
    <w:rsid w:val="004524DA"/>
    <w:rsid w:val="00453016"/>
    <w:rsid w:val="00453CFA"/>
    <w:rsid w:val="00453E46"/>
    <w:rsid w:val="004544A9"/>
    <w:rsid w:val="00454F0A"/>
    <w:rsid w:val="00465E89"/>
    <w:rsid w:val="004671D4"/>
    <w:rsid w:val="00470095"/>
    <w:rsid w:val="004735F7"/>
    <w:rsid w:val="00473DE1"/>
    <w:rsid w:val="00474070"/>
    <w:rsid w:val="00477942"/>
    <w:rsid w:val="00481486"/>
    <w:rsid w:val="004826FB"/>
    <w:rsid w:val="0048416E"/>
    <w:rsid w:val="00490BC2"/>
    <w:rsid w:val="004912CA"/>
    <w:rsid w:val="004A2A3F"/>
    <w:rsid w:val="004A2F23"/>
    <w:rsid w:val="004A3CC9"/>
    <w:rsid w:val="004A731D"/>
    <w:rsid w:val="004B28ED"/>
    <w:rsid w:val="004C14A7"/>
    <w:rsid w:val="004C1734"/>
    <w:rsid w:val="004D24AA"/>
    <w:rsid w:val="004D34EA"/>
    <w:rsid w:val="004D4DB9"/>
    <w:rsid w:val="004D5FEA"/>
    <w:rsid w:val="004E38C7"/>
    <w:rsid w:val="004E7DAD"/>
    <w:rsid w:val="004E7DF1"/>
    <w:rsid w:val="004F1E84"/>
    <w:rsid w:val="004F5A3D"/>
    <w:rsid w:val="004F7A35"/>
    <w:rsid w:val="00502807"/>
    <w:rsid w:val="00511EB6"/>
    <w:rsid w:val="00514E3A"/>
    <w:rsid w:val="005161E2"/>
    <w:rsid w:val="005212DC"/>
    <w:rsid w:val="00522EDF"/>
    <w:rsid w:val="005275EE"/>
    <w:rsid w:val="0052767F"/>
    <w:rsid w:val="00531A3B"/>
    <w:rsid w:val="005409C8"/>
    <w:rsid w:val="0055076C"/>
    <w:rsid w:val="005531C0"/>
    <w:rsid w:val="0056501F"/>
    <w:rsid w:val="0056627F"/>
    <w:rsid w:val="0058133E"/>
    <w:rsid w:val="00582D97"/>
    <w:rsid w:val="0058466D"/>
    <w:rsid w:val="00585A16"/>
    <w:rsid w:val="00587671"/>
    <w:rsid w:val="005946A3"/>
    <w:rsid w:val="0059756E"/>
    <w:rsid w:val="005978A3"/>
    <w:rsid w:val="005A1D79"/>
    <w:rsid w:val="005B7E52"/>
    <w:rsid w:val="005C25CF"/>
    <w:rsid w:val="005C287B"/>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22A65"/>
    <w:rsid w:val="006438A1"/>
    <w:rsid w:val="00644E7C"/>
    <w:rsid w:val="00651A84"/>
    <w:rsid w:val="00652657"/>
    <w:rsid w:val="006534BA"/>
    <w:rsid w:val="006555CF"/>
    <w:rsid w:val="00661BDA"/>
    <w:rsid w:val="00662AFB"/>
    <w:rsid w:val="006635AE"/>
    <w:rsid w:val="00663CAB"/>
    <w:rsid w:val="00666825"/>
    <w:rsid w:val="00666890"/>
    <w:rsid w:val="00670001"/>
    <w:rsid w:val="006829AA"/>
    <w:rsid w:val="006842BA"/>
    <w:rsid w:val="00691C45"/>
    <w:rsid w:val="006932DA"/>
    <w:rsid w:val="006963C9"/>
    <w:rsid w:val="00696D76"/>
    <w:rsid w:val="006A1B13"/>
    <w:rsid w:val="006A7E34"/>
    <w:rsid w:val="006B123C"/>
    <w:rsid w:val="006B4C65"/>
    <w:rsid w:val="006B5958"/>
    <w:rsid w:val="006B6ED6"/>
    <w:rsid w:val="006C638C"/>
    <w:rsid w:val="006E0B09"/>
    <w:rsid w:val="006E11EC"/>
    <w:rsid w:val="006E56A2"/>
    <w:rsid w:val="006E5AB6"/>
    <w:rsid w:val="006F07F5"/>
    <w:rsid w:val="00702886"/>
    <w:rsid w:val="00705060"/>
    <w:rsid w:val="00714ADA"/>
    <w:rsid w:val="007156CF"/>
    <w:rsid w:val="00721E69"/>
    <w:rsid w:val="00722985"/>
    <w:rsid w:val="00723ADE"/>
    <w:rsid w:val="0072474B"/>
    <w:rsid w:val="00731157"/>
    <w:rsid w:val="00734AC9"/>
    <w:rsid w:val="00734B28"/>
    <w:rsid w:val="007407A5"/>
    <w:rsid w:val="00740E42"/>
    <w:rsid w:val="00743D19"/>
    <w:rsid w:val="007445E4"/>
    <w:rsid w:val="007502B1"/>
    <w:rsid w:val="00752993"/>
    <w:rsid w:val="00754756"/>
    <w:rsid w:val="00760340"/>
    <w:rsid w:val="0076164E"/>
    <w:rsid w:val="00763A2C"/>
    <w:rsid w:val="0077638D"/>
    <w:rsid w:val="007769E2"/>
    <w:rsid w:val="00780DC9"/>
    <w:rsid w:val="007813EB"/>
    <w:rsid w:val="00785D12"/>
    <w:rsid w:val="00785DB2"/>
    <w:rsid w:val="00792A1B"/>
    <w:rsid w:val="00797656"/>
    <w:rsid w:val="007A0534"/>
    <w:rsid w:val="007A171A"/>
    <w:rsid w:val="007A2D87"/>
    <w:rsid w:val="007A5574"/>
    <w:rsid w:val="007A5928"/>
    <w:rsid w:val="007A5CEA"/>
    <w:rsid w:val="007B3472"/>
    <w:rsid w:val="007B63EE"/>
    <w:rsid w:val="007B716E"/>
    <w:rsid w:val="007C3222"/>
    <w:rsid w:val="007C40A5"/>
    <w:rsid w:val="007C43AB"/>
    <w:rsid w:val="007D0402"/>
    <w:rsid w:val="007D2789"/>
    <w:rsid w:val="007D40AB"/>
    <w:rsid w:val="007D59A5"/>
    <w:rsid w:val="007D6D2A"/>
    <w:rsid w:val="007D7FD9"/>
    <w:rsid w:val="007E6403"/>
    <w:rsid w:val="007F2EC2"/>
    <w:rsid w:val="00804843"/>
    <w:rsid w:val="00807486"/>
    <w:rsid w:val="00813C5E"/>
    <w:rsid w:val="00816BBC"/>
    <w:rsid w:val="00820849"/>
    <w:rsid w:val="00820C1B"/>
    <w:rsid w:val="008253E2"/>
    <w:rsid w:val="00826C13"/>
    <w:rsid w:val="00827E16"/>
    <w:rsid w:val="00832B1E"/>
    <w:rsid w:val="00836283"/>
    <w:rsid w:val="00836A2C"/>
    <w:rsid w:val="008401D3"/>
    <w:rsid w:val="008403FA"/>
    <w:rsid w:val="00841A7C"/>
    <w:rsid w:val="00842664"/>
    <w:rsid w:val="00846B7A"/>
    <w:rsid w:val="00850711"/>
    <w:rsid w:val="008514F1"/>
    <w:rsid w:val="00854881"/>
    <w:rsid w:val="008609D9"/>
    <w:rsid w:val="00864DF1"/>
    <w:rsid w:val="00870779"/>
    <w:rsid w:val="00872035"/>
    <w:rsid w:val="008769A0"/>
    <w:rsid w:val="008803B8"/>
    <w:rsid w:val="008804D9"/>
    <w:rsid w:val="00880C4B"/>
    <w:rsid w:val="008851DB"/>
    <w:rsid w:val="00886A68"/>
    <w:rsid w:val="008A441F"/>
    <w:rsid w:val="008A593E"/>
    <w:rsid w:val="008A7849"/>
    <w:rsid w:val="008B2029"/>
    <w:rsid w:val="008B64EC"/>
    <w:rsid w:val="008C05DA"/>
    <w:rsid w:val="008C0C96"/>
    <w:rsid w:val="008C2034"/>
    <w:rsid w:val="008D4D4D"/>
    <w:rsid w:val="008D74BB"/>
    <w:rsid w:val="008E38C3"/>
    <w:rsid w:val="008E5849"/>
    <w:rsid w:val="008E67BC"/>
    <w:rsid w:val="008E6C66"/>
    <w:rsid w:val="008E7B87"/>
    <w:rsid w:val="008F17C1"/>
    <w:rsid w:val="008F5A8A"/>
    <w:rsid w:val="008F6051"/>
    <w:rsid w:val="008F6314"/>
    <w:rsid w:val="00904427"/>
    <w:rsid w:val="00905E8D"/>
    <w:rsid w:val="009060FC"/>
    <w:rsid w:val="0091071C"/>
    <w:rsid w:val="00912526"/>
    <w:rsid w:val="00917AAD"/>
    <w:rsid w:val="00920331"/>
    <w:rsid w:val="00922806"/>
    <w:rsid w:val="009232BF"/>
    <w:rsid w:val="009325BC"/>
    <w:rsid w:val="00952289"/>
    <w:rsid w:val="0095234E"/>
    <w:rsid w:val="009560E8"/>
    <w:rsid w:val="00962995"/>
    <w:rsid w:val="0096685D"/>
    <w:rsid w:val="0097009B"/>
    <w:rsid w:val="00971A7E"/>
    <w:rsid w:val="00971E7D"/>
    <w:rsid w:val="009750E4"/>
    <w:rsid w:val="00981679"/>
    <w:rsid w:val="00982864"/>
    <w:rsid w:val="0098396B"/>
    <w:rsid w:val="009901D4"/>
    <w:rsid w:val="00996592"/>
    <w:rsid w:val="009A1A49"/>
    <w:rsid w:val="009A3F8F"/>
    <w:rsid w:val="009A72CA"/>
    <w:rsid w:val="009C04D2"/>
    <w:rsid w:val="009C0DD7"/>
    <w:rsid w:val="009C1C8C"/>
    <w:rsid w:val="009C44A7"/>
    <w:rsid w:val="009C4F1A"/>
    <w:rsid w:val="009C5568"/>
    <w:rsid w:val="009C618C"/>
    <w:rsid w:val="009C7683"/>
    <w:rsid w:val="009D5F3F"/>
    <w:rsid w:val="009E750F"/>
    <w:rsid w:val="009F1A02"/>
    <w:rsid w:val="009F4FF5"/>
    <w:rsid w:val="009F51DF"/>
    <w:rsid w:val="00A046C1"/>
    <w:rsid w:val="00A062CA"/>
    <w:rsid w:val="00A129C1"/>
    <w:rsid w:val="00A158E5"/>
    <w:rsid w:val="00A17D4B"/>
    <w:rsid w:val="00A222FA"/>
    <w:rsid w:val="00A25AA8"/>
    <w:rsid w:val="00A2773A"/>
    <w:rsid w:val="00A377F4"/>
    <w:rsid w:val="00A4340D"/>
    <w:rsid w:val="00A46943"/>
    <w:rsid w:val="00A46BE3"/>
    <w:rsid w:val="00A47949"/>
    <w:rsid w:val="00A60FD6"/>
    <w:rsid w:val="00A6121E"/>
    <w:rsid w:val="00A6148D"/>
    <w:rsid w:val="00A64C50"/>
    <w:rsid w:val="00A654D8"/>
    <w:rsid w:val="00A65536"/>
    <w:rsid w:val="00A71252"/>
    <w:rsid w:val="00A75A52"/>
    <w:rsid w:val="00A82053"/>
    <w:rsid w:val="00A83F55"/>
    <w:rsid w:val="00A84AEE"/>
    <w:rsid w:val="00A97E11"/>
    <w:rsid w:val="00AA115C"/>
    <w:rsid w:val="00AC664D"/>
    <w:rsid w:val="00AD0E08"/>
    <w:rsid w:val="00AD2485"/>
    <w:rsid w:val="00AD446C"/>
    <w:rsid w:val="00AD49C5"/>
    <w:rsid w:val="00AE4D91"/>
    <w:rsid w:val="00AE5BDB"/>
    <w:rsid w:val="00AE6498"/>
    <w:rsid w:val="00AF2DFC"/>
    <w:rsid w:val="00B03929"/>
    <w:rsid w:val="00B0638A"/>
    <w:rsid w:val="00B06D5A"/>
    <w:rsid w:val="00B0754E"/>
    <w:rsid w:val="00B1479E"/>
    <w:rsid w:val="00B17E0B"/>
    <w:rsid w:val="00B17E83"/>
    <w:rsid w:val="00B21389"/>
    <w:rsid w:val="00B35CAB"/>
    <w:rsid w:val="00B36605"/>
    <w:rsid w:val="00B3776F"/>
    <w:rsid w:val="00B41DF9"/>
    <w:rsid w:val="00B432D4"/>
    <w:rsid w:val="00B45C06"/>
    <w:rsid w:val="00B4692D"/>
    <w:rsid w:val="00B56395"/>
    <w:rsid w:val="00B60888"/>
    <w:rsid w:val="00B6274D"/>
    <w:rsid w:val="00B66230"/>
    <w:rsid w:val="00B66AF9"/>
    <w:rsid w:val="00B75EFA"/>
    <w:rsid w:val="00B906A3"/>
    <w:rsid w:val="00B9165B"/>
    <w:rsid w:val="00B9638A"/>
    <w:rsid w:val="00B964EF"/>
    <w:rsid w:val="00BA06B0"/>
    <w:rsid w:val="00BA1FFA"/>
    <w:rsid w:val="00BC174E"/>
    <w:rsid w:val="00BD6B79"/>
    <w:rsid w:val="00BF03BF"/>
    <w:rsid w:val="00BF3DE4"/>
    <w:rsid w:val="00BF413D"/>
    <w:rsid w:val="00C01DFE"/>
    <w:rsid w:val="00C038BC"/>
    <w:rsid w:val="00C066DA"/>
    <w:rsid w:val="00C11AA7"/>
    <w:rsid w:val="00C15F1E"/>
    <w:rsid w:val="00C175FC"/>
    <w:rsid w:val="00C32210"/>
    <w:rsid w:val="00C401FD"/>
    <w:rsid w:val="00C40635"/>
    <w:rsid w:val="00C41E38"/>
    <w:rsid w:val="00C42041"/>
    <w:rsid w:val="00C44235"/>
    <w:rsid w:val="00C46544"/>
    <w:rsid w:val="00C46FAB"/>
    <w:rsid w:val="00C5582A"/>
    <w:rsid w:val="00C558BA"/>
    <w:rsid w:val="00C576DB"/>
    <w:rsid w:val="00C57EF6"/>
    <w:rsid w:val="00C62F16"/>
    <w:rsid w:val="00C631DF"/>
    <w:rsid w:val="00C656ED"/>
    <w:rsid w:val="00C71A1E"/>
    <w:rsid w:val="00C835AF"/>
    <w:rsid w:val="00C84789"/>
    <w:rsid w:val="00C853E1"/>
    <w:rsid w:val="00C87AFB"/>
    <w:rsid w:val="00C94019"/>
    <w:rsid w:val="00C9419E"/>
    <w:rsid w:val="00CA20E7"/>
    <w:rsid w:val="00CA30EE"/>
    <w:rsid w:val="00CA3FE3"/>
    <w:rsid w:val="00CA569C"/>
    <w:rsid w:val="00CB0E06"/>
    <w:rsid w:val="00CB170E"/>
    <w:rsid w:val="00CB5142"/>
    <w:rsid w:val="00CC0BD3"/>
    <w:rsid w:val="00CC4310"/>
    <w:rsid w:val="00CC7A88"/>
    <w:rsid w:val="00CC7D55"/>
    <w:rsid w:val="00CD3FDA"/>
    <w:rsid w:val="00CD518B"/>
    <w:rsid w:val="00CD682E"/>
    <w:rsid w:val="00CD7529"/>
    <w:rsid w:val="00CE30F3"/>
    <w:rsid w:val="00CF0A35"/>
    <w:rsid w:val="00D0022F"/>
    <w:rsid w:val="00D0271F"/>
    <w:rsid w:val="00D03FF8"/>
    <w:rsid w:val="00D12356"/>
    <w:rsid w:val="00D14A51"/>
    <w:rsid w:val="00D15001"/>
    <w:rsid w:val="00D156E9"/>
    <w:rsid w:val="00D2023C"/>
    <w:rsid w:val="00D2118A"/>
    <w:rsid w:val="00D26EC9"/>
    <w:rsid w:val="00D304AC"/>
    <w:rsid w:val="00D32C29"/>
    <w:rsid w:val="00D35150"/>
    <w:rsid w:val="00D449EC"/>
    <w:rsid w:val="00D44C17"/>
    <w:rsid w:val="00D456FE"/>
    <w:rsid w:val="00D458B6"/>
    <w:rsid w:val="00D46076"/>
    <w:rsid w:val="00D50A23"/>
    <w:rsid w:val="00D54F5D"/>
    <w:rsid w:val="00D57CEB"/>
    <w:rsid w:val="00D6244C"/>
    <w:rsid w:val="00D66F8F"/>
    <w:rsid w:val="00D70D77"/>
    <w:rsid w:val="00D70E37"/>
    <w:rsid w:val="00D74005"/>
    <w:rsid w:val="00D90055"/>
    <w:rsid w:val="00D940D5"/>
    <w:rsid w:val="00DA19DF"/>
    <w:rsid w:val="00DA3E98"/>
    <w:rsid w:val="00DA6309"/>
    <w:rsid w:val="00DB16C5"/>
    <w:rsid w:val="00DB2B86"/>
    <w:rsid w:val="00DB2FDD"/>
    <w:rsid w:val="00DB4E5A"/>
    <w:rsid w:val="00DB5C54"/>
    <w:rsid w:val="00DB62CC"/>
    <w:rsid w:val="00DC16BB"/>
    <w:rsid w:val="00DC24BD"/>
    <w:rsid w:val="00DC2EB3"/>
    <w:rsid w:val="00DC3269"/>
    <w:rsid w:val="00DC7C58"/>
    <w:rsid w:val="00DD0DEF"/>
    <w:rsid w:val="00DD48E8"/>
    <w:rsid w:val="00DD7D8E"/>
    <w:rsid w:val="00DE4C81"/>
    <w:rsid w:val="00DE4D7E"/>
    <w:rsid w:val="00DE6C23"/>
    <w:rsid w:val="00DE7317"/>
    <w:rsid w:val="00DE7D35"/>
    <w:rsid w:val="00DF7528"/>
    <w:rsid w:val="00E026CC"/>
    <w:rsid w:val="00E03E83"/>
    <w:rsid w:val="00E044BF"/>
    <w:rsid w:val="00E136AB"/>
    <w:rsid w:val="00E21537"/>
    <w:rsid w:val="00E22948"/>
    <w:rsid w:val="00E30E59"/>
    <w:rsid w:val="00E348DF"/>
    <w:rsid w:val="00E35753"/>
    <w:rsid w:val="00E371C0"/>
    <w:rsid w:val="00E42C29"/>
    <w:rsid w:val="00E43750"/>
    <w:rsid w:val="00E44070"/>
    <w:rsid w:val="00E5016E"/>
    <w:rsid w:val="00E50769"/>
    <w:rsid w:val="00E5078B"/>
    <w:rsid w:val="00E53331"/>
    <w:rsid w:val="00E54C04"/>
    <w:rsid w:val="00E54E33"/>
    <w:rsid w:val="00E57645"/>
    <w:rsid w:val="00E61661"/>
    <w:rsid w:val="00E6568B"/>
    <w:rsid w:val="00E73CE4"/>
    <w:rsid w:val="00E76678"/>
    <w:rsid w:val="00E809FB"/>
    <w:rsid w:val="00E85475"/>
    <w:rsid w:val="00E865F7"/>
    <w:rsid w:val="00E92AF7"/>
    <w:rsid w:val="00E978E0"/>
    <w:rsid w:val="00EA37FE"/>
    <w:rsid w:val="00EA411C"/>
    <w:rsid w:val="00EA61ED"/>
    <w:rsid w:val="00EB236D"/>
    <w:rsid w:val="00EB2487"/>
    <w:rsid w:val="00EB3D97"/>
    <w:rsid w:val="00EB77C0"/>
    <w:rsid w:val="00EC26CD"/>
    <w:rsid w:val="00ED4BF0"/>
    <w:rsid w:val="00ED4CF4"/>
    <w:rsid w:val="00ED775E"/>
    <w:rsid w:val="00EE1D73"/>
    <w:rsid w:val="00EE276C"/>
    <w:rsid w:val="00EE57EC"/>
    <w:rsid w:val="00EE593C"/>
    <w:rsid w:val="00EE74B1"/>
    <w:rsid w:val="00EF013B"/>
    <w:rsid w:val="00EF2539"/>
    <w:rsid w:val="00F01EF5"/>
    <w:rsid w:val="00F13C00"/>
    <w:rsid w:val="00F2086E"/>
    <w:rsid w:val="00F22184"/>
    <w:rsid w:val="00F249BB"/>
    <w:rsid w:val="00F25AA8"/>
    <w:rsid w:val="00F379D1"/>
    <w:rsid w:val="00F37C44"/>
    <w:rsid w:val="00F41AE1"/>
    <w:rsid w:val="00F4499A"/>
    <w:rsid w:val="00F46ABB"/>
    <w:rsid w:val="00F506A4"/>
    <w:rsid w:val="00F53F3E"/>
    <w:rsid w:val="00F54ED4"/>
    <w:rsid w:val="00F56160"/>
    <w:rsid w:val="00F56C96"/>
    <w:rsid w:val="00F647FB"/>
    <w:rsid w:val="00F6673B"/>
    <w:rsid w:val="00F70B2F"/>
    <w:rsid w:val="00F8026C"/>
    <w:rsid w:val="00F807DF"/>
    <w:rsid w:val="00F812EA"/>
    <w:rsid w:val="00F84CC6"/>
    <w:rsid w:val="00F87F5C"/>
    <w:rsid w:val="00F962C1"/>
    <w:rsid w:val="00FA1B4A"/>
    <w:rsid w:val="00FA4A59"/>
    <w:rsid w:val="00FB5669"/>
    <w:rsid w:val="00FC057F"/>
    <w:rsid w:val="00FC1034"/>
    <w:rsid w:val="00FC12D4"/>
    <w:rsid w:val="00FC4A39"/>
    <w:rsid w:val="00FC7F60"/>
    <w:rsid w:val="00FE2EB3"/>
    <w:rsid w:val="00FE5568"/>
    <w:rsid w:val="00FF2A2F"/>
    <w:rsid w:val="00FF3306"/>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ED498"/>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link w:val="PrrafodelistaCar"/>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D21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F87F5C"/>
    <w:pPr>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F87F5C"/>
    <w:rPr>
      <w:rFonts w:ascii="Courier New" w:eastAsia="Times New Roman" w:hAnsi="Courier New" w:cs="Times New Roman"/>
      <w:sz w:val="20"/>
      <w:szCs w:val="20"/>
      <w:lang w:val="x-none" w:eastAsia="es-ES"/>
    </w:rPr>
  </w:style>
  <w:style w:type="table" w:customStyle="1" w:styleId="Tablaconcuadrcula50">
    <w:name w:val="Tabla con cuadrícula50"/>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2E781B"/>
  </w:style>
  <w:style w:type="table" w:customStyle="1" w:styleId="Tablaconcuadrcula52">
    <w:name w:val="Tabla con cuadrícula52"/>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rsid w:val="002E7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rsid w:val="00100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rsid w:val="00313C0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2909B7"/>
  </w:style>
  <w:style w:type="character" w:customStyle="1" w:styleId="TextoindependienteCar1">
    <w:name w:val="Texto independiente Car1"/>
    <w:basedOn w:val="Fuentedeprrafopredeter"/>
    <w:uiPriority w:val="99"/>
    <w:semiHidden/>
    <w:rsid w:val="002909B7"/>
  </w:style>
  <w:style w:type="numbering" w:customStyle="1" w:styleId="Sinlista4">
    <w:name w:val="Sin lista4"/>
    <w:next w:val="Sinlista"/>
    <w:uiPriority w:val="99"/>
    <w:semiHidden/>
    <w:unhideWhenUsed/>
    <w:rsid w:val="00A062CA"/>
  </w:style>
  <w:style w:type="character" w:customStyle="1" w:styleId="PrrafodelistaCar">
    <w:name w:val="Párrafo de lista Car"/>
    <w:link w:val="Prrafodelista"/>
    <w:uiPriority w:val="34"/>
    <w:rsid w:val="00A062CA"/>
    <w:rPr>
      <w:rFonts w:ascii="Arial" w:hAnsi="Arial"/>
      <w:sz w:val="24"/>
      <w:szCs w:val="24"/>
    </w:rPr>
  </w:style>
  <w:style w:type="table" w:customStyle="1" w:styleId="Tablaconcuadrcula57">
    <w:name w:val="Tabla con cuadrícula57"/>
    <w:basedOn w:val="Tablanormal"/>
    <w:next w:val="Tablaconcuadrcula"/>
    <w:uiPriority w:val="39"/>
    <w:rsid w:val="007E6403"/>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rsid w:val="003D4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rsid w:val="001D2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rsid w:val="00C40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next w:val="Tablaconcuadrcula"/>
    <w:uiPriority w:val="39"/>
    <w:rsid w:val="00EF25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9C1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next w:val="Tablaconcuadrcula"/>
    <w:rsid w:val="00153F1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970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rsid w:val="00EB77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785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44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ciencedirect.com/science/article/pii/S0185161615000025" TargetMode="External"/><Relationship Id="rId1" Type="http://schemas.openxmlformats.org/officeDocument/2006/relationships/hyperlink" Target="http://www.icnl.org/programs/lac/mexico/ablanedo-estudio-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E3A0190D-A3A4-415D-A42A-693A1D47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5223</Words>
  <Characters>28728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Décima Sesión_Primer Período Ordinario_Abr 27 2021</vt:lpstr>
    </vt:vector>
  </TitlesOfParts>
  <Company/>
  <LinksUpToDate>false</LinksUpToDate>
  <CharactersWithSpaces>33884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Sesión_Primer Período Ordinario_Abr 27 2021</dc:title>
  <dc:subject/>
  <dc:creator>H. Congreso del Estado de Coahuila/Juan M. Lumbreras Teniente</dc:creator>
  <cp:keywords/>
  <dc:description/>
  <cp:lastModifiedBy>Juan Lumbreras</cp:lastModifiedBy>
  <cp:revision>3</cp:revision>
  <cp:lastPrinted>2021-05-11T00:25:00Z</cp:lastPrinted>
  <dcterms:created xsi:type="dcterms:W3CDTF">2021-05-12T19:24:00Z</dcterms:created>
  <dcterms:modified xsi:type="dcterms:W3CDTF">2021-05-12T19:26:00Z</dcterms:modified>
</cp:coreProperties>
</file>