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19" w:rsidRPr="006C3619" w:rsidRDefault="004F2451" w:rsidP="006C3619">
      <w:pPr>
        <w:widowControl w:val="0"/>
        <w:rPr>
          <w:rFonts w:cs="Arial"/>
          <w:b/>
          <w:snapToGrid w:val="0"/>
          <w:sz w:val="26"/>
          <w:szCs w:val="26"/>
        </w:rPr>
      </w:pPr>
      <w:r>
        <w:rPr>
          <w:rFonts w:cs="Arial"/>
          <w:b/>
          <w:snapToGrid w:val="0"/>
          <w:sz w:val="26"/>
          <w:szCs w:val="26"/>
        </w:rPr>
        <w:t xml:space="preserve">Dictámenes y Acuerdos correspondientes a la </w:t>
      </w:r>
      <w:r w:rsidR="006C3619" w:rsidRPr="006C3619">
        <w:rPr>
          <w:rFonts w:cs="Arial"/>
          <w:b/>
          <w:snapToGrid w:val="0"/>
          <w:sz w:val="26"/>
          <w:szCs w:val="26"/>
        </w:rPr>
        <w:t>Décima Cuarta Sesión del Primer Período Ordinario de Sesiones, del Primer Año de Ejercicio Constitucional de la Sexagésima Segunda Legislatura del Congreso del Estado Independiente, Libre y Soberano de Coahuila de Zaragoza.</w:t>
      </w:r>
    </w:p>
    <w:p w:rsidR="006C3619" w:rsidRPr="006C3619" w:rsidRDefault="006C3619" w:rsidP="006C3619">
      <w:pPr>
        <w:widowControl w:val="0"/>
        <w:rPr>
          <w:rFonts w:cs="Arial"/>
          <w:snapToGrid w:val="0"/>
          <w:sz w:val="26"/>
          <w:szCs w:val="26"/>
        </w:rPr>
      </w:pPr>
    </w:p>
    <w:p w:rsidR="006C3619" w:rsidRPr="006C3619" w:rsidRDefault="006C3619" w:rsidP="006C3619">
      <w:pPr>
        <w:widowControl w:val="0"/>
        <w:jc w:val="center"/>
        <w:rPr>
          <w:rFonts w:cs="Arial"/>
          <w:b/>
          <w:snapToGrid w:val="0"/>
          <w:sz w:val="26"/>
          <w:szCs w:val="26"/>
        </w:rPr>
      </w:pPr>
      <w:r w:rsidRPr="006C3619">
        <w:rPr>
          <w:rFonts w:cs="Arial"/>
          <w:b/>
          <w:snapToGrid w:val="0"/>
          <w:sz w:val="26"/>
          <w:szCs w:val="26"/>
        </w:rPr>
        <w:t>25 de mayo del año 2021.</w:t>
      </w:r>
    </w:p>
    <w:p w:rsidR="006C3619" w:rsidRPr="006C3619" w:rsidRDefault="006C3619" w:rsidP="006C3619">
      <w:pPr>
        <w:widowControl w:val="0"/>
        <w:rPr>
          <w:rFonts w:cs="Arial"/>
          <w:b/>
          <w:snapToGrid w:val="0"/>
          <w:sz w:val="26"/>
          <w:szCs w:val="26"/>
        </w:rPr>
      </w:pPr>
    </w:p>
    <w:p w:rsidR="006C3619" w:rsidRPr="006C3619" w:rsidRDefault="006C3619" w:rsidP="004F2451">
      <w:pPr>
        <w:widowControl w:val="0"/>
        <w:rPr>
          <w:rFonts w:eastAsia="Calibri" w:cs="Arial"/>
          <w:color w:val="000000"/>
          <w:sz w:val="26"/>
          <w:szCs w:val="26"/>
        </w:rPr>
      </w:pPr>
      <w:r w:rsidRPr="006C3619">
        <w:rPr>
          <w:rFonts w:eastAsia="Calibri" w:cs="Arial"/>
          <w:sz w:val="26"/>
          <w:szCs w:val="26"/>
        </w:rPr>
        <w:t>Lectura, discusión y, en su caso, aprobación de Dictámenes en cartera:</w:t>
      </w:r>
      <w:r w:rsidRPr="006C3619">
        <w:rPr>
          <w:rFonts w:eastAsia="Calibri" w:cs="Arial"/>
          <w:color w:val="000000"/>
          <w:sz w:val="26"/>
          <w:szCs w:val="26"/>
        </w:rPr>
        <w:t xml:space="preserve"> </w:t>
      </w:r>
    </w:p>
    <w:p w:rsidR="006C3619" w:rsidRPr="006C3619" w:rsidRDefault="006C3619" w:rsidP="006C3619">
      <w:pPr>
        <w:widowControl w:val="0"/>
        <w:ind w:firstLine="708"/>
        <w:rPr>
          <w:rFonts w:eastAsia="Calibri" w:cs="Arial"/>
          <w:color w:val="000000"/>
          <w:sz w:val="26"/>
          <w:szCs w:val="26"/>
        </w:rPr>
      </w:pPr>
    </w:p>
    <w:p w:rsidR="006C3619" w:rsidRPr="006C3619" w:rsidRDefault="006C3619" w:rsidP="006C3619">
      <w:pPr>
        <w:autoSpaceDE w:val="0"/>
        <w:autoSpaceDN w:val="0"/>
        <w:adjustRightInd w:val="0"/>
        <w:ind w:firstLine="708"/>
        <w:rPr>
          <w:rFonts w:eastAsia="Calibri" w:cs="Arial"/>
          <w:color w:val="000000"/>
          <w:sz w:val="26"/>
          <w:szCs w:val="26"/>
          <w:lang w:eastAsia="es-ES"/>
        </w:rPr>
      </w:pPr>
      <w:r w:rsidRPr="006C3619">
        <w:rPr>
          <w:rFonts w:eastAsia="Calibri" w:cs="Arial"/>
          <w:b/>
          <w:color w:val="000000"/>
          <w:sz w:val="26"/>
          <w:szCs w:val="26"/>
          <w:lang w:eastAsia="es-ES"/>
        </w:rPr>
        <w:t>A.-</w:t>
      </w:r>
      <w:r w:rsidRPr="006C3619">
        <w:rPr>
          <w:rFonts w:eastAsia="Calibri" w:cs="Arial"/>
          <w:color w:val="000000"/>
          <w:sz w:val="26"/>
          <w:szCs w:val="26"/>
          <w:lang w:eastAsia="es-ES"/>
        </w:rPr>
        <w:t xml:space="preserve"> Dictamen de la Comisión de Gobernación, Puntos Constitucionales y Justicia, relativo a la </w:t>
      </w:r>
      <w:r w:rsidRPr="006C3619">
        <w:rPr>
          <w:rFonts w:eastAsia="Times New Roman" w:cs="Arial"/>
          <w:color w:val="000000"/>
          <w:sz w:val="26"/>
          <w:szCs w:val="26"/>
          <w:lang w:eastAsia="es-ES"/>
        </w:rPr>
        <w:t>Iniciativa con Proyecto de Decreto para reformar el artículo 268 del Código Penal de Coahuila de Zaragoza, presentada por las Diputadas y Diputados integrantes de la Comisión de Gobernación, Puntos Constitucionales y Justicia de la Sexagésima Segunda Legislatura del Congreso del Estado Independiente, Libre y Soberano de Coahuila de Zaragoza.</w:t>
      </w:r>
    </w:p>
    <w:p w:rsidR="006C3619" w:rsidRDefault="006C3619" w:rsidP="006C3619">
      <w:pPr>
        <w:rPr>
          <w:rFonts w:eastAsia="Times New Roman" w:cs="Arial"/>
          <w:b/>
          <w:sz w:val="26"/>
          <w:szCs w:val="26"/>
          <w:lang w:eastAsia="es-MX"/>
        </w:rPr>
      </w:pPr>
    </w:p>
    <w:p w:rsidR="004F2451" w:rsidRDefault="004F2451">
      <w:pPr>
        <w:spacing w:after="160" w:line="259" w:lineRule="auto"/>
        <w:jc w:val="left"/>
        <w:rPr>
          <w:rFonts w:eastAsia="Calibri" w:cs="Arial"/>
          <w:b/>
          <w:color w:val="000000"/>
          <w:lang w:eastAsia="es-ES"/>
        </w:rPr>
      </w:pPr>
      <w:r>
        <w:rPr>
          <w:rFonts w:eastAsia="Calibri" w:cs="Arial"/>
          <w:b/>
          <w:color w:val="000000"/>
          <w:lang w:eastAsia="es-ES"/>
        </w:rPr>
        <w:br w:type="page"/>
      </w:r>
    </w:p>
    <w:p w:rsidR="00785B7B" w:rsidRPr="00785B7B" w:rsidRDefault="00785B7B" w:rsidP="00785B7B">
      <w:pPr>
        <w:autoSpaceDE w:val="0"/>
        <w:autoSpaceDN w:val="0"/>
        <w:adjustRightInd w:val="0"/>
        <w:spacing w:line="360" w:lineRule="auto"/>
        <w:rPr>
          <w:rFonts w:eastAsia="Calibri" w:cs="Arial"/>
          <w:color w:val="000000"/>
          <w:lang w:eastAsia="es-ES"/>
        </w:rPr>
      </w:pPr>
      <w:r w:rsidRPr="00785B7B">
        <w:rPr>
          <w:rFonts w:eastAsia="Calibri" w:cs="Arial"/>
          <w:b/>
          <w:color w:val="000000"/>
          <w:lang w:eastAsia="es-ES"/>
        </w:rPr>
        <w:lastRenderedPageBreak/>
        <w:t>DICTAMEN</w:t>
      </w:r>
      <w:r w:rsidRPr="00785B7B">
        <w:rPr>
          <w:rFonts w:eastAsia="Calibri" w:cs="Arial"/>
          <w:color w:val="000000"/>
          <w:lang w:eastAsia="es-ES"/>
        </w:rPr>
        <w:t xml:space="preserve"> de la Comisión de Gobernación, Puntos Constitucionales y Justicia, relativo a la </w:t>
      </w:r>
      <w:r w:rsidRPr="00785B7B">
        <w:rPr>
          <w:rFonts w:eastAsia="Times New Roman" w:cs="Arial"/>
          <w:color w:val="000000"/>
          <w:lang w:eastAsia="es-ES"/>
        </w:rPr>
        <w:t>Iniciativa con Proyecto de Decreto para reformar el artículo 268 del Código Penal de Coahuila de Zaragoza, presentada por las Diputadas y Diputados integrantes de la Comisión de Gobernación, Puntos Constitucionales y Justicia de la Sexagésima Segunda Legislatura del Congreso del Estado Independiente, Libre y Soberano de Coahuila de Zaragoza.</w:t>
      </w:r>
    </w:p>
    <w:p w:rsidR="00785B7B" w:rsidRPr="00785B7B" w:rsidRDefault="00785B7B" w:rsidP="00785B7B">
      <w:pPr>
        <w:autoSpaceDE w:val="0"/>
        <w:autoSpaceDN w:val="0"/>
        <w:adjustRightInd w:val="0"/>
        <w:spacing w:line="360" w:lineRule="auto"/>
        <w:rPr>
          <w:rFonts w:eastAsia="Calibri" w:cs="Arial"/>
          <w:color w:val="000000"/>
          <w:lang w:eastAsia="es-ES"/>
        </w:rPr>
      </w:pPr>
    </w:p>
    <w:p w:rsidR="00785B7B" w:rsidRPr="00785B7B" w:rsidRDefault="00785B7B" w:rsidP="00785B7B">
      <w:pPr>
        <w:spacing w:line="360" w:lineRule="auto"/>
        <w:jc w:val="center"/>
        <w:rPr>
          <w:rFonts w:eastAsia="Times New Roman" w:cs="Arial"/>
          <w:b/>
          <w:lang w:eastAsia="es-ES"/>
        </w:rPr>
      </w:pPr>
      <w:r w:rsidRPr="00785B7B">
        <w:rPr>
          <w:rFonts w:eastAsia="Times New Roman" w:cs="Arial"/>
          <w:b/>
          <w:lang w:eastAsia="es-ES"/>
        </w:rPr>
        <w:t>R E S U L T A N D O</w:t>
      </w:r>
    </w:p>
    <w:p w:rsidR="00785B7B" w:rsidRPr="00785B7B" w:rsidRDefault="00785B7B" w:rsidP="00785B7B">
      <w:pPr>
        <w:spacing w:line="360" w:lineRule="auto"/>
        <w:rPr>
          <w:rFonts w:eastAsia="Times New Roman" w:cs="Arial"/>
          <w:lang w:eastAsia="es-ES"/>
        </w:rPr>
      </w:pPr>
    </w:p>
    <w:p w:rsidR="00785B7B" w:rsidRPr="00785B7B" w:rsidRDefault="00785B7B" w:rsidP="00785B7B">
      <w:pPr>
        <w:spacing w:line="360" w:lineRule="auto"/>
        <w:rPr>
          <w:rFonts w:eastAsia="Times New Roman" w:cs="Arial"/>
          <w:lang w:eastAsia="es-ES"/>
        </w:rPr>
      </w:pPr>
      <w:r w:rsidRPr="00785B7B">
        <w:rPr>
          <w:rFonts w:eastAsia="Times New Roman" w:cs="Arial"/>
          <w:b/>
          <w:lang w:eastAsia="es-ES"/>
        </w:rPr>
        <w:t xml:space="preserve">PRIMERO.- </w:t>
      </w:r>
      <w:r w:rsidRPr="00785B7B">
        <w:rPr>
          <w:rFonts w:eastAsia="Times New Roman" w:cs="Arial"/>
          <w:lang w:eastAsia="es-ES"/>
        </w:rPr>
        <w:t>Que en sesión celebrada por el Pleno del Congreso el día 11 del mes de mayo del presente año, se acordó turnar a esta Comisión de Gobernación, Puntos Constitucionales y Justicia, la iniciativa a que se ha hecho referencia.</w:t>
      </w:r>
    </w:p>
    <w:p w:rsidR="00785B7B" w:rsidRPr="00785B7B" w:rsidRDefault="00785B7B" w:rsidP="00785B7B">
      <w:pPr>
        <w:spacing w:line="360" w:lineRule="auto"/>
        <w:rPr>
          <w:rFonts w:eastAsia="Times New Roman" w:cs="Arial"/>
          <w:lang w:eastAsia="es-ES"/>
        </w:rPr>
      </w:pPr>
    </w:p>
    <w:p w:rsidR="00785B7B" w:rsidRPr="00785B7B" w:rsidRDefault="00785B7B" w:rsidP="00785B7B">
      <w:pPr>
        <w:spacing w:line="360" w:lineRule="auto"/>
        <w:rPr>
          <w:rFonts w:eastAsia="Times New Roman" w:cs="Arial"/>
          <w:lang w:eastAsia="es-ES"/>
        </w:rPr>
      </w:pPr>
      <w:r w:rsidRPr="00785B7B">
        <w:rPr>
          <w:rFonts w:eastAsia="Times New Roman" w:cs="Arial"/>
          <w:b/>
          <w:lang w:eastAsia="es-ES"/>
        </w:rPr>
        <w:t xml:space="preserve">SEGUNDO.- </w:t>
      </w:r>
      <w:r w:rsidRPr="00785B7B">
        <w:rPr>
          <w:rFonts w:eastAsia="Times New Roman" w:cs="Arial"/>
          <w:lang w:eastAsia="es-ES"/>
        </w:rPr>
        <w:t xml:space="preserve">Que en cumplimiento de dicho acuerdo, en misma fecha se turnó a esta Comisión de Gobernación, Puntos Constitucionales y Justicia, la </w:t>
      </w:r>
      <w:r w:rsidRPr="00785B7B">
        <w:rPr>
          <w:rFonts w:eastAsia="Times New Roman" w:cs="Arial"/>
          <w:color w:val="000000"/>
          <w:lang w:eastAsia="es-ES"/>
        </w:rPr>
        <w:t>iniciativa con Proyecto de Decreto para reformar el artículo 268 del Código Penal de Coahuila de Zaragoza, presentada por las Diputadas y Diputados integrantes de la Comisión de Gobernación, Puntos Constitucionales y Justicia de la Sexagésima Segunda Legislatura del Congreso del Estado Independiente, Libre y Soberano de Coahuila de Zaragoza.</w:t>
      </w:r>
    </w:p>
    <w:p w:rsidR="00785B7B" w:rsidRPr="00785B7B" w:rsidRDefault="00785B7B" w:rsidP="00785B7B">
      <w:pPr>
        <w:spacing w:line="360" w:lineRule="auto"/>
        <w:rPr>
          <w:rFonts w:eastAsia="Times New Roman" w:cs="Arial"/>
          <w:lang w:eastAsia="es-ES"/>
        </w:rPr>
      </w:pPr>
    </w:p>
    <w:p w:rsidR="00785B7B" w:rsidRPr="00785B7B" w:rsidRDefault="00785B7B" w:rsidP="00785B7B">
      <w:pPr>
        <w:spacing w:line="360" w:lineRule="auto"/>
        <w:jc w:val="center"/>
        <w:rPr>
          <w:rFonts w:eastAsia="Times New Roman" w:cs="Arial"/>
          <w:b/>
          <w:lang w:eastAsia="es-ES"/>
        </w:rPr>
      </w:pPr>
      <w:r w:rsidRPr="00785B7B">
        <w:rPr>
          <w:rFonts w:eastAsia="Times New Roman" w:cs="Arial"/>
          <w:b/>
          <w:lang w:eastAsia="es-ES"/>
        </w:rPr>
        <w:t>C O N S I D E R A N D O</w:t>
      </w:r>
    </w:p>
    <w:p w:rsidR="00785B7B" w:rsidRPr="00785B7B" w:rsidRDefault="00785B7B" w:rsidP="00785B7B">
      <w:pPr>
        <w:spacing w:line="360" w:lineRule="auto"/>
        <w:rPr>
          <w:rFonts w:eastAsia="Times New Roman" w:cs="Arial"/>
          <w:lang w:eastAsia="es-ES"/>
        </w:rPr>
      </w:pPr>
    </w:p>
    <w:p w:rsidR="00785B7B" w:rsidRPr="00785B7B" w:rsidRDefault="00785B7B" w:rsidP="00785B7B">
      <w:pPr>
        <w:spacing w:line="360" w:lineRule="auto"/>
        <w:rPr>
          <w:rFonts w:eastAsia="Times New Roman" w:cs="Arial"/>
          <w:lang w:eastAsia="es-ES"/>
        </w:rPr>
      </w:pPr>
      <w:r w:rsidRPr="00785B7B">
        <w:rPr>
          <w:rFonts w:eastAsia="Times New Roman" w:cs="Arial"/>
          <w:b/>
          <w:lang w:eastAsia="es-ES"/>
        </w:rPr>
        <w:t xml:space="preserve">PRIMERO.- </w:t>
      </w:r>
      <w:r w:rsidRPr="00785B7B">
        <w:rPr>
          <w:rFonts w:eastAsia="Times New Roman" w:cs="Arial"/>
          <w:lang w:eastAsia="es-ES"/>
        </w:rPr>
        <w:t>Que esta Comisión, con fundamento en los artículos 90, 116, 117 y demás relativos de la Ley Orgánica del Congreso del Estado Independiente, Libre y Soberano de Coahuila de Zaragoza, es competente para emitir el presente Dictamen.</w:t>
      </w:r>
    </w:p>
    <w:p w:rsidR="00785B7B" w:rsidRPr="00785B7B" w:rsidRDefault="00785B7B" w:rsidP="00785B7B">
      <w:pPr>
        <w:spacing w:line="360" w:lineRule="auto"/>
        <w:rPr>
          <w:rFonts w:eastAsia="Times New Roman" w:cs="Arial"/>
          <w:lang w:eastAsia="es-ES"/>
        </w:rPr>
      </w:pPr>
    </w:p>
    <w:p w:rsidR="00785B7B" w:rsidRPr="00785B7B" w:rsidRDefault="00785B7B" w:rsidP="00785B7B">
      <w:pPr>
        <w:spacing w:line="360" w:lineRule="auto"/>
        <w:rPr>
          <w:rFonts w:eastAsia="Times New Roman" w:cs="Arial"/>
          <w:lang w:eastAsia="es-ES"/>
        </w:rPr>
      </w:pPr>
      <w:r w:rsidRPr="00785B7B">
        <w:rPr>
          <w:rFonts w:eastAsia="Times New Roman" w:cs="Arial"/>
          <w:b/>
          <w:lang w:eastAsia="es-ES"/>
        </w:rPr>
        <w:t xml:space="preserve">SEGUNDO.- </w:t>
      </w:r>
      <w:r w:rsidRPr="00785B7B">
        <w:rPr>
          <w:rFonts w:eastAsia="Times New Roman" w:cs="Arial"/>
          <w:lang w:eastAsia="es-ES"/>
        </w:rPr>
        <w:t xml:space="preserve">Que la </w:t>
      </w:r>
      <w:r w:rsidRPr="00785B7B">
        <w:rPr>
          <w:rFonts w:eastAsia="Times New Roman" w:cs="Arial"/>
          <w:color w:val="000000"/>
          <w:lang w:eastAsia="es-ES"/>
        </w:rPr>
        <w:t xml:space="preserve">iniciativa con Proyecto de Decreto para reformar el artículo 268 del Código Penal de Coahuila de Zaragoza, presentada por las Diputadas y Diputados </w:t>
      </w:r>
      <w:r w:rsidRPr="00785B7B">
        <w:rPr>
          <w:rFonts w:eastAsia="Times New Roman" w:cs="Arial"/>
          <w:color w:val="000000"/>
          <w:lang w:eastAsia="es-ES"/>
        </w:rPr>
        <w:lastRenderedPageBreak/>
        <w:t>integrantes de la Comisión de Gobernación, Puntos Constitucionales y Justicia de la Sexagésima Segunda Legislatura del Congreso del Estado Independiente, Libre y Soberano de Coahuila de Zaragoza</w:t>
      </w:r>
      <w:r w:rsidRPr="00785B7B">
        <w:rPr>
          <w:rFonts w:eastAsia="Calibri" w:cs="Arial"/>
          <w:color w:val="000000"/>
          <w:lang w:eastAsia="es-ES"/>
        </w:rPr>
        <w:t xml:space="preserve">, </w:t>
      </w:r>
      <w:r w:rsidRPr="00785B7B">
        <w:rPr>
          <w:rFonts w:eastAsia="Times New Roman" w:cs="Arial"/>
          <w:lang w:eastAsia="es-ES"/>
        </w:rPr>
        <w:t>se basa en las siguientes consideraciones:</w:t>
      </w:r>
    </w:p>
    <w:p w:rsidR="00785B7B" w:rsidRPr="00785B7B" w:rsidRDefault="00785B7B" w:rsidP="00785B7B">
      <w:pPr>
        <w:spacing w:line="360" w:lineRule="auto"/>
        <w:rPr>
          <w:rFonts w:eastAsia="Times New Roman" w:cs="Arial"/>
          <w:lang w:eastAsia="es-ES"/>
        </w:rPr>
      </w:pPr>
    </w:p>
    <w:p w:rsidR="00785B7B" w:rsidRPr="00785B7B" w:rsidRDefault="00785B7B" w:rsidP="00785B7B">
      <w:pPr>
        <w:spacing w:line="360" w:lineRule="auto"/>
        <w:jc w:val="center"/>
        <w:rPr>
          <w:rFonts w:eastAsia="Times New Roman" w:cs="Arial"/>
          <w:b/>
          <w:lang w:eastAsia="es-ES"/>
        </w:rPr>
      </w:pPr>
      <w:r w:rsidRPr="00785B7B">
        <w:rPr>
          <w:rFonts w:eastAsia="Times New Roman" w:cs="Arial"/>
          <w:b/>
          <w:lang w:eastAsia="es-ES"/>
        </w:rPr>
        <w:t>E X P O S I C I Ó N   D E   M O T I V O S</w:t>
      </w:r>
    </w:p>
    <w:p w:rsidR="00785B7B" w:rsidRPr="00785B7B" w:rsidRDefault="00785B7B" w:rsidP="00785B7B">
      <w:pPr>
        <w:spacing w:line="360" w:lineRule="auto"/>
        <w:rPr>
          <w:rFonts w:eastAsia="Times New Roman" w:cs="Arial"/>
          <w:lang w:eastAsia="es-ES"/>
        </w:rPr>
      </w:pPr>
    </w:p>
    <w:p w:rsidR="00785B7B" w:rsidRPr="00785B7B" w:rsidRDefault="00785B7B" w:rsidP="00785B7B">
      <w:pPr>
        <w:spacing w:line="360" w:lineRule="auto"/>
        <w:ind w:left="567" w:right="567"/>
        <w:rPr>
          <w:rFonts w:eastAsia="Calibri" w:cs="Arial"/>
          <w:i/>
        </w:rPr>
      </w:pPr>
      <w:r w:rsidRPr="00785B7B">
        <w:rPr>
          <w:rFonts w:eastAsia="Calibri" w:cs="Arial"/>
          <w:i/>
        </w:rPr>
        <w:t xml:space="preserve">“Los principios del derecho, son las fuentes primarias de las normas jurídicas, en ellos las leyes encuentran su legitimación y justificación, ellos expresan el comportamiento que conviene al hombre seguir en orden a su perfeccionamiento como ser humano. </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 xml:space="preserve">Así, las normas jurídicas deben ser claras, precisas y en caso de requerir alguna interpretación, debe ser realizada por el juzgador; por ello, para evitar cualquier arbitrariedad, los principios generales del derecho cumplen una triple acción en el mundo jurídico, la de servir de normas supletorias de las leyes, la de auxiliar al intérprete del derecho en la búsqueda de su verdadero sentido y significación de las normas jurídicas y la de constituir la fundamentación o base del derecho. </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Como lo ha sostenido la Corte Interamericana de Derechos Humanos, el Derecho Penal es el medio más restrictivo y severo para establecer responsabilidades respecto de una conducta ilícita</w:t>
      </w:r>
      <w:r w:rsidRPr="00785B7B">
        <w:rPr>
          <w:rFonts w:eastAsia="Calibri" w:cs="Arial"/>
          <w:i/>
          <w:vertAlign w:val="superscript"/>
        </w:rPr>
        <w:footnoteReference w:id="1"/>
      </w:r>
      <w:r w:rsidRPr="00785B7B">
        <w:rPr>
          <w:rFonts w:eastAsia="Calibri" w:cs="Arial"/>
          <w:i/>
        </w:rPr>
        <w:t>. También ha señalado que la ambigüedad en la formulación de los tipos penales genera dudas y abre el campo al arbitrio de la autoridad, indeseable en casos de establecer la responsabilidad penal de los individuos y sancionarla con penas que afectan severamente bienes fundamentales, como la vida o la libertad</w:t>
      </w:r>
      <w:r w:rsidRPr="00785B7B">
        <w:rPr>
          <w:rFonts w:eastAsia="Calibri" w:cs="Arial"/>
          <w:i/>
          <w:vertAlign w:val="superscript"/>
        </w:rPr>
        <w:footnoteReference w:id="2"/>
      </w:r>
      <w:r w:rsidRPr="00785B7B">
        <w:rPr>
          <w:rFonts w:eastAsia="Calibri" w:cs="Arial"/>
          <w:i/>
        </w:rPr>
        <w:t xml:space="preserve">. </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 xml:space="preserve">En este sentido, la construcción de las normas penales es de suma importancia, ya que es la herramienta mediante la cual el juzgador impondrá sanciones por aquellas conductas que lesionan o ponen en peligro los bienes jurídicos más importantes para la sociedad y que se encuentran protegidos por el Derecho Penal. </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 xml:space="preserve">En consecuencia, cada uno de los dispositivos componentes del derecho penal, debe diseñarse con suma claridad procurando evitar al máximo que se genere incertidumbre jurídica por la diversidad de apreciaciones, o dicho de otra forma, se debe dejar el mínimo margen de interpretación pues ello se traducirá en una mayor seguridad jurídica para los destinatarios de la norma. </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 xml:space="preserve">Uno de los aspectos fundamentales que forma parte de la identidad del derecho penal es la observancia de los principios de legalidad, tipicidad y taxatividad, entre otros. </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 xml:space="preserve">En efecto, el principio de legalidad es pilar fundamental del derecho penal correspondiente a un Estado democrático de derecho, siendo una de sus máximas la que indica que no puede haber delito, ni pena, sin que exista una ley específica y concreta para el hecho de que se trate. Este principio está reconocido en el artículo 15 del Pacto Internacional de Derechos Civiles y Políticos, y el artículo 9 de la Convención Americana de Derechos Humanos. </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 xml:space="preserve">Asimismo, el principio de tipicidad o taxatividad se encuentra consagrado en el párrafo tercero del artículo 14 de la Constitución Política de los Estados Unidos Mexicanos, así como en el párrafo quinto del artículo 155 de la Constitución Política de Coahuila de Zaragoza, para establecer que en los </w:t>
      </w:r>
      <w:r w:rsidRPr="00785B7B">
        <w:rPr>
          <w:rFonts w:eastAsia="Calibri" w:cs="Arial"/>
          <w:i/>
        </w:rPr>
        <w:lastRenderedPageBreak/>
        <w:t xml:space="preserve">juicios del orden criminal, queda prohibido imponer, por simple analogía y aún por mayoría de razón, pena alguna que no esté decretada por una ley exactamente aplicable al delito de que se trata, es decir, determina que las conductas punibles deben estar previstas en ley de forma clara, limitada e inequívoca, sin reenvío a parámetros extralegales, y que implica la imposibilidad de imponer penas por analogía o por mayoría de razón, y la prohibición de tipos penales ambiguos.  </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Al respecto, la Suprema Corte de Justicia de la Nación ha señalado en la tesis de rubro “EXACTA APLICACION DE LA LEY EN MATERIA PENAL, GARANTIA DE. SU CONTENIDO Y ALCANCE ABARCA TAMBIEN A LA LEY MISMA”, que en el contexto del artículo 14 constitucional,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aplicación o demérito en la defensa del procesado”</w:t>
      </w:r>
      <w:r w:rsidRPr="00785B7B">
        <w:rPr>
          <w:rFonts w:eastAsia="Calibri" w:cs="Arial"/>
          <w:i/>
          <w:vertAlign w:val="superscript"/>
        </w:rPr>
        <w:footnoteReference w:id="3"/>
      </w:r>
      <w:r w:rsidRPr="00785B7B">
        <w:rPr>
          <w:rFonts w:eastAsia="Calibri" w:cs="Arial"/>
          <w:i/>
        </w:rPr>
        <w:t>. El mismo Tribunal Constitucional en tesis de rubro “NORMAS PENALES. AL ANALIZAR SU CONSTITUCIONALIDAD NO PROCEDE REALIZAR UNA INTERPRETACIÓN CONFORME O INTEGRADORA” ha establecido que el legislador “está obligado a estructurar de manera clara los elementos del tipo penal, delimitando su alcance de acuerdo a los bienes tutelados, imponiendo la determinación del sujeto responsable y de sus condiciones particulares y especiales, así como establecer con toda claridad las penas que deben aplicarse en cada caso”</w:t>
      </w:r>
      <w:r w:rsidRPr="00785B7B">
        <w:rPr>
          <w:rFonts w:eastAsia="Calibri" w:cs="Arial"/>
          <w:i/>
          <w:vertAlign w:val="superscript"/>
        </w:rPr>
        <w:footnoteReference w:id="4"/>
      </w:r>
      <w:r w:rsidRPr="00785B7B">
        <w:rPr>
          <w:rFonts w:eastAsia="Calibri" w:cs="Arial"/>
          <w:i/>
        </w:rPr>
        <w:t>.</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lastRenderedPageBreak/>
        <w:t xml:space="preserve">Por tanto, el marco jurídico del Estado, y particularmente las normas que integran el Derecho Penal, debe construirse, con normas definidas de forma clara, precisa y exacta, que originen certeza jurídica en relación tanto a la conducta reprochable, como la consecuencia jurídica que puede resultar por la comisión del hecho ilícito. </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 xml:space="preserve">En ese orden de ideas, se propone reformar el primer párrafo del artículo 268 del Código Penal de Coahuila de Zaragoza, el cual prevé actualmente que: “Se impondrá una pena de tres a ocho años y de 600 a 900 días multa, a quien se atribuya la identidad de otra persona por cualquier medio, u otorgue su consentimiento para llevar la suplantación de su identidad…”, a efecto de que se señale de manera clara y textual que dicha sanción corresponde a pena de prisión, es decir, de </w:t>
      </w:r>
      <w:r w:rsidRPr="00785B7B">
        <w:rPr>
          <w:rFonts w:eastAsia="Times New Roman" w:cs="Arial"/>
          <w:bCs/>
          <w:i/>
          <w:lang w:eastAsia="es-ES"/>
        </w:rPr>
        <w:t>tres a ocho años</w:t>
      </w:r>
      <w:r w:rsidRPr="00785B7B">
        <w:rPr>
          <w:rFonts w:eastAsia="Calibri" w:cs="Arial"/>
          <w:i/>
        </w:rPr>
        <w:t xml:space="preserve"> de prisión.</w:t>
      </w:r>
    </w:p>
    <w:p w:rsidR="00785B7B" w:rsidRPr="00785B7B" w:rsidRDefault="00785B7B" w:rsidP="00785B7B">
      <w:pPr>
        <w:spacing w:line="360" w:lineRule="auto"/>
        <w:ind w:left="567" w:right="567"/>
        <w:rPr>
          <w:rFonts w:eastAsia="Calibri" w:cs="Arial"/>
          <w:i/>
        </w:rPr>
      </w:pPr>
    </w:p>
    <w:p w:rsidR="00785B7B" w:rsidRPr="00785B7B" w:rsidRDefault="00785B7B" w:rsidP="00785B7B">
      <w:pPr>
        <w:spacing w:line="360" w:lineRule="auto"/>
        <w:ind w:left="567" w:right="567"/>
        <w:rPr>
          <w:rFonts w:eastAsia="Calibri" w:cs="Arial"/>
          <w:i/>
        </w:rPr>
      </w:pPr>
      <w:r w:rsidRPr="00785B7B">
        <w:rPr>
          <w:rFonts w:eastAsia="Calibri" w:cs="Arial"/>
          <w:i/>
        </w:rPr>
        <w:t>Conforme el tercer párrafo del artículo primero de la Constitución Política de los Estados Unidos Mexicanos, todas las autoridades, en el ámbito de sus competencias, tiene la obligación de promover, respetar, proteger y garantizar los derechos humanos de conformidad con los principios de universalidad, interdependencia, indivisibilidad y progresividad. El Congreso del Estado, como titular del poder legislativo en el Estado de Coahuila de Zaragoza, no escapa a esta obligación, y en el ámbito de sus atribuciones, debe promover dicho cumplimiento y, en el caso  que motiva esta iniciativa, darle cumplimiento al derecho humano de la exacta aplicación de la ley penal.”</w:t>
      </w:r>
    </w:p>
    <w:p w:rsidR="00785B7B" w:rsidRPr="00785B7B" w:rsidRDefault="00785B7B" w:rsidP="00785B7B">
      <w:pPr>
        <w:widowControl w:val="0"/>
        <w:autoSpaceDE w:val="0"/>
        <w:autoSpaceDN w:val="0"/>
        <w:adjustRightInd w:val="0"/>
        <w:spacing w:line="360" w:lineRule="auto"/>
        <w:rPr>
          <w:rFonts w:eastAsia="Times New Roman" w:cs="Arial"/>
          <w:lang w:eastAsia="es-ES"/>
        </w:rPr>
      </w:pPr>
    </w:p>
    <w:p w:rsidR="00785B7B" w:rsidRPr="00785B7B" w:rsidRDefault="00785B7B" w:rsidP="00785B7B">
      <w:pPr>
        <w:widowControl w:val="0"/>
        <w:autoSpaceDE w:val="0"/>
        <w:autoSpaceDN w:val="0"/>
        <w:adjustRightInd w:val="0"/>
        <w:spacing w:line="360" w:lineRule="auto"/>
        <w:rPr>
          <w:rFonts w:eastAsia="Times New Roman" w:cs="Arial"/>
          <w:lang w:eastAsia="es-ES"/>
        </w:rPr>
      </w:pPr>
      <w:r w:rsidRPr="00785B7B">
        <w:rPr>
          <w:rFonts w:eastAsia="Times New Roman" w:cs="Arial"/>
          <w:b/>
          <w:lang w:eastAsia="es-ES"/>
        </w:rPr>
        <w:t>TERCERO.-</w:t>
      </w:r>
      <w:r w:rsidRPr="00785B7B">
        <w:rPr>
          <w:rFonts w:eastAsia="Times New Roman" w:cs="Arial"/>
          <w:lang w:eastAsia="es-ES"/>
        </w:rPr>
        <w:t xml:space="preserve"> Los integrantes de la Comisión de Gobernación, Puntos Constitucionales y Justicia, revisamos el contenido de la iniciativa, así como su exposición de motivos, de lo cual consideramos que se encamina a darle cumplimiento a la garantía de exacta aplicación de la ley penal, como se define en el párrafo tercero del artículo 14 de la </w:t>
      </w:r>
      <w:r w:rsidRPr="00785B7B">
        <w:rPr>
          <w:rFonts w:eastAsia="Times New Roman" w:cs="Arial"/>
          <w:lang w:eastAsia="es-ES"/>
        </w:rPr>
        <w:lastRenderedPageBreak/>
        <w:t xml:space="preserve">Constitución Federal, así como el párrafo quinto del artículo 155 de la Constitución de nuestro Estado. </w:t>
      </w:r>
    </w:p>
    <w:p w:rsidR="00785B7B" w:rsidRPr="00785B7B" w:rsidRDefault="00785B7B" w:rsidP="00785B7B">
      <w:pPr>
        <w:widowControl w:val="0"/>
        <w:autoSpaceDE w:val="0"/>
        <w:autoSpaceDN w:val="0"/>
        <w:adjustRightInd w:val="0"/>
        <w:spacing w:line="360" w:lineRule="auto"/>
        <w:rPr>
          <w:rFonts w:eastAsia="Times New Roman" w:cs="Arial"/>
          <w:lang w:eastAsia="es-ES"/>
        </w:rPr>
      </w:pPr>
    </w:p>
    <w:p w:rsidR="00785B7B" w:rsidRPr="00785B7B" w:rsidRDefault="00785B7B" w:rsidP="00785B7B">
      <w:pPr>
        <w:widowControl w:val="0"/>
        <w:autoSpaceDE w:val="0"/>
        <w:autoSpaceDN w:val="0"/>
        <w:adjustRightInd w:val="0"/>
        <w:spacing w:line="360" w:lineRule="auto"/>
        <w:rPr>
          <w:rFonts w:eastAsia="Times New Roman" w:cs="Arial"/>
          <w:lang w:eastAsia="es-ES"/>
        </w:rPr>
      </w:pPr>
      <w:r w:rsidRPr="00785B7B">
        <w:rPr>
          <w:rFonts w:eastAsia="Times New Roman" w:cs="Arial"/>
          <w:lang w:eastAsia="es-ES"/>
        </w:rPr>
        <w:t>Según la doctrina, en estos preceptos reside uno de los principios orientadores del Derecho Penal, denominado principio de taxatividad. Según Miguel Carbonell, la taxatividad de la ley penal consiste en que los textos que contengan normas sancionadoras describan claramente las conductas que están regulando y las sanciones penales que se pueden aplicar a quien las realicen</w:t>
      </w:r>
      <w:r w:rsidRPr="00785B7B">
        <w:rPr>
          <w:rFonts w:eastAsia="Times New Roman" w:cs="Arial"/>
          <w:vertAlign w:val="superscript"/>
          <w:lang w:eastAsia="es-ES"/>
        </w:rPr>
        <w:footnoteReference w:id="5"/>
      </w:r>
      <w:r w:rsidRPr="00785B7B">
        <w:rPr>
          <w:rFonts w:eastAsia="Times New Roman" w:cs="Arial"/>
          <w:lang w:eastAsia="es-ES"/>
        </w:rPr>
        <w:t>.</w:t>
      </w:r>
    </w:p>
    <w:p w:rsidR="00785B7B" w:rsidRPr="00785B7B" w:rsidRDefault="00785B7B" w:rsidP="00785B7B">
      <w:pPr>
        <w:widowControl w:val="0"/>
        <w:autoSpaceDE w:val="0"/>
        <w:autoSpaceDN w:val="0"/>
        <w:adjustRightInd w:val="0"/>
        <w:spacing w:line="360" w:lineRule="auto"/>
        <w:rPr>
          <w:rFonts w:eastAsia="Times New Roman" w:cs="Arial"/>
          <w:lang w:eastAsia="es-ES"/>
        </w:rPr>
      </w:pPr>
    </w:p>
    <w:p w:rsidR="00785B7B" w:rsidRPr="00785B7B" w:rsidRDefault="00785B7B" w:rsidP="00785B7B">
      <w:pPr>
        <w:widowControl w:val="0"/>
        <w:autoSpaceDE w:val="0"/>
        <w:autoSpaceDN w:val="0"/>
        <w:adjustRightInd w:val="0"/>
        <w:spacing w:line="360" w:lineRule="auto"/>
        <w:rPr>
          <w:rFonts w:eastAsia="Times New Roman" w:cs="Arial"/>
          <w:lang w:eastAsia="es-ES"/>
        </w:rPr>
      </w:pPr>
      <w:r w:rsidRPr="00785B7B">
        <w:rPr>
          <w:rFonts w:eastAsia="Times New Roman" w:cs="Arial"/>
          <w:lang w:eastAsia="es-ES"/>
        </w:rPr>
        <w:t>Al respecto, es necesario recordar el concepto de pena del maestro Fernando Castellanos Tena, el cual define a la pena como el castigo legalmente impuesto por el Estado al delincuente, para conservar el orden jurídico</w:t>
      </w:r>
      <w:r w:rsidRPr="00785B7B">
        <w:rPr>
          <w:rFonts w:eastAsia="Times New Roman" w:cs="Arial"/>
          <w:vertAlign w:val="superscript"/>
          <w:lang w:eastAsia="es-ES"/>
        </w:rPr>
        <w:footnoteReference w:id="6"/>
      </w:r>
      <w:r w:rsidRPr="00785B7B">
        <w:rPr>
          <w:rFonts w:eastAsia="Times New Roman" w:cs="Arial"/>
          <w:lang w:eastAsia="es-ES"/>
        </w:rPr>
        <w:t xml:space="preserve">.  Sin leyes penales que establezcan elementos del delito ni penas que puedan comprender la generalidad de las personas, se dificulta el efecto intimidatorio de la pena para aquellos que pretendan cometer un hecho ilícito, o bien, se complica la tarea de los juzgadores, en el momento de individualizar las sanciones penales. </w:t>
      </w:r>
    </w:p>
    <w:p w:rsidR="00785B7B" w:rsidRPr="00785B7B" w:rsidRDefault="00785B7B" w:rsidP="00785B7B">
      <w:pPr>
        <w:spacing w:line="360" w:lineRule="auto"/>
        <w:rPr>
          <w:rFonts w:eastAsia="Times New Roman" w:cs="Arial"/>
          <w:lang w:eastAsia="es-ES"/>
        </w:rPr>
      </w:pPr>
    </w:p>
    <w:p w:rsidR="00785B7B" w:rsidRPr="00785B7B" w:rsidRDefault="00785B7B" w:rsidP="00785B7B">
      <w:pPr>
        <w:spacing w:line="360" w:lineRule="auto"/>
        <w:rPr>
          <w:rFonts w:eastAsia="Times New Roman" w:cs="Arial"/>
          <w:lang w:eastAsia="es-ES"/>
        </w:rPr>
      </w:pPr>
      <w:r w:rsidRPr="00785B7B">
        <w:rPr>
          <w:rFonts w:eastAsia="Arial" w:cs="Arial"/>
          <w:lang w:eastAsia="es-MX"/>
        </w:rPr>
        <w:t>Con base en las consideraciones que anteceden, sometemos a consideración del Pleno del Congreso para su aprobación, el siguiente Proyecto de:</w:t>
      </w:r>
    </w:p>
    <w:p w:rsidR="00785B7B" w:rsidRPr="00785B7B" w:rsidRDefault="00785B7B" w:rsidP="00785B7B">
      <w:pPr>
        <w:spacing w:line="360" w:lineRule="auto"/>
        <w:rPr>
          <w:rFonts w:eastAsia="Times New Roman" w:cs="Arial"/>
          <w:lang w:eastAsia="es-ES"/>
        </w:rPr>
      </w:pPr>
    </w:p>
    <w:p w:rsidR="00785B7B" w:rsidRPr="00785B7B" w:rsidRDefault="00785B7B" w:rsidP="00785B7B">
      <w:pPr>
        <w:spacing w:line="360" w:lineRule="auto"/>
        <w:jc w:val="center"/>
        <w:rPr>
          <w:rFonts w:eastAsia="Times New Roman" w:cs="Arial"/>
          <w:b/>
          <w:lang w:eastAsia="es-ES"/>
        </w:rPr>
      </w:pPr>
      <w:r w:rsidRPr="00785B7B">
        <w:rPr>
          <w:rFonts w:eastAsia="Times New Roman" w:cs="Arial"/>
          <w:b/>
          <w:lang w:eastAsia="es-ES"/>
        </w:rPr>
        <w:t>DECRETO</w:t>
      </w:r>
    </w:p>
    <w:p w:rsidR="00785B7B" w:rsidRPr="00785B7B" w:rsidRDefault="00785B7B" w:rsidP="00785B7B">
      <w:pPr>
        <w:spacing w:line="360" w:lineRule="auto"/>
        <w:jc w:val="center"/>
        <w:rPr>
          <w:rFonts w:eastAsia="Times New Roman" w:cs="Arial"/>
          <w:b/>
          <w:lang w:eastAsia="es-ES"/>
        </w:rPr>
      </w:pPr>
    </w:p>
    <w:p w:rsidR="00785B7B" w:rsidRPr="00785B7B" w:rsidRDefault="00785B7B" w:rsidP="00785B7B">
      <w:pPr>
        <w:autoSpaceDE w:val="0"/>
        <w:autoSpaceDN w:val="0"/>
        <w:adjustRightInd w:val="0"/>
        <w:spacing w:line="360" w:lineRule="auto"/>
        <w:rPr>
          <w:rFonts w:eastAsia="Times New Roman" w:cs="Arial"/>
          <w:bCs/>
          <w:lang w:eastAsia="es-ES"/>
        </w:rPr>
      </w:pPr>
      <w:r w:rsidRPr="00785B7B">
        <w:rPr>
          <w:rFonts w:eastAsia="Times New Roman" w:cs="Arial"/>
          <w:b/>
          <w:bCs/>
          <w:lang w:eastAsia="es-ES"/>
        </w:rPr>
        <w:t xml:space="preserve">ARTÍCULO ÚNICO.- </w:t>
      </w:r>
      <w:r w:rsidRPr="00785B7B">
        <w:rPr>
          <w:rFonts w:eastAsia="Times New Roman" w:cs="Arial"/>
          <w:lang w:eastAsia="es-ES"/>
        </w:rPr>
        <w:t>Se</w:t>
      </w:r>
      <w:r w:rsidRPr="00785B7B">
        <w:rPr>
          <w:rFonts w:eastAsia="Times New Roman" w:cs="Arial"/>
          <w:b/>
          <w:bCs/>
          <w:lang w:eastAsia="es-ES"/>
        </w:rPr>
        <w:t xml:space="preserve"> reforma </w:t>
      </w:r>
      <w:r w:rsidRPr="00785B7B">
        <w:rPr>
          <w:rFonts w:eastAsia="Times New Roman" w:cs="Arial"/>
          <w:bCs/>
          <w:lang w:eastAsia="es-ES"/>
        </w:rPr>
        <w:t xml:space="preserve">el primer párrafo del artículo 268 del </w:t>
      </w:r>
      <w:r w:rsidRPr="00785B7B">
        <w:rPr>
          <w:rFonts w:eastAsia="Times New Roman" w:cs="Arial"/>
          <w:b/>
          <w:lang w:eastAsia="es-ES"/>
        </w:rPr>
        <w:t>Código Penal de Coahuila de Zaragoza</w:t>
      </w:r>
      <w:r w:rsidRPr="00785B7B">
        <w:rPr>
          <w:rFonts w:eastAsia="Times New Roman" w:cs="Arial"/>
          <w:bCs/>
          <w:lang w:eastAsia="es-ES"/>
        </w:rPr>
        <w:t>, para quedar como sigue:</w:t>
      </w:r>
    </w:p>
    <w:p w:rsidR="00785B7B" w:rsidRPr="00785B7B" w:rsidRDefault="00785B7B" w:rsidP="00785B7B">
      <w:pPr>
        <w:autoSpaceDE w:val="0"/>
        <w:autoSpaceDN w:val="0"/>
        <w:adjustRightInd w:val="0"/>
        <w:spacing w:line="360" w:lineRule="auto"/>
        <w:rPr>
          <w:rFonts w:eastAsia="Times New Roman" w:cs="Arial"/>
          <w:bCs/>
          <w:lang w:eastAsia="es-ES"/>
        </w:rPr>
      </w:pPr>
    </w:p>
    <w:p w:rsidR="00785B7B" w:rsidRPr="00785B7B" w:rsidRDefault="00785B7B" w:rsidP="00785B7B">
      <w:pPr>
        <w:autoSpaceDE w:val="0"/>
        <w:autoSpaceDN w:val="0"/>
        <w:adjustRightInd w:val="0"/>
        <w:spacing w:line="360" w:lineRule="auto"/>
        <w:rPr>
          <w:rFonts w:eastAsia="Times New Roman" w:cs="Arial"/>
          <w:bCs/>
          <w:lang w:eastAsia="es-ES"/>
        </w:rPr>
      </w:pPr>
      <w:r w:rsidRPr="00785B7B">
        <w:rPr>
          <w:rFonts w:eastAsia="Times New Roman" w:cs="Arial"/>
          <w:b/>
          <w:bCs/>
          <w:lang w:eastAsia="es-ES"/>
        </w:rPr>
        <w:t>Artículo 268</w:t>
      </w:r>
      <w:r w:rsidRPr="00785B7B">
        <w:rPr>
          <w:rFonts w:eastAsia="Times New Roman" w:cs="Arial"/>
          <w:bCs/>
          <w:lang w:eastAsia="es-ES"/>
        </w:rPr>
        <w:t xml:space="preserve"> …</w:t>
      </w:r>
    </w:p>
    <w:p w:rsidR="00785B7B" w:rsidRPr="00785B7B" w:rsidRDefault="00785B7B" w:rsidP="00785B7B">
      <w:pPr>
        <w:autoSpaceDE w:val="0"/>
        <w:autoSpaceDN w:val="0"/>
        <w:adjustRightInd w:val="0"/>
        <w:spacing w:line="360" w:lineRule="auto"/>
        <w:rPr>
          <w:rFonts w:eastAsia="Times New Roman" w:cs="Arial"/>
          <w:bCs/>
          <w:lang w:eastAsia="es-ES"/>
        </w:rPr>
      </w:pPr>
    </w:p>
    <w:p w:rsidR="00785B7B" w:rsidRPr="00785B7B" w:rsidRDefault="00785B7B" w:rsidP="00785B7B">
      <w:pPr>
        <w:autoSpaceDE w:val="0"/>
        <w:autoSpaceDN w:val="0"/>
        <w:adjustRightInd w:val="0"/>
        <w:spacing w:line="360" w:lineRule="auto"/>
        <w:rPr>
          <w:rFonts w:eastAsia="Times New Roman" w:cs="Arial"/>
          <w:bCs/>
          <w:lang w:eastAsia="es-ES"/>
        </w:rPr>
      </w:pPr>
      <w:r w:rsidRPr="00785B7B">
        <w:rPr>
          <w:rFonts w:eastAsia="Times New Roman" w:cs="Arial"/>
          <w:bCs/>
          <w:lang w:eastAsia="es-ES"/>
        </w:rPr>
        <w:t>Se impondrá una pena de tres a ocho años de prisión</w:t>
      </w:r>
      <w:r w:rsidRPr="00785B7B">
        <w:rPr>
          <w:rFonts w:eastAsia="Times New Roman" w:cs="Arial"/>
          <w:b/>
          <w:bCs/>
          <w:lang w:eastAsia="es-ES"/>
        </w:rPr>
        <w:t xml:space="preserve"> </w:t>
      </w:r>
      <w:r w:rsidRPr="00785B7B">
        <w:rPr>
          <w:rFonts w:eastAsia="Times New Roman" w:cs="Arial"/>
          <w:bCs/>
          <w:lang w:eastAsia="es-ES"/>
        </w:rPr>
        <w:t>y de 600 a 900 días multa, a quien se atribuya la identidad de otra persona por cualquier medio, u otorgue su consentimiento para llevar la suplantación de su identidad, produciendo con ello un daño moral o patrimonial, u obteniendo un lucro o un provecho indebido para sí o para otra persona.</w:t>
      </w:r>
    </w:p>
    <w:p w:rsidR="00785B7B" w:rsidRPr="00785B7B" w:rsidRDefault="00785B7B" w:rsidP="00785B7B">
      <w:pPr>
        <w:autoSpaceDE w:val="0"/>
        <w:autoSpaceDN w:val="0"/>
        <w:adjustRightInd w:val="0"/>
        <w:spacing w:line="360" w:lineRule="auto"/>
        <w:rPr>
          <w:rFonts w:eastAsia="Times New Roman" w:cs="Arial"/>
          <w:bCs/>
          <w:lang w:eastAsia="es-ES"/>
        </w:rPr>
      </w:pPr>
    </w:p>
    <w:p w:rsidR="00785B7B" w:rsidRPr="00785B7B" w:rsidRDefault="00785B7B" w:rsidP="00785B7B">
      <w:pPr>
        <w:autoSpaceDE w:val="0"/>
        <w:autoSpaceDN w:val="0"/>
        <w:adjustRightInd w:val="0"/>
        <w:spacing w:line="360" w:lineRule="auto"/>
        <w:rPr>
          <w:rFonts w:eastAsia="Times New Roman" w:cs="Arial"/>
          <w:bCs/>
          <w:lang w:eastAsia="es-ES"/>
        </w:rPr>
      </w:pPr>
      <w:r w:rsidRPr="00785B7B">
        <w:rPr>
          <w:rFonts w:eastAsia="Times New Roman" w:cs="Arial"/>
          <w:bCs/>
          <w:lang w:eastAsia="es-ES"/>
        </w:rPr>
        <w:t>…</w:t>
      </w:r>
    </w:p>
    <w:p w:rsidR="00785B7B" w:rsidRPr="00785B7B" w:rsidRDefault="00785B7B" w:rsidP="00785B7B">
      <w:pPr>
        <w:autoSpaceDE w:val="0"/>
        <w:autoSpaceDN w:val="0"/>
        <w:adjustRightInd w:val="0"/>
        <w:spacing w:line="360" w:lineRule="auto"/>
        <w:rPr>
          <w:rFonts w:eastAsia="Times New Roman" w:cs="Arial"/>
          <w:bCs/>
          <w:lang w:eastAsia="es-ES"/>
        </w:rPr>
      </w:pPr>
    </w:p>
    <w:p w:rsidR="00785B7B" w:rsidRPr="00785B7B" w:rsidRDefault="00785B7B" w:rsidP="00785B7B">
      <w:pPr>
        <w:autoSpaceDE w:val="0"/>
        <w:autoSpaceDN w:val="0"/>
        <w:adjustRightInd w:val="0"/>
        <w:spacing w:line="360" w:lineRule="auto"/>
        <w:rPr>
          <w:rFonts w:eastAsia="Times New Roman" w:cs="Arial"/>
          <w:bCs/>
          <w:lang w:eastAsia="es-ES"/>
        </w:rPr>
      </w:pPr>
      <w:r w:rsidRPr="00785B7B">
        <w:rPr>
          <w:rFonts w:eastAsia="Times New Roman" w:cs="Arial"/>
          <w:bCs/>
          <w:lang w:eastAsia="es-ES"/>
        </w:rPr>
        <w:t>I. a III. …</w:t>
      </w:r>
    </w:p>
    <w:p w:rsidR="00785B7B" w:rsidRPr="00785B7B" w:rsidRDefault="00785B7B" w:rsidP="00785B7B">
      <w:pPr>
        <w:autoSpaceDE w:val="0"/>
        <w:autoSpaceDN w:val="0"/>
        <w:adjustRightInd w:val="0"/>
        <w:spacing w:line="360" w:lineRule="auto"/>
        <w:rPr>
          <w:rFonts w:eastAsia="Times New Roman" w:cs="Arial"/>
          <w:bCs/>
          <w:lang w:eastAsia="es-ES"/>
        </w:rPr>
      </w:pPr>
    </w:p>
    <w:p w:rsidR="00785B7B" w:rsidRPr="00785B7B" w:rsidRDefault="00785B7B" w:rsidP="00785B7B">
      <w:pPr>
        <w:autoSpaceDE w:val="0"/>
        <w:autoSpaceDN w:val="0"/>
        <w:adjustRightInd w:val="0"/>
        <w:spacing w:line="360" w:lineRule="auto"/>
        <w:rPr>
          <w:rFonts w:eastAsia="Calibri" w:cs="Arial"/>
        </w:rPr>
      </w:pPr>
      <w:r w:rsidRPr="00785B7B">
        <w:rPr>
          <w:rFonts w:eastAsia="Calibri" w:cs="Arial"/>
        </w:rPr>
        <w:t>…</w:t>
      </w:r>
    </w:p>
    <w:p w:rsidR="00785B7B" w:rsidRPr="00785B7B" w:rsidRDefault="00785B7B" w:rsidP="00785B7B">
      <w:pPr>
        <w:spacing w:line="360" w:lineRule="auto"/>
        <w:jc w:val="center"/>
        <w:rPr>
          <w:rFonts w:eastAsia="Calibri" w:cs="Arial"/>
          <w:b/>
        </w:rPr>
      </w:pPr>
    </w:p>
    <w:p w:rsidR="00785B7B" w:rsidRPr="00785B7B" w:rsidRDefault="00785B7B" w:rsidP="00785B7B">
      <w:pPr>
        <w:spacing w:line="360" w:lineRule="auto"/>
        <w:jc w:val="center"/>
        <w:rPr>
          <w:rFonts w:eastAsia="Calibri" w:cs="Arial"/>
          <w:b/>
        </w:rPr>
      </w:pPr>
      <w:r w:rsidRPr="00785B7B">
        <w:rPr>
          <w:rFonts w:eastAsia="Calibri" w:cs="Arial"/>
          <w:b/>
        </w:rPr>
        <w:t>TRANSITORIO</w:t>
      </w:r>
    </w:p>
    <w:p w:rsidR="00785B7B" w:rsidRPr="00785B7B" w:rsidRDefault="00785B7B" w:rsidP="00785B7B">
      <w:pPr>
        <w:spacing w:line="360" w:lineRule="auto"/>
        <w:jc w:val="center"/>
        <w:rPr>
          <w:rFonts w:eastAsia="Calibri" w:cs="Arial"/>
          <w:b/>
        </w:rPr>
      </w:pPr>
    </w:p>
    <w:p w:rsidR="00785B7B" w:rsidRPr="00785B7B" w:rsidRDefault="00785B7B" w:rsidP="00785B7B">
      <w:pPr>
        <w:spacing w:line="360" w:lineRule="auto"/>
        <w:rPr>
          <w:rFonts w:eastAsia="Calibri" w:cs="Arial"/>
        </w:rPr>
      </w:pPr>
      <w:r w:rsidRPr="00785B7B">
        <w:rPr>
          <w:rFonts w:eastAsia="Calibri" w:cs="Arial"/>
          <w:b/>
        </w:rPr>
        <w:t xml:space="preserve">ÚNICO. </w:t>
      </w:r>
      <w:r w:rsidRPr="00785B7B">
        <w:rPr>
          <w:rFonts w:eastAsia="Calibri" w:cs="Arial"/>
        </w:rPr>
        <w:t>- El presente Decreto entrará en vigor al día siguiente de su publicación en el Periódico Oficial del Gobierno del Estado.</w:t>
      </w:r>
    </w:p>
    <w:p w:rsidR="00785B7B" w:rsidRPr="00785B7B" w:rsidRDefault="00785B7B" w:rsidP="00785B7B">
      <w:pPr>
        <w:spacing w:line="360" w:lineRule="auto"/>
        <w:rPr>
          <w:rFonts w:eastAsia="Times New Roman" w:cs="Arial"/>
          <w:lang w:eastAsia="es-ES"/>
        </w:rPr>
      </w:pPr>
    </w:p>
    <w:p w:rsidR="00785B7B" w:rsidRPr="00785B7B" w:rsidRDefault="00785B7B" w:rsidP="00785B7B">
      <w:pPr>
        <w:autoSpaceDE w:val="0"/>
        <w:autoSpaceDN w:val="0"/>
        <w:adjustRightInd w:val="0"/>
        <w:spacing w:line="360" w:lineRule="auto"/>
        <w:rPr>
          <w:rFonts w:eastAsia="Calibri" w:cs="Arial"/>
          <w:color w:val="000000"/>
          <w:lang w:eastAsia="es-ES"/>
        </w:rPr>
      </w:pPr>
      <w:r w:rsidRPr="00785B7B">
        <w:rPr>
          <w:rFonts w:eastAsia="Calibri" w:cs="Arial"/>
          <w:color w:val="000000"/>
          <w:lang w:eastAsia="es-ES"/>
        </w:rPr>
        <w:t xml:space="preserve">Así lo acuerdan las Diputadas y Diputados integrantes de la </w:t>
      </w:r>
      <w:r w:rsidRPr="00785B7B">
        <w:rPr>
          <w:rFonts w:eastAsia="Times New Roman" w:cs="Arial"/>
          <w:lang w:eastAsia="es-ES"/>
        </w:rPr>
        <w:t xml:space="preserve">Comisión de Gobernación, Puntos Constitucionales y Justicia, </w:t>
      </w:r>
      <w:r w:rsidRPr="00785B7B">
        <w:rPr>
          <w:rFonts w:eastAsia="Calibri" w:cs="Arial"/>
          <w:color w:val="000000"/>
          <w:lang w:eastAsia="es-ES"/>
        </w:rPr>
        <w:t xml:space="preserve">de la Sexagésima Segunda Legislatura del Congreso del Estado Independiente, Libre y Soberano de Coahuila de Zaragoza, </w:t>
      </w:r>
      <w:r w:rsidRPr="00785B7B">
        <w:rPr>
          <w:rFonts w:eastAsia="Times New Roman" w:cs="Arial"/>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785B7B">
        <w:rPr>
          <w:rFonts w:eastAsia="Calibri" w:cs="Arial"/>
          <w:color w:val="000000"/>
        </w:rPr>
        <w:t>.</w:t>
      </w:r>
      <w:r w:rsidRPr="00785B7B">
        <w:rPr>
          <w:rFonts w:eastAsia="Calibri" w:cs="Arial"/>
          <w:b/>
          <w:color w:val="000000"/>
        </w:rPr>
        <w:t xml:space="preserve"> </w:t>
      </w:r>
      <w:r w:rsidRPr="00785B7B">
        <w:rPr>
          <w:rFonts w:eastAsia="Calibri" w:cs="Arial"/>
          <w:color w:val="000000"/>
        </w:rPr>
        <w:t>En la Ciudad de Saltillo, Coahuila de Zaragoza</w:t>
      </w:r>
      <w:r w:rsidRPr="00785B7B">
        <w:rPr>
          <w:rFonts w:eastAsia="Calibri" w:cs="Arial"/>
          <w:color w:val="000000"/>
          <w:lang w:eastAsia="es-ES"/>
        </w:rPr>
        <w:t>, a 11 de mayo de 2021.</w:t>
      </w:r>
    </w:p>
    <w:p w:rsidR="00785B7B" w:rsidRPr="00785B7B" w:rsidRDefault="00785B7B" w:rsidP="00785B7B">
      <w:pPr>
        <w:autoSpaceDE w:val="0"/>
        <w:autoSpaceDN w:val="0"/>
        <w:adjustRightInd w:val="0"/>
        <w:spacing w:line="360" w:lineRule="auto"/>
        <w:rPr>
          <w:rFonts w:eastAsia="Calibri" w:cs="Arial"/>
          <w:color w:val="000000"/>
          <w:lang w:eastAsia="es-ES"/>
        </w:rPr>
      </w:pPr>
    </w:p>
    <w:p w:rsidR="00785B7B" w:rsidRPr="00785B7B" w:rsidRDefault="00785B7B" w:rsidP="00785B7B">
      <w:pPr>
        <w:jc w:val="center"/>
        <w:rPr>
          <w:rFonts w:eastAsia="Times New Roman" w:cs="Arial"/>
          <w:b/>
          <w:lang w:eastAsia="es-ES"/>
        </w:rPr>
      </w:pPr>
      <w:r w:rsidRPr="00785B7B">
        <w:rPr>
          <w:rFonts w:eastAsia="Times New Roman" w:cs="Arial"/>
          <w:b/>
          <w:lang w:eastAsia="es-ES"/>
        </w:rPr>
        <w:t xml:space="preserve">COMISIÓN DE GOBERNACIÓN, PUNTOS CONSTITUCIONALES Y JUSTICIA </w:t>
      </w:r>
    </w:p>
    <w:p w:rsidR="00785B7B" w:rsidRPr="00785B7B" w:rsidRDefault="00785B7B" w:rsidP="00785B7B">
      <w:pPr>
        <w:autoSpaceDE w:val="0"/>
        <w:autoSpaceDN w:val="0"/>
        <w:adjustRightInd w:val="0"/>
        <w:spacing w:line="360" w:lineRule="auto"/>
        <w:rPr>
          <w:rFonts w:eastAsia="Calibri" w:cs="Arial"/>
          <w:b/>
          <w:color w:val="000000"/>
        </w:rPr>
      </w:pPr>
    </w:p>
    <w:tbl>
      <w:tblPr>
        <w:tblW w:w="9300" w:type="dxa"/>
        <w:jc w:val="center"/>
        <w:tblLayout w:type="fixed"/>
        <w:tblLook w:val="04A0" w:firstRow="1" w:lastRow="0" w:firstColumn="1" w:lastColumn="0" w:noHBand="0" w:noVBand="1"/>
      </w:tblPr>
      <w:tblGrid>
        <w:gridCol w:w="2782"/>
        <w:gridCol w:w="1276"/>
        <w:gridCol w:w="1417"/>
        <w:gridCol w:w="1845"/>
        <w:gridCol w:w="707"/>
        <w:gridCol w:w="1273"/>
      </w:tblGrid>
      <w:tr w:rsidR="00785B7B" w:rsidRPr="00785B7B" w:rsidTr="003B3377">
        <w:trPr>
          <w:jc w:val="center"/>
        </w:trPr>
        <w:tc>
          <w:tcPr>
            <w:tcW w:w="2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val="es-ES_tradnl" w:eastAsia="es-ES"/>
              </w:rPr>
            </w:pPr>
          </w:p>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NOMBRE Y FIRMA</w:t>
            </w:r>
          </w:p>
        </w:tc>
        <w:tc>
          <w:tcPr>
            <w:tcW w:w="45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val="es-ES_tradnl" w:eastAsia="es-ES"/>
              </w:rPr>
            </w:pPr>
          </w:p>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VOTO</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val="es-ES_tradnl" w:eastAsia="es-ES"/>
              </w:rPr>
            </w:pPr>
          </w:p>
          <w:p w:rsidR="00785B7B" w:rsidRPr="00785B7B" w:rsidRDefault="00785B7B" w:rsidP="00785B7B">
            <w:pPr>
              <w:jc w:val="center"/>
              <w:rPr>
                <w:rFonts w:eastAsia="MS Mincho" w:cs="Arial"/>
                <w:b/>
                <w:bCs/>
                <w:color w:val="000000"/>
                <w:sz w:val="22"/>
                <w:lang w:val="es-ES_tradnl" w:eastAsia="es-ES"/>
              </w:rPr>
            </w:pPr>
            <w:r w:rsidRPr="00785B7B">
              <w:rPr>
                <w:rFonts w:eastAsia="MS Mincho" w:cs="Arial"/>
                <w:b/>
                <w:bCs/>
                <w:color w:val="000000"/>
                <w:sz w:val="22"/>
                <w:lang w:val="es-ES_tradnl" w:eastAsia="es-ES"/>
              </w:rPr>
              <w:t>RESERVA DE ARTÍCULOS</w:t>
            </w:r>
          </w:p>
          <w:p w:rsidR="00785B7B" w:rsidRPr="00785B7B" w:rsidRDefault="00785B7B" w:rsidP="00785B7B">
            <w:pPr>
              <w:jc w:val="center"/>
              <w:rPr>
                <w:rFonts w:eastAsia="MS Mincho" w:cs="Arial"/>
                <w:sz w:val="22"/>
                <w:lang w:val="es-ES_tradnl" w:eastAsia="es-ES"/>
              </w:rPr>
            </w:pPr>
          </w:p>
        </w:tc>
      </w:tr>
      <w:tr w:rsidR="00785B7B" w:rsidRPr="00785B7B" w:rsidTr="003B3377">
        <w:trPr>
          <w:trHeight w:val="261"/>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MS Mincho" w:cs="Arial"/>
                <w:b/>
                <w:bCs/>
                <w:color w:val="000000"/>
                <w:sz w:val="22"/>
                <w:lang w:val="es-ES_tradnl" w:eastAsia="es-ES"/>
              </w:rPr>
            </w:pPr>
            <w:r w:rsidRPr="00785B7B">
              <w:rPr>
                <w:rFonts w:eastAsia="MS Mincho" w:cs="Arial"/>
                <w:b/>
                <w:bCs/>
                <w:color w:val="000000"/>
                <w:sz w:val="22"/>
                <w:lang w:val="es-ES_tradnl" w:eastAsia="es-ES"/>
              </w:rPr>
              <w:t>DIP. RICARDO LÓPEZ CAMPOS (COORDINADOR)</w:t>
            </w: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CUALES</w:t>
            </w:r>
          </w:p>
        </w:tc>
      </w:tr>
      <w:tr w:rsidR="00785B7B" w:rsidRPr="00785B7B" w:rsidTr="003B3377">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rPr>
                <w:rFonts w:eastAsia="MS Mincho" w:cs="Arial"/>
                <w:sz w:val="22"/>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r>
      <w:tr w:rsidR="00785B7B" w:rsidRPr="00785B7B" w:rsidTr="003B3377">
        <w:trPr>
          <w:trHeight w:val="278"/>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MS Mincho" w:cs="Arial"/>
                <w:sz w:val="22"/>
                <w:lang w:val="es-ES_tradnl" w:eastAsia="es-ES"/>
              </w:rPr>
            </w:pPr>
            <w:r w:rsidRPr="00785B7B">
              <w:rPr>
                <w:rFonts w:eastAsia="MS Mincho" w:cs="Arial"/>
                <w:b/>
                <w:bCs/>
                <w:color w:val="000000"/>
                <w:sz w:val="22"/>
                <w:lang w:val="es-ES_tradnl" w:eastAsia="es-ES"/>
              </w:rPr>
              <w:t>DIP. LUZ ELENA GUADALUPE MORALES NÚÑEZ</w:t>
            </w:r>
          </w:p>
          <w:p w:rsidR="00785B7B" w:rsidRPr="00785B7B" w:rsidRDefault="00785B7B" w:rsidP="00785B7B">
            <w:pPr>
              <w:jc w:val="left"/>
              <w:rPr>
                <w:rFonts w:eastAsia="MS Mincho" w:cs="Arial"/>
                <w:b/>
                <w:bCs/>
                <w:color w:val="000000"/>
                <w:sz w:val="22"/>
                <w:lang w:val="es-ES_tradnl" w:eastAsia="es-ES"/>
              </w:rPr>
            </w:pPr>
            <w:r w:rsidRPr="00785B7B">
              <w:rPr>
                <w:rFonts w:eastAsia="MS Mincho" w:cs="Arial"/>
                <w:b/>
                <w:bCs/>
                <w:color w:val="000000"/>
                <w:sz w:val="22"/>
                <w:lang w:val="es-ES_tradnl" w:eastAsia="es-ES"/>
              </w:rPr>
              <w:t>(SECRETARIA)</w:t>
            </w: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CUALES</w:t>
            </w:r>
          </w:p>
        </w:tc>
      </w:tr>
      <w:tr w:rsidR="00785B7B" w:rsidRPr="00785B7B" w:rsidTr="003B3377">
        <w:trPr>
          <w:trHeight w:val="1088"/>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rPr>
                <w:rFonts w:eastAsia="MS Mincho" w:cs="Arial"/>
                <w:sz w:val="22"/>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r>
      <w:tr w:rsidR="00785B7B" w:rsidRPr="00785B7B" w:rsidTr="003B3377">
        <w:trPr>
          <w:trHeight w:val="261"/>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MS Mincho" w:cs="Arial"/>
                <w:b/>
                <w:bCs/>
                <w:color w:val="000000"/>
                <w:sz w:val="22"/>
                <w:lang w:val="es-ES_tradnl" w:eastAsia="es-ES"/>
              </w:rPr>
            </w:pPr>
            <w:r w:rsidRPr="00785B7B">
              <w:rPr>
                <w:rFonts w:eastAsia="MS Mincho" w:cs="Arial"/>
                <w:b/>
                <w:bCs/>
                <w:color w:val="000000"/>
                <w:sz w:val="22"/>
                <w:lang w:val="es-ES_tradnl" w:eastAsia="es-ES"/>
              </w:rPr>
              <w:t>DIP. OLIVIA MARTÍNEZ LEYVA</w:t>
            </w: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CUALES</w:t>
            </w:r>
          </w:p>
        </w:tc>
      </w:tr>
      <w:tr w:rsidR="00785B7B" w:rsidRPr="00785B7B" w:rsidTr="003B3377">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rPr>
                <w:rFonts w:eastAsia="MS Mincho" w:cs="Arial"/>
                <w:sz w:val="22"/>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r>
      <w:tr w:rsidR="00785B7B" w:rsidRPr="00785B7B" w:rsidTr="003B3377">
        <w:trPr>
          <w:trHeight w:val="90"/>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MS Mincho" w:cs="Arial"/>
                <w:b/>
                <w:bCs/>
                <w:color w:val="000000"/>
                <w:sz w:val="22"/>
                <w:lang w:val="es-ES_tradnl" w:eastAsia="es-ES"/>
              </w:rPr>
            </w:pPr>
            <w:r w:rsidRPr="00785B7B">
              <w:rPr>
                <w:rFonts w:eastAsia="MS Mincho" w:cs="Arial"/>
                <w:b/>
                <w:bCs/>
                <w:color w:val="000000"/>
                <w:sz w:val="22"/>
                <w:lang w:val="es-ES_tradnl" w:eastAsia="es-ES"/>
              </w:rPr>
              <w:t>DIP.MARÍA GUADALUPE OYERVIDES VALDEZ</w:t>
            </w: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CUALES</w:t>
            </w:r>
          </w:p>
        </w:tc>
      </w:tr>
      <w:tr w:rsidR="00785B7B" w:rsidRPr="00785B7B" w:rsidTr="003B3377">
        <w:trPr>
          <w:trHeight w:val="1240"/>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rPr>
                <w:rFonts w:eastAsia="MS Mincho" w:cs="Arial"/>
                <w:sz w:val="22"/>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r>
      <w:tr w:rsidR="00785B7B" w:rsidRPr="00785B7B" w:rsidTr="003B3377">
        <w:trPr>
          <w:trHeight w:val="225"/>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MS Mincho" w:cs="Arial"/>
                <w:b/>
                <w:bCs/>
                <w:color w:val="000000"/>
                <w:sz w:val="22"/>
                <w:lang w:val="es-ES_tradnl" w:eastAsia="es-ES"/>
              </w:rPr>
            </w:pPr>
            <w:r w:rsidRPr="00785B7B">
              <w:rPr>
                <w:rFonts w:eastAsia="MS Mincho" w:cs="Arial"/>
                <w:b/>
                <w:bCs/>
                <w:color w:val="000000"/>
                <w:sz w:val="22"/>
                <w:lang w:val="es-ES_tradnl" w:eastAsia="es-ES"/>
              </w:rPr>
              <w:t>DIP. MARÍA BÁRBARA CEPEDA BOEHRINGER</w:t>
            </w: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CUALES</w:t>
            </w:r>
          </w:p>
        </w:tc>
      </w:tr>
      <w:tr w:rsidR="00785B7B" w:rsidRPr="00785B7B" w:rsidTr="003B3377">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rPr>
                <w:rFonts w:eastAsia="MS Mincho" w:cs="Arial"/>
                <w:sz w:val="22"/>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r>
      <w:tr w:rsidR="00785B7B" w:rsidRPr="00785B7B" w:rsidTr="003B3377">
        <w:trPr>
          <w:trHeight w:val="249"/>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MS Mincho" w:cs="Arial"/>
                <w:b/>
                <w:bCs/>
                <w:color w:val="000000"/>
                <w:sz w:val="22"/>
                <w:lang w:val="es-ES_tradnl" w:eastAsia="es-ES"/>
              </w:rPr>
            </w:pPr>
            <w:r w:rsidRPr="00785B7B">
              <w:rPr>
                <w:rFonts w:eastAsia="MS Mincho" w:cs="Arial"/>
                <w:b/>
                <w:bCs/>
                <w:color w:val="000000"/>
                <w:sz w:val="22"/>
                <w:lang w:val="es-ES_tradnl" w:eastAsia="es-ES"/>
              </w:rPr>
              <w:t>DIP. RODOLFO GERARDO WALSS AURIOLES</w:t>
            </w: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CUALES</w:t>
            </w:r>
          </w:p>
        </w:tc>
      </w:tr>
      <w:tr w:rsidR="00785B7B" w:rsidRPr="00785B7B" w:rsidTr="003B3377">
        <w:trPr>
          <w:trHeight w:val="84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rPr>
                <w:rFonts w:eastAsia="MS Mincho" w:cs="Arial"/>
                <w:sz w:val="22"/>
                <w:lang w:val="es-ES_tradnl" w:eastAsia="es-ES"/>
              </w:rPr>
            </w:pPr>
          </w:p>
          <w:p w:rsidR="00785B7B" w:rsidRPr="00785B7B" w:rsidRDefault="00785B7B" w:rsidP="00785B7B">
            <w:pPr>
              <w:rPr>
                <w:rFonts w:eastAsia="MS Mincho" w:cs="Arial"/>
                <w:sz w:val="22"/>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left"/>
              <w:rPr>
                <w:rFonts w:eastAsia="Times New Roman" w:cs="Arial"/>
                <w:sz w:val="22"/>
                <w:lang w:eastAsia="es-MX"/>
              </w:rPr>
            </w:pPr>
          </w:p>
        </w:tc>
      </w:tr>
      <w:tr w:rsidR="00785B7B" w:rsidRPr="00785B7B" w:rsidTr="003B3377">
        <w:trPr>
          <w:trHeight w:val="261"/>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MS Mincho" w:cs="Arial"/>
                <w:b/>
                <w:bCs/>
                <w:color w:val="000000"/>
                <w:sz w:val="22"/>
                <w:lang w:val="es-ES_tradnl" w:eastAsia="es-ES"/>
              </w:rPr>
            </w:pPr>
            <w:r w:rsidRPr="00785B7B">
              <w:rPr>
                <w:rFonts w:eastAsia="MS Mincho" w:cs="Arial"/>
                <w:b/>
                <w:bCs/>
                <w:color w:val="000000"/>
                <w:sz w:val="22"/>
                <w:lang w:val="es-ES_tradnl" w:eastAsia="es-ES"/>
              </w:rPr>
              <w:lastRenderedPageBreak/>
              <w:t xml:space="preserve">DIP. YOLANDA ELIZONDO MALTOS </w:t>
            </w: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CUALES</w:t>
            </w:r>
          </w:p>
        </w:tc>
      </w:tr>
      <w:tr w:rsidR="00785B7B" w:rsidRPr="00785B7B" w:rsidTr="003B3377">
        <w:trPr>
          <w:trHeight w:val="845"/>
          <w:jc w:val="center"/>
        </w:trPr>
        <w:tc>
          <w:tcPr>
            <w:tcW w:w="2782" w:type="dxa"/>
            <w:vMerge/>
            <w:tcBorders>
              <w:left w:val="single" w:sz="4" w:space="0" w:color="000000"/>
              <w:bottom w:val="single" w:sz="4" w:space="0" w:color="000000"/>
              <w:right w:val="single" w:sz="4" w:space="0" w:color="000000"/>
            </w:tcBorders>
            <w:vAlign w:val="center"/>
          </w:tcPr>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rPr>
                <w:rFonts w:eastAsia="MS Mincho" w:cs="Arial"/>
                <w:sz w:val="22"/>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r>
      <w:tr w:rsidR="00785B7B" w:rsidRPr="00785B7B" w:rsidTr="003B3377">
        <w:trPr>
          <w:trHeight w:val="645"/>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MS Mincho" w:cs="Arial"/>
                <w:b/>
                <w:bCs/>
                <w:color w:val="000000"/>
                <w:sz w:val="22"/>
                <w:lang w:val="es-ES_tradnl" w:eastAsia="es-ES"/>
              </w:rPr>
            </w:pPr>
            <w:r w:rsidRPr="00785B7B">
              <w:rPr>
                <w:rFonts w:eastAsia="MS Mincho" w:cs="Arial"/>
                <w:b/>
                <w:bCs/>
                <w:color w:val="000000"/>
                <w:sz w:val="22"/>
                <w:lang w:val="es-ES_tradnl" w:eastAsia="es-ES"/>
              </w:rPr>
              <w:t>DIP. CLAUDIA ELVIRA RODRÍGUEZ MÁRQUEZ</w:t>
            </w: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CUALES</w:t>
            </w:r>
          </w:p>
        </w:tc>
      </w:tr>
      <w:tr w:rsidR="00785B7B" w:rsidRPr="00785B7B" w:rsidTr="003B3377">
        <w:trPr>
          <w:trHeight w:val="845"/>
          <w:jc w:val="center"/>
        </w:trPr>
        <w:tc>
          <w:tcPr>
            <w:tcW w:w="2782" w:type="dxa"/>
            <w:vMerge/>
            <w:tcBorders>
              <w:left w:val="single" w:sz="4" w:space="0" w:color="000000"/>
              <w:bottom w:val="single" w:sz="4" w:space="0" w:color="000000"/>
              <w:right w:val="single" w:sz="4" w:space="0" w:color="000000"/>
            </w:tcBorders>
            <w:vAlign w:val="center"/>
          </w:tcPr>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rPr>
                <w:rFonts w:eastAsia="MS Mincho" w:cs="Arial"/>
                <w:sz w:val="22"/>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r>
      <w:tr w:rsidR="00785B7B" w:rsidRPr="00785B7B" w:rsidTr="003B3377">
        <w:trPr>
          <w:trHeight w:val="261"/>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MS Mincho" w:cs="Arial"/>
                <w:b/>
                <w:bCs/>
                <w:color w:val="000000"/>
                <w:sz w:val="22"/>
                <w:lang w:val="es-ES_tradnl" w:eastAsia="es-ES"/>
              </w:rPr>
            </w:pPr>
            <w:r w:rsidRPr="00785B7B">
              <w:rPr>
                <w:rFonts w:eastAsia="MS Mincho" w:cs="Arial"/>
                <w:b/>
                <w:bCs/>
                <w:color w:val="000000"/>
                <w:sz w:val="22"/>
                <w:lang w:val="es-ES_tradnl" w:eastAsia="es-ES"/>
              </w:rPr>
              <w:t>DIP. LIZBETH OGAZÓN NAVA</w:t>
            </w: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b/>
                <w:bCs/>
                <w:color w:val="000000"/>
                <w:sz w:val="22"/>
                <w:lang w:val="es-ES_tradnl" w:eastAsia="es-ES"/>
              </w:rPr>
            </w:pPr>
          </w:p>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5B7B" w:rsidRPr="00785B7B" w:rsidRDefault="00785B7B" w:rsidP="00785B7B">
            <w:pPr>
              <w:jc w:val="center"/>
              <w:rPr>
                <w:rFonts w:eastAsia="MS Mincho" w:cs="Arial"/>
                <w:sz w:val="22"/>
                <w:lang w:val="es-ES_tradnl" w:eastAsia="es-ES"/>
              </w:rPr>
            </w:pPr>
            <w:r w:rsidRPr="00785B7B">
              <w:rPr>
                <w:rFonts w:eastAsia="MS Mincho" w:cs="Arial"/>
                <w:b/>
                <w:bCs/>
                <w:color w:val="000000"/>
                <w:sz w:val="22"/>
                <w:lang w:val="es-ES_tradnl" w:eastAsia="es-ES"/>
              </w:rPr>
              <w:t>CUALES</w:t>
            </w:r>
          </w:p>
        </w:tc>
      </w:tr>
      <w:tr w:rsidR="00785B7B" w:rsidRPr="00785B7B" w:rsidTr="003B3377">
        <w:trPr>
          <w:trHeight w:val="845"/>
          <w:jc w:val="center"/>
        </w:trPr>
        <w:tc>
          <w:tcPr>
            <w:tcW w:w="2782" w:type="dxa"/>
            <w:vMerge/>
            <w:tcBorders>
              <w:left w:val="single" w:sz="4" w:space="0" w:color="000000"/>
              <w:bottom w:val="single" w:sz="4" w:space="0" w:color="000000"/>
              <w:right w:val="single" w:sz="4" w:space="0" w:color="000000"/>
            </w:tcBorders>
            <w:vAlign w:val="center"/>
          </w:tcPr>
          <w:p w:rsidR="00785B7B" w:rsidRPr="00785B7B" w:rsidRDefault="00785B7B" w:rsidP="00785B7B">
            <w:pPr>
              <w:jc w:val="left"/>
              <w:rPr>
                <w:rFonts w:eastAsia="MS Mincho" w:cs="Arial"/>
                <w:sz w:val="22"/>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rPr>
                <w:rFonts w:eastAsia="MS Mincho" w:cs="Arial"/>
                <w:sz w:val="22"/>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B7B" w:rsidRPr="00785B7B" w:rsidRDefault="00785B7B" w:rsidP="00785B7B">
            <w:pPr>
              <w:jc w:val="left"/>
              <w:rPr>
                <w:rFonts w:eastAsia="Times New Roman" w:cs="Arial"/>
                <w:sz w:val="22"/>
                <w:lang w:eastAsia="es-MX"/>
              </w:rPr>
            </w:pPr>
          </w:p>
        </w:tc>
      </w:tr>
    </w:tbl>
    <w:p w:rsidR="008A0555" w:rsidRPr="008A0555" w:rsidRDefault="008A0555" w:rsidP="004F2451">
      <w:pPr>
        <w:spacing w:after="160" w:line="259" w:lineRule="auto"/>
        <w:jc w:val="left"/>
        <w:rPr>
          <w:rFonts w:eastAsia="Times New Roman" w:cs="Arial"/>
          <w:b/>
          <w:sz w:val="26"/>
          <w:szCs w:val="26"/>
          <w:lang w:eastAsia="es-ES"/>
        </w:rPr>
      </w:pPr>
      <w:bookmarkStart w:id="0" w:name="_GoBack"/>
      <w:bookmarkEnd w:id="0"/>
    </w:p>
    <w:sectPr w:rsidR="008A0555" w:rsidRPr="008A0555" w:rsidSect="007D0402">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57" w:rsidRDefault="00723C57" w:rsidP="00373395">
      <w:r>
        <w:separator/>
      </w:r>
    </w:p>
  </w:endnote>
  <w:endnote w:type="continuationSeparator" w:id="0">
    <w:p w:rsidR="00723C57" w:rsidRDefault="00723C57"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57" w:rsidRDefault="00723C57" w:rsidP="00373395">
      <w:r>
        <w:separator/>
      </w:r>
    </w:p>
  </w:footnote>
  <w:footnote w:type="continuationSeparator" w:id="0">
    <w:p w:rsidR="00723C57" w:rsidRDefault="00723C57" w:rsidP="00373395">
      <w:r>
        <w:continuationSeparator/>
      </w:r>
    </w:p>
  </w:footnote>
  <w:footnote w:id="1">
    <w:p w:rsidR="003B3377" w:rsidRPr="00F55834" w:rsidRDefault="003B3377" w:rsidP="00785B7B">
      <w:pPr>
        <w:pStyle w:val="Textonotapie"/>
        <w:rPr>
          <w:sz w:val="16"/>
        </w:rPr>
      </w:pPr>
      <w:r w:rsidRPr="00F55834">
        <w:rPr>
          <w:rStyle w:val="Refdenotaalpie"/>
          <w:sz w:val="16"/>
        </w:rPr>
        <w:footnoteRef/>
      </w:r>
      <w:r w:rsidRPr="00F55834">
        <w:rPr>
          <w:sz w:val="16"/>
        </w:rPr>
        <w:t xml:space="preserve"> Caso Ricardo Canese. Sentencia de 31 de agosto de 2004. Serie C No. 111, párrafo 104. </w:t>
      </w:r>
    </w:p>
  </w:footnote>
  <w:footnote w:id="2">
    <w:p w:rsidR="003B3377" w:rsidRPr="00F55834" w:rsidRDefault="003B3377" w:rsidP="00785B7B">
      <w:pPr>
        <w:pStyle w:val="Textonotapie"/>
        <w:rPr>
          <w:sz w:val="16"/>
        </w:rPr>
      </w:pPr>
      <w:r w:rsidRPr="00F55834">
        <w:rPr>
          <w:rStyle w:val="Refdenotaalpie"/>
          <w:sz w:val="16"/>
        </w:rPr>
        <w:footnoteRef/>
      </w:r>
      <w:r w:rsidRPr="00F55834">
        <w:rPr>
          <w:sz w:val="16"/>
        </w:rPr>
        <w:t xml:space="preserve"> Caso Castillo Petruzzi y otros. Sentencia de 30 de mayo de 1999, Serie C No. 52, párrafo 121. </w:t>
      </w:r>
    </w:p>
  </w:footnote>
  <w:footnote w:id="3">
    <w:p w:rsidR="003B3377" w:rsidRPr="00F55834" w:rsidRDefault="003B3377" w:rsidP="00785B7B">
      <w:pPr>
        <w:pStyle w:val="Textonotapie"/>
        <w:rPr>
          <w:sz w:val="16"/>
        </w:rPr>
      </w:pPr>
      <w:r w:rsidRPr="00F55834">
        <w:rPr>
          <w:rStyle w:val="Refdenotaalpie"/>
          <w:sz w:val="16"/>
        </w:rPr>
        <w:footnoteRef/>
      </w:r>
      <w:r w:rsidRPr="00F55834">
        <w:rPr>
          <w:sz w:val="16"/>
        </w:rPr>
        <w:t xml:space="preserve"> Tesis P. IX/95, </w:t>
      </w:r>
      <w:r w:rsidRPr="00F55834">
        <w:rPr>
          <w:i/>
          <w:iCs/>
          <w:sz w:val="16"/>
        </w:rPr>
        <w:t>Semanario Judicial de la Federación y su Gaceta</w:t>
      </w:r>
      <w:r w:rsidRPr="00F55834">
        <w:rPr>
          <w:sz w:val="16"/>
        </w:rPr>
        <w:t xml:space="preserve">, Tomo I, Mayo de 1995, página 82, registro digital 200381. </w:t>
      </w:r>
    </w:p>
  </w:footnote>
  <w:footnote w:id="4">
    <w:p w:rsidR="003B3377" w:rsidRPr="00F55834" w:rsidRDefault="003B3377" w:rsidP="00785B7B">
      <w:pPr>
        <w:pStyle w:val="Textonotapie"/>
        <w:rPr>
          <w:sz w:val="16"/>
        </w:rPr>
      </w:pPr>
      <w:r w:rsidRPr="00F55834">
        <w:rPr>
          <w:rStyle w:val="Refdenotaalpie"/>
          <w:sz w:val="16"/>
        </w:rPr>
        <w:footnoteRef/>
      </w:r>
      <w:r w:rsidRPr="00F55834">
        <w:rPr>
          <w:sz w:val="16"/>
        </w:rPr>
        <w:t xml:space="preserve"> Tesis P./J. 33/2009, </w:t>
      </w:r>
      <w:r w:rsidRPr="00F55834">
        <w:rPr>
          <w:i/>
          <w:iCs/>
          <w:sz w:val="16"/>
        </w:rPr>
        <w:t>Semanario Judicial de la Federación y su Gaceta</w:t>
      </w:r>
      <w:r w:rsidRPr="00F55834">
        <w:rPr>
          <w:sz w:val="16"/>
        </w:rPr>
        <w:t xml:space="preserve">, Novena Época, registro digital 167445. </w:t>
      </w:r>
    </w:p>
  </w:footnote>
  <w:footnote w:id="5">
    <w:p w:rsidR="003B3377" w:rsidRPr="00F55834" w:rsidRDefault="003B3377" w:rsidP="00785B7B">
      <w:pPr>
        <w:pStyle w:val="Textonotapie"/>
        <w:rPr>
          <w:sz w:val="16"/>
        </w:rPr>
      </w:pPr>
      <w:r w:rsidRPr="00F55834">
        <w:rPr>
          <w:rStyle w:val="Refdenotaalpie"/>
          <w:sz w:val="16"/>
        </w:rPr>
        <w:footnoteRef/>
      </w:r>
      <w:r w:rsidRPr="00F55834">
        <w:rPr>
          <w:sz w:val="16"/>
        </w:rPr>
        <w:t xml:space="preserve"> Carbonell, Miguel, </w:t>
      </w:r>
      <w:r w:rsidRPr="00F55834">
        <w:rPr>
          <w:i/>
          <w:iCs/>
          <w:sz w:val="16"/>
        </w:rPr>
        <w:t>Los derechos fundamentales en México, sexta edición</w:t>
      </w:r>
      <w:r w:rsidRPr="00F55834">
        <w:rPr>
          <w:sz w:val="16"/>
        </w:rPr>
        <w:t xml:space="preserve">. México, Editorial Porrúa, S.A. de C.V., 2019, p. 673. </w:t>
      </w:r>
    </w:p>
  </w:footnote>
  <w:footnote w:id="6">
    <w:p w:rsidR="003B3377" w:rsidRPr="00F55834" w:rsidRDefault="003B3377" w:rsidP="00785B7B">
      <w:pPr>
        <w:pStyle w:val="Textonotapie"/>
        <w:rPr>
          <w:sz w:val="16"/>
        </w:rPr>
      </w:pPr>
      <w:r w:rsidRPr="00F55834">
        <w:rPr>
          <w:rStyle w:val="Refdenotaalpie"/>
          <w:sz w:val="16"/>
        </w:rPr>
        <w:footnoteRef/>
      </w:r>
      <w:r w:rsidRPr="00F55834">
        <w:rPr>
          <w:sz w:val="16"/>
        </w:rPr>
        <w:t xml:space="preserve"> Castellanos Tena, Fernando, Sánchez Sodi, Horacio, </w:t>
      </w:r>
      <w:r w:rsidRPr="00F55834">
        <w:rPr>
          <w:i/>
          <w:iCs/>
          <w:sz w:val="16"/>
        </w:rPr>
        <w:t>Lineamientos elementales de derecho penal: Parte general, 54ª edición</w:t>
      </w:r>
      <w:r w:rsidRPr="00F55834">
        <w:rPr>
          <w:sz w:val="16"/>
        </w:rPr>
        <w:t xml:space="preserve">. México, Editorial Porrúa, S.A. de C.V. 2017, p. 327.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B3377" w:rsidRPr="00DF7528" w:rsidTr="00B56395">
      <w:trPr>
        <w:jc w:val="center"/>
      </w:trPr>
      <w:tc>
        <w:tcPr>
          <w:tcW w:w="1541" w:type="dxa"/>
        </w:tcPr>
        <w:p w:rsidR="003B3377" w:rsidRPr="00DF7528" w:rsidRDefault="003B3377"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377" w:rsidRPr="00DF7528" w:rsidRDefault="003B3377" w:rsidP="00DF7528">
          <w:pPr>
            <w:jc w:val="center"/>
            <w:rPr>
              <w:rFonts w:eastAsia="Times New Roman" w:cs="Times New Roman"/>
              <w:b/>
              <w:bCs/>
              <w:sz w:val="12"/>
              <w:szCs w:val="20"/>
              <w:lang w:eastAsia="es-ES"/>
            </w:rPr>
          </w:pPr>
        </w:p>
        <w:p w:rsidR="003B3377" w:rsidRPr="00DF7528" w:rsidRDefault="003B3377" w:rsidP="00DF7528">
          <w:pPr>
            <w:jc w:val="center"/>
            <w:rPr>
              <w:rFonts w:eastAsia="Times New Roman" w:cs="Times New Roman"/>
              <w:b/>
              <w:bCs/>
              <w:sz w:val="12"/>
              <w:szCs w:val="20"/>
              <w:lang w:eastAsia="es-ES"/>
            </w:rPr>
          </w:pPr>
        </w:p>
      </w:tc>
      <w:tc>
        <w:tcPr>
          <w:tcW w:w="8665" w:type="dxa"/>
        </w:tcPr>
        <w:p w:rsidR="003B3377" w:rsidRPr="00DF7528" w:rsidRDefault="003B3377" w:rsidP="00DF7528">
          <w:pPr>
            <w:jc w:val="center"/>
            <w:rPr>
              <w:rFonts w:eastAsia="Times New Roman" w:cs="Times New Roman"/>
              <w:b/>
              <w:bCs/>
              <w:sz w:val="20"/>
              <w:szCs w:val="20"/>
              <w:lang w:eastAsia="es-ES"/>
            </w:rPr>
          </w:pPr>
        </w:p>
        <w:p w:rsidR="003B3377" w:rsidRPr="00DF7528" w:rsidRDefault="003B3377"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3B3377" w:rsidRPr="00DF7528" w:rsidRDefault="003B3377"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3B3377" w:rsidRPr="00DF7528" w:rsidRDefault="003B3377"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3B3377" w:rsidRPr="00DF7528" w:rsidRDefault="003B3377"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3B3377" w:rsidRPr="00DF7528" w:rsidRDefault="003B3377" w:rsidP="00DF7528">
          <w:pPr>
            <w:tabs>
              <w:tab w:val="center" w:pos="4252"/>
              <w:tab w:val="left" w:pos="5040"/>
              <w:tab w:val="right" w:pos="8504"/>
            </w:tabs>
            <w:ind w:right="-93"/>
            <w:jc w:val="center"/>
            <w:rPr>
              <w:rFonts w:eastAsia="Times New Roman" w:cs="Times New Roman"/>
              <w:b/>
              <w:bCs/>
              <w:sz w:val="16"/>
              <w:szCs w:val="20"/>
              <w:lang w:eastAsia="es-ES"/>
            </w:rPr>
          </w:pPr>
        </w:p>
        <w:p w:rsidR="003B3377" w:rsidRPr="00DF7528" w:rsidRDefault="003B3377"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3B3377" w:rsidRPr="00DF7528" w:rsidRDefault="003B3377" w:rsidP="00DF7528">
          <w:pPr>
            <w:jc w:val="center"/>
            <w:rPr>
              <w:rFonts w:eastAsia="Times New Roman" w:cs="Times New Roman"/>
              <w:b/>
              <w:bCs/>
              <w:sz w:val="12"/>
              <w:szCs w:val="20"/>
              <w:lang w:eastAsia="es-ES"/>
            </w:rPr>
          </w:pPr>
        </w:p>
      </w:tc>
    </w:tr>
  </w:tbl>
  <w:p w:rsidR="003B3377" w:rsidRDefault="003B33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E513C59"/>
    <w:multiLevelType w:val="hybridMultilevel"/>
    <w:tmpl w:val="96ACCD40"/>
    <w:lvl w:ilvl="0" w:tplc="631C958C">
      <w:start w:val="1"/>
      <w:numFmt w:val="decimal"/>
      <w:lvlText w:val="%1."/>
      <w:lvlJc w:val="left"/>
      <w:pPr>
        <w:ind w:left="1420" w:hanging="360"/>
      </w:pPr>
      <w:rPr>
        <w:rFonts w:hint="default"/>
      </w:r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5"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8319A5"/>
    <w:multiLevelType w:val="hybridMultilevel"/>
    <w:tmpl w:val="5E7AFF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3E5887"/>
    <w:multiLevelType w:val="hybridMultilevel"/>
    <w:tmpl w:val="EDF0A7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6D646D7"/>
    <w:multiLevelType w:val="hybridMultilevel"/>
    <w:tmpl w:val="C1E4B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103146"/>
    <w:multiLevelType w:val="hybridMultilevel"/>
    <w:tmpl w:val="D138D228"/>
    <w:lvl w:ilvl="0" w:tplc="26448C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81626A"/>
    <w:multiLevelType w:val="hybridMultilevel"/>
    <w:tmpl w:val="65666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8B4263"/>
    <w:multiLevelType w:val="hybridMultilevel"/>
    <w:tmpl w:val="2FC4F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4"/>
  </w:num>
  <w:num w:numId="5">
    <w:abstractNumId w:val="1"/>
  </w:num>
  <w:num w:numId="6">
    <w:abstractNumId w:val="2"/>
  </w:num>
  <w:num w:numId="7">
    <w:abstractNumId w:val="13"/>
  </w:num>
  <w:num w:numId="8">
    <w:abstractNumId w:val="15"/>
  </w:num>
  <w:num w:numId="9">
    <w:abstractNumId w:val="3"/>
  </w:num>
  <w:num w:numId="10">
    <w:abstractNumId w:val="9"/>
  </w:num>
  <w:num w:numId="11">
    <w:abstractNumId w:val="6"/>
  </w:num>
  <w:num w:numId="12">
    <w:abstractNumId w:val="5"/>
  </w:num>
  <w:num w:numId="13">
    <w:abstractNumId w:val="11"/>
  </w:num>
  <w:num w:numId="14">
    <w:abstractNumId w:val="0"/>
  </w:num>
  <w:num w:numId="15">
    <w:abstractNumId w:val="4"/>
  </w:num>
  <w:num w:numId="16">
    <w:abstractNumId w:val="8"/>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2ED8"/>
    <w:rsid w:val="0000740E"/>
    <w:rsid w:val="00013160"/>
    <w:rsid w:val="00013F1C"/>
    <w:rsid w:val="00017CCB"/>
    <w:rsid w:val="000234B6"/>
    <w:rsid w:val="00024498"/>
    <w:rsid w:val="0002454C"/>
    <w:rsid w:val="00033906"/>
    <w:rsid w:val="0003564E"/>
    <w:rsid w:val="00044DD8"/>
    <w:rsid w:val="00047D18"/>
    <w:rsid w:val="000543C4"/>
    <w:rsid w:val="000552D5"/>
    <w:rsid w:val="0005777C"/>
    <w:rsid w:val="0006583A"/>
    <w:rsid w:val="000667BC"/>
    <w:rsid w:val="00066DD1"/>
    <w:rsid w:val="00074A62"/>
    <w:rsid w:val="00082B4D"/>
    <w:rsid w:val="00082CB3"/>
    <w:rsid w:val="00082F28"/>
    <w:rsid w:val="000A018E"/>
    <w:rsid w:val="000A171D"/>
    <w:rsid w:val="000A56D5"/>
    <w:rsid w:val="000A5A63"/>
    <w:rsid w:val="000A5AE3"/>
    <w:rsid w:val="000A7868"/>
    <w:rsid w:val="000B1727"/>
    <w:rsid w:val="000B3F66"/>
    <w:rsid w:val="000B7050"/>
    <w:rsid w:val="000C10E7"/>
    <w:rsid w:val="000C3D46"/>
    <w:rsid w:val="000C47A6"/>
    <w:rsid w:val="000C6825"/>
    <w:rsid w:val="000E4D8B"/>
    <w:rsid w:val="000E5673"/>
    <w:rsid w:val="000E6C02"/>
    <w:rsid w:val="000E77AE"/>
    <w:rsid w:val="000E77B6"/>
    <w:rsid w:val="000F4B46"/>
    <w:rsid w:val="001007B0"/>
    <w:rsid w:val="0010210F"/>
    <w:rsid w:val="00112AF7"/>
    <w:rsid w:val="0011468F"/>
    <w:rsid w:val="0012342C"/>
    <w:rsid w:val="001265BA"/>
    <w:rsid w:val="00126762"/>
    <w:rsid w:val="00131BC5"/>
    <w:rsid w:val="001375E4"/>
    <w:rsid w:val="00140B66"/>
    <w:rsid w:val="001449FE"/>
    <w:rsid w:val="00153F1A"/>
    <w:rsid w:val="001579AB"/>
    <w:rsid w:val="00161933"/>
    <w:rsid w:val="00162A6E"/>
    <w:rsid w:val="00164BCC"/>
    <w:rsid w:val="001651FD"/>
    <w:rsid w:val="00170519"/>
    <w:rsid w:val="0017148E"/>
    <w:rsid w:val="0017700B"/>
    <w:rsid w:val="0017732C"/>
    <w:rsid w:val="0019289B"/>
    <w:rsid w:val="0019451A"/>
    <w:rsid w:val="001A2915"/>
    <w:rsid w:val="001B12A3"/>
    <w:rsid w:val="001C0E85"/>
    <w:rsid w:val="001C1634"/>
    <w:rsid w:val="001C33B2"/>
    <w:rsid w:val="001C46B5"/>
    <w:rsid w:val="001D1FAA"/>
    <w:rsid w:val="001D2782"/>
    <w:rsid w:val="001D2B4A"/>
    <w:rsid w:val="001D57F0"/>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2F7E"/>
    <w:rsid w:val="00243831"/>
    <w:rsid w:val="00244464"/>
    <w:rsid w:val="00244BDA"/>
    <w:rsid w:val="00246752"/>
    <w:rsid w:val="0025187C"/>
    <w:rsid w:val="002545D5"/>
    <w:rsid w:val="0025518C"/>
    <w:rsid w:val="0025539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B2DCA"/>
    <w:rsid w:val="002B611B"/>
    <w:rsid w:val="002C49A3"/>
    <w:rsid w:val="002C5BB0"/>
    <w:rsid w:val="002D4105"/>
    <w:rsid w:val="002E04CC"/>
    <w:rsid w:val="002E166C"/>
    <w:rsid w:val="002E42CF"/>
    <w:rsid w:val="002E781B"/>
    <w:rsid w:val="002F2F35"/>
    <w:rsid w:val="002F5135"/>
    <w:rsid w:val="00303986"/>
    <w:rsid w:val="0030713D"/>
    <w:rsid w:val="00310669"/>
    <w:rsid w:val="00311B2C"/>
    <w:rsid w:val="00312AE7"/>
    <w:rsid w:val="00313C06"/>
    <w:rsid w:val="003214A0"/>
    <w:rsid w:val="00321A1B"/>
    <w:rsid w:val="00333A03"/>
    <w:rsid w:val="0033578C"/>
    <w:rsid w:val="00336626"/>
    <w:rsid w:val="00336AF1"/>
    <w:rsid w:val="00341E5B"/>
    <w:rsid w:val="0034532B"/>
    <w:rsid w:val="003465D7"/>
    <w:rsid w:val="00346D35"/>
    <w:rsid w:val="00356729"/>
    <w:rsid w:val="00357374"/>
    <w:rsid w:val="00360C13"/>
    <w:rsid w:val="0036357E"/>
    <w:rsid w:val="00364705"/>
    <w:rsid w:val="0036655F"/>
    <w:rsid w:val="00372587"/>
    <w:rsid w:val="00373395"/>
    <w:rsid w:val="00373DE8"/>
    <w:rsid w:val="0037629D"/>
    <w:rsid w:val="00380634"/>
    <w:rsid w:val="00385ACE"/>
    <w:rsid w:val="00391691"/>
    <w:rsid w:val="00392D79"/>
    <w:rsid w:val="00397CBA"/>
    <w:rsid w:val="003A1BEB"/>
    <w:rsid w:val="003A20A6"/>
    <w:rsid w:val="003A257A"/>
    <w:rsid w:val="003A4245"/>
    <w:rsid w:val="003B0184"/>
    <w:rsid w:val="003B1362"/>
    <w:rsid w:val="003B3377"/>
    <w:rsid w:val="003B5433"/>
    <w:rsid w:val="003B68E7"/>
    <w:rsid w:val="003B7BBC"/>
    <w:rsid w:val="003C27DC"/>
    <w:rsid w:val="003C31C1"/>
    <w:rsid w:val="003C418E"/>
    <w:rsid w:val="003D0BAA"/>
    <w:rsid w:val="003D4B53"/>
    <w:rsid w:val="003D601A"/>
    <w:rsid w:val="003E5580"/>
    <w:rsid w:val="003F6EF8"/>
    <w:rsid w:val="00404C63"/>
    <w:rsid w:val="00404E3D"/>
    <w:rsid w:val="004064BA"/>
    <w:rsid w:val="004129A5"/>
    <w:rsid w:val="0041498D"/>
    <w:rsid w:val="00416888"/>
    <w:rsid w:val="00416C7E"/>
    <w:rsid w:val="00420F78"/>
    <w:rsid w:val="00425E00"/>
    <w:rsid w:val="004300E3"/>
    <w:rsid w:val="00433DEB"/>
    <w:rsid w:val="004375FA"/>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7942"/>
    <w:rsid w:val="00481486"/>
    <w:rsid w:val="004826FB"/>
    <w:rsid w:val="0048416E"/>
    <w:rsid w:val="00490BC2"/>
    <w:rsid w:val="004912CA"/>
    <w:rsid w:val="004A2A3F"/>
    <w:rsid w:val="004A2F23"/>
    <w:rsid w:val="004A3CC9"/>
    <w:rsid w:val="004A731D"/>
    <w:rsid w:val="004B28ED"/>
    <w:rsid w:val="004C14A7"/>
    <w:rsid w:val="004C1734"/>
    <w:rsid w:val="004C5F3B"/>
    <w:rsid w:val="004D24AA"/>
    <w:rsid w:val="004D34EA"/>
    <w:rsid w:val="004D4DB9"/>
    <w:rsid w:val="004D5FEA"/>
    <w:rsid w:val="004E38C7"/>
    <w:rsid w:val="004E4F3E"/>
    <w:rsid w:val="004E7DAD"/>
    <w:rsid w:val="004E7DF1"/>
    <w:rsid w:val="004F1E84"/>
    <w:rsid w:val="004F2451"/>
    <w:rsid w:val="004F5A3D"/>
    <w:rsid w:val="004F7A35"/>
    <w:rsid w:val="00502807"/>
    <w:rsid w:val="00511EB6"/>
    <w:rsid w:val="00514E3A"/>
    <w:rsid w:val="005161E2"/>
    <w:rsid w:val="005212DC"/>
    <w:rsid w:val="00522EDF"/>
    <w:rsid w:val="005275EE"/>
    <w:rsid w:val="0052767F"/>
    <w:rsid w:val="00527729"/>
    <w:rsid w:val="00531A3B"/>
    <w:rsid w:val="005409C8"/>
    <w:rsid w:val="0055076C"/>
    <w:rsid w:val="005531C0"/>
    <w:rsid w:val="0056501F"/>
    <w:rsid w:val="0056627F"/>
    <w:rsid w:val="0058133E"/>
    <w:rsid w:val="00582D97"/>
    <w:rsid w:val="0058466D"/>
    <w:rsid w:val="00585A16"/>
    <w:rsid w:val="00587671"/>
    <w:rsid w:val="005946A3"/>
    <w:rsid w:val="0059756E"/>
    <w:rsid w:val="005978A3"/>
    <w:rsid w:val="005A1D79"/>
    <w:rsid w:val="005B7E52"/>
    <w:rsid w:val="005C25CF"/>
    <w:rsid w:val="005C287B"/>
    <w:rsid w:val="005D0F54"/>
    <w:rsid w:val="005D20D4"/>
    <w:rsid w:val="005D4E19"/>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22A65"/>
    <w:rsid w:val="00630B88"/>
    <w:rsid w:val="006438A1"/>
    <w:rsid w:val="00644E7C"/>
    <w:rsid w:val="00651A84"/>
    <w:rsid w:val="00652657"/>
    <w:rsid w:val="006534BA"/>
    <w:rsid w:val="006555CF"/>
    <w:rsid w:val="00661BDA"/>
    <w:rsid w:val="00662AFB"/>
    <w:rsid w:val="006635AE"/>
    <w:rsid w:val="00663CAB"/>
    <w:rsid w:val="0066431B"/>
    <w:rsid w:val="00666825"/>
    <w:rsid w:val="00666890"/>
    <w:rsid w:val="00670001"/>
    <w:rsid w:val="00677D57"/>
    <w:rsid w:val="006829AA"/>
    <w:rsid w:val="006842BA"/>
    <w:rsid w:val="00691C45"/>
    <w:rsid w:val="006932DA"/>
    <w:rsid w:val="006963C9"/>
    <w:rsid w:val="00696D76"/>
    <w:rsid w:val="006A1B13"/>
    <w:rsid w:val="006A7E34"/>
    <w:rsid w:val="006B123C"/>
    <w:rsid w:val="006B4C65"/>
    <w:rsid w:val="006B5958"/>
    <w:rsid w:val="006B6ED6"/>
    <w:rsid w:val="006C04CC"/>
    <w:rsid w:val="006C3619"/>
    <w:rsid w:val="006C638C"/>
    <w:rsid w:val="006D42F3"/>
    <w:rsid w:val="006E0B09"/>
    <w:rsid w:val="006E11EC"/>
    <w:rsid w:val="006E56A2"/>
    <w:rsid w:val="006E5AB6"/>
    <w:rsid w:val="006F07F5"/>
    <w:rsid w:val="006F0ED5"/>
    <w:rsid w:val="006F26D9"/>
    <w:rsid w:val="00702886"/>
    <w:rsid w:val="00705060"/>
    <w:rsid w:val="00714ADA"/>
    <w:rsid w:val="007156CF"/>
    <w:rsid w:val="007172B9"/>
    <w:rsid w:val="007206D8"/>
    <w:rsid w:val="00721E69"/>
    <w:rsid w:val="00722985"/>
    <w:rsid w:val="00723ADE"/>
    <w:rsid w:val="00723C57"/>
    <w:rsid w:val="0072474B"/>
    <w:rsid w:val="00731157"/>
    <w:rsid w:val="00734AC9"/>
    <w:rsid w:val="00734B28"/>
    <w:rsid w:val="007407A5"/>
    <w:rsid w:val="00740E42"/>
    <w:rsid w:val="00743D19"/>
    <w:rsid w:val="0074438D"/>
    <w:rsid w:val="007445E4"/>
    <w:rsid w:val="007502B1"/>
    <w:rsid w:val="00752993"/>
    <w:rsid w:val="00754756"/>
    <w:rsid w:val="00760340"/>
    <w:rsid w:val="0076164E"/>
    <w:rsid w:val="00763A2C"/>
    <w:rsid w:val="00764C97"/>
    <w:rsid w:val="0077638D"/>
    <w:rsid w:val="007769E2"/>
    <w:rsid w:val="00780DC9"/>
    <w:rsid w:val="007813EB"/>
    <w:rsid w:val="00785B7B"/>
    <w:rsid w:val="00785D12"/>
    <w:rsid w:val="00785DB2"/>
    <w:rsid w:val="00792A1B"/>
    <w:rsid w:val="00797656"/>
    <w:rsid w:val="007A0534"/>
    <w:rsid w:val="007A171A"/>
    <w:rsid w:val="007A2D87"/>
    <w:rsid w:val="007A5574"/>
    <w:rsid w:val="007A5928"/>
    <w:rsid w:val="007A5CEA"/>
    <w:rsid w:val="007B3472"/>
    <w:rsid w:val="007B63EE"/>
    <w:rsid w:val="007B716E"/>
    <w:rsid w:val="007C3222"/>
    <w:rsid w:val="007C40A5"/>
    <w:rsid w:val="007C43AB"/>
    <w:rsid w:val="007D0402"/>
    <w:rsid w:val="007D2789"/>
    <w:rsid w:val="007D40AB"/>
    <w:rsid w:val="007D59A5"/>
    <w:rsid w:val="007D6D2A"/>
    <w:rsid w:val="007D79AA"/>
    <w:rsid w:val="007D7FD9"/>
    <w:rsid w:val="007E6403"/>
    <w:rsid w:val="007F2EC2"/>
    <w:rsid w:val="00804843"/>
    <w:rsid w:val="00807486"/>
    <w:rsid w:val="00813C5E"/>
    <w:rsid w:val="00816BBC"/>
    <w:rsid w:val="00820849"/>
    <w:rsid w:val="00820C1B"/>
    <w:rsid w:val="008253E2"/>
    <w:rsid w:val="00826C13"/>
    <w:rsid w:val="00827E16"/>
    <w:rsid w:val="00832B1E"/>
    <w:rsid w:val="00836283"/>
    <w:rsid w:val="00836A2C"/>
    <w:rsid w:val="008401D3"/>
    <w:rsid w:val="008403FA"/>
    <w:rsid w:val="00841A7C"/>
    <w:rsid w:val="00842664"/>
    <w:rsid w:val="00846B7A"/>
    <w:rsid w:val="00850711"/>
    <w:rsid w:val="008514F1"/>
    <w:rsid w:val="00854881"/>
    <w:rsid w:val="008609D9"/>
    <w:rsid w:val="00862460"/>
    <w:rsid w:val="00864DF1"/>
    <w:rsid w:val="00870779"/>
    <w:rsid w:val="00872035"/>
    <w:rsid w:val="008769A0"/>
    <w:rsid w:val="008803B8"/>
    <w:rsid w:val="008804D9"/>
    <w:rsid w:val="00880C4B"/>
    <w:rsid w:val="008851DB"/>
    <w:rsid w:val="00886A68"/>
    <w:rsid w:val="008A0555"/>
    <w:rsid w:val="008A441F"/>
    <w:rsid w:val="008A593E"/>
    <w:rsid w:val="008B2029"/>
    <w:rsid w:val="008B64EC"/>
    <w:rsid w:val="008C05DA"/>
    <w:rsid w:val="008C0C96"/>
    <w:rsid w:val="008C2034"/>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2526"/>
    <w:rsid w:val="009156F4"/>
    <w:rsid w:val="00917AAD"/>
    <w:rsid w:val="00920331"/>
    <w:rsid w:val="00922806"/>
    <w:rsid w:val="009232BF"/>
    <w:rsid w:val="009325BC"/>
    <w:rsid w:val="00952289"/>
    <w:rsid w:val="0095234E"/>
    <w:rsid w:val="009560E8"/>
    <w:rsid w:val="00962995"/>
    <w:rsid w:val="0096685D"/>
    <w:rsid w:val="0097009B"/>
    <w:rsid w:val="00971A7E"/>
    <w:rsid w:val="00971E7D"/>
    <w:rsid w:val="009750E4"/>
    <w:rsid w:val="00981679"/>
    <w:rsid w:val="00982864"/>
    <w:rsid w:val="0098396B"/>
    <w:rsid w:val="009901D4"/>
    <w:rsid w:val="00996592"/>
    <w:rsid w:val="009A1A49"/>
    <w:rsid w:val="009A3F8F"/>
    <w:rsid w:val="009A72CA"/>
    <w:rsid w:val="009C04D2"/>
    <w:rsid w:val="009C0DD7"/>
    <w:rsid w:val="009C1C8C"/>
    <w:rsid w:val="009C44A7"/>
    <w:rsid w:val="009C4F1A"/>
    <w:rsid w:val="009C5568"/>
    <w:rsid w:val="009C618C"/>
    <w:rsid w:val="009C7683"/>
    <w:rsid w:val="009D5F3F"/>
    <w:rsid w:val="009E750F"/>
    <w:rsid w:val="009F1A02"/>
    <w:rsid w:val="009F4FF5"/>
    <w:rsid w:val="009F51DF"/>
    <w:rsid w:val="00A046C1"/>
    <w:rsid w:val="00A062CA"/>
    <w:rsid w:val="00A129C1"/>
    <w:rsid w:val="00A158E5"/>
    <w:rsid w:val="00A17D4B"/>
    <w:rsid w:val="00A222FA"/>
    <w:rsid w:val="00A25AA8"/>
    <w:rsid w:val="00A25BC0"/>
    <w:rsid w:val="00A2773A"/>
    <w:rsid w:val="00A377F4"/>
    <w:rsid w:val="00A4340D"/>
    <w:rsid w:val="00A46943"/>
    <w:rsid w:val="00A46BE3"/>
    <w:rsid w:val="00A47949"/>
    <w:rsid w:val="00A60FD6"/>
    <w:rsid w:val="00A6121E"/>
    <w:rsid w:val="00A6148D"/>
    <w:rsid w:val="00A64C50"/>
    <w:rsid w:val="00A654D8"/>
    <w:rsid w:val="00A65536"/>
    <w:rsid w:val="00A75A52"/>
    <w:rsid w:val="00A82053"/>
    <w:rsid w:val="00A83F55"/>
    <w:rsid w:val="00A84AEE"/>
    <w:rsid w:val="00A96058"/>
    <w:rsid w:val="00A97E11"/>
    <w:rsid w:val="00AA115C"/>
    <w:rsid w:val="00AC664D"/>
    <w:rsid w:val="00AD0E08"/>
    <w:rsid w:val="00AD2485"/>
    <w:rsid w:val="00AD446C"/>
    <w:rsid w:val="00AD49C5"/>
    <w:rsid w:val="00AE4D91"/>
    <w:rsid w:val="00AE5BDB"/>
    <w:rsid w:val="00AE6498"/>
    <w:rsid w:val="00AF2DFC"/>
    <w:rsid w:val="00B03929"/>
    <w:rsid w:val="00B0638A"/>
    <w:rsid w:val="00B06D5A"/>
    <w:rsid w:val="00B0754E"/>
    <w:rsid w:val="00B1479E"/>
    <w:rsid w:val="00B17E0B"/>
    <w:rsid w:val="00B17E83"/>
    <w:rsid w:val="00B21389"/>
    <w:rsid w:val="00B35CAB"/>
    <w:rsid w:val="00B36605"/>
    <w:rsid w:val="00B3776F"/>
    <w:rsid w:val="00B41DF9"/>
    <w:rsid w:val="00B432D4"/>
    <w:rsid w:val="00B45C06"/>
    <w:rsid w:val="00B4692D"/>
    <w:rsid w:val="00B56395"/>
    <w:rsid w:val="00B60888"/>
    <w:rsid w:val="00B6274D"/>
    <w:rsid w:val="00B66230"/>
    <w:rsid w:val="00B66AF9"/>
    <w:rsid w:val="00B75EFA"/>
    <w:rsid w:val="00B906A3"/>
    <w:rsid w:val="00B9165B"/>
    <w:rsid w:val="00B9638A"/>
    <w:rsid w:val="00B964EF"/>
    <w:rsid w:val="00BA06B0"/>
    <w:rsid w:val="00BA1FFA"/>
    <w:rsid w:val="00BC174E"/>
    <w:rsid w:val="00BD6B79"/>
    <w:rsid w:val="00BF03BF"/>
    <w:rsid w:val="00BF3DE4"/>
    <w:rsid w:val="00BF413D"/>
    <w:rsid w:val="00C01DFE"/>
    <w:rsid w:val="00C038BC"/>
    <w:rsid w:val="00C066DA"/>
    <w:rsid w:val="00C11AA7"/>
    <w:rsid w:val="00C15F1E"/>
    <w:rsid w:val="00C175FC"/>
    <w:rsid w:val="00C32210"/>
    <w:rsid w:val="00C401FD"/>
    <w:rsid w:val="00C40635"/>
    <w:rsid w:val="00C41E38"/>
    <w:rsid w:val="00C42041"/>
    <w:rsid w:val="00C44235"/>
    <w:rsid w:val="00C46544"/>
    <w:rsid w:val="00C46FAB"/>
    <w:rsid w:val="00C53B0F"/>
    <w:rsid w:val="00C5582A"/>
    <w:rsid w:val="00C558BA"/>
    <w:rsid w:val="00C576DB"/>
    <w:rsid w:val="00C57EF6"/>
    <w:rsid w:val="00C62F16"/>
    <w:rsid w:val="00C631DF"/>
    <w:rsid w:val="00C656ED"/>
    <w:rsid w:val="00C66717"/>
    <w:rsid w:val="00C71A1E"/>
    <w:rsid w:val="00C759E9"/>
    <w:rsid w:val="00C835AF"/>
    <w:rsid w:val="00C84789"/>
    <w:rsid w:val="00C853E1"/>
    <w:rsid w:val="00C85D97"/>
    <w:rsid w:val="00C87AFB"/>
    <w:rsid w:val="00C94019"/>
    <w:rsid w:val="00C9419E"/>
    <w:rsid w:val="00CA20E7"/>
    <w:rsid w:val="00CA30EE"/>
    <w:rsid w:val="00CA3FE3"/>
    <w:rsid w:val="00CA569C"/>
    <w:rsid w:val="00CB0E06"/>
    <w:rsid w:val="00CB170E"/>
    <w:rsid w:val="00CB5142"/>
    <w:rsid w:val="00CC0BD3"/>
    <w:rsid w:val="00CC4310"/>
    <w:rsid w:val="00CC7A88"/>
    <w:rsid w:val="00CC7D55"/>
    <w:rsid w:val="00CD3FDA"/>
    <w:rsid w:val="00CD518B"/>
    <w:rsid w:val="00CD682E"/>
    <w:rsid w:val="00CD7529"/>
    <w:rsid w:val="00CE30F3"/>
    <w:rsid w:val="00CF0A35"/>
    <w:rsid w:val="00D0022F"/>
    <w:rsid w:val="00D0271F"/>
    <w:rsid w:val="00D03FF8"/>
    <w:rsid w:val="00D12356"/>
    <w:rsid w:val="00D14A51"/>
    <w:rsid w:val="00D15001"/>
    <w:rsid w:val="00D156E9"/>
    <w:rsid w:val="00D2023C"/>
    <w:rsid w:val="00D2118A"/>
    <w:rsid w:val="00D26EC9"/>
    <w:rsid w:val="00D304AC"/>
    <w:rsid w:val="00D32C29"/>
    <w:rsid w:val="00D35150"/>
    <w:rsid w:val="00D449EC"/>
    <w:rsid w:val="00D44C17"/>
    <w:rsid w:val="00D456FE"/>
    <w:rsid w:val="00D458B6"/>
    <w:rsid w:val="00D46076"/>
    <w:rsid w:val="00D50A23"/>
    <w:rsid w:val="00D54F5D"/>
    <w:rsid w:val="00D57CEB"/>
    <w:rsid w:val="00D6244C"/>
    <w:rsid w:val="00D66F8F"/>
    <w:rsid w:val="00D70D77"/>
    <w:rsid w:val="00D70E37"/>
    <w:rsid w:val="00D74005"/>
    <w:rsid w:val="00D90055"/>
    <w:rsid w:val="00D940D5"/>
    <w:rsid w:val="00DA19DF"/>
    <w:rsid w:val="00DA3E98"/>
    <w:rsid w:val="00DA6309"/>
    <w:rsid w:val="00DA6701"/>
    <w:rsid w:val="00DB16C5"/>
    <w:rsid w:val="00DB2B86"/>
    <w:rsid w:val="00DB2FDD"/>
    <w:rsid w:val="00DB4769"/>
    <w:rsid w:val="00DB4E5A"/>
    <w:rsid w:val="00DB5C54"/>
    <w:rsid w:val="00DB62CC"/>
    <w:rsid w:val="00DC16BB"/>
    <w:rsid w:val="00DC24BD"/>
    <w:rsid w:val="00DC2EB3"/>
    <w:rsid w:val="00DC3269"/>
    <w:rsid w:val="00DC7C58"/>
    <w:rsid w:val="00DD0DEF"/>
    <w:rsid w:val="00DD48E8"/>
    <w:rsid w:val="00DD7D8E"/>
    <w:rsid w:val="00DE4C81"/>
    <w:rsid w:val="00DE4D7E"/>
    <w:rsid w:val="00DE6C23"/>
    <w:rsid w:val="00DE7317"/>
    <w:rsid w:val="00DE7D35"/>
    <w:rsid w:val="00DF7528"/>
    <w:rsid w:val="00E026CC"/>
    <w:rsid w:val="00E03E83"/>
    <w:rsid w:val="00E044BF"/>
    <w:rsid w:val="00E136AB"/>
    <w:rsid w:val="00E21537"/>
    <w:rsid w:val="00E22948"/>
    <w:rsid w:val="00E30E59"/>
    <w:rsid w:val="00E312D2"/>
    <w:rsid w:val="00E348DF"/>
    <w:rsid w:val="00E35753"/>
    <w:rsid w:val="00E3660A"/>
    <w:rsid w:val="00E371C0"/>
    <w:rsid w:val="00E42C29"/>
    <w:rsid w:val="00E43750"/>
    <w:rsid w:val="00E44070"/>
    <w:rsid w:val="00E5016E"/>
    <w:rsid w:val="00E50769"/>
    <w:rsid w:val="00E5078B"/>
    <w:rsid w:val="00E53331"/>
    <w:rsid w:val="00E54C04"/>
    <w:rsid w:val="00E54E33"/>
    <w:rsid w:val="00E57645"/>
    <w:rsid w:val="00E61661"/>
    <w:rsid w:val="00E6568B"/>
    <w:rsid w:val="00E73CE4"/>
    <w:rsid w:val="00E76678"/>
    <w:rsid w:val="00E809FB"/>
    <w:rsid w:val="00E85475"/>
    <w:rsid w:val="00E865F7"/>
    <w:rsid w:val="00E92AF7"/>
    <w:rsid w:val="00E978E0"/>
    <w:rsid w:val="00EA37FE"/>
    <w:rsid w:val="00EA411C"/>
    <w:rsid w:val="00EA61ED"/>
    <w:rsid w:val="00EB236D"/>
    <w:rsid w:val="00EB2487"/>
    <w:rsid w:val="00EB3D97"/>
    <w:rsid w:val="00EB77C0"/>
    <w:rsid w:val="00EC26CD"/>
    <w:rsid w:val="00ED4BF0"/>
    <w:rsid w:val="00ED775E"/>
    <w:rsid w:val="00EE1D73"/>
    <w:rsid w:val="00EE276C"/>
    <w:rsid w:val="00EE57EC"/>
    <w:rsid w:val="00EE593C"/>
    <w:rsid w:val="00EE74B1"/>
    <w:rsid w:val="00EF013B"/>
    <w:rsid w:val="00EF2539"/>
    <w:rsid w:val="00F01EF5"/>
    <w:rsid w:val="00F13C00"/>
    <w:rsid w:val="00F2086E"/>
    <w:rsid w:val="00F22184"/>
    <w:rsid w:val="00F249BB"/>
    <w:rsid w:val="00F25AA8"/>
    <w:rsid w:val="00F379D1"/>
    <w:rsid w:val="00F37C44"/>
    <w:rsid w:val="00F41AE1"/>
    <w:rsid w:val="00F4499A"/>
    <w:rsid w:val="00F46ABB"/>
    <w:rsid w:val="00F506A4"/>
    <w:rsid w:val="00F525DD"/>
    <w:rsid w:val="00F53F3E"/>
    <w:rsid w:val="00F54ED4"/>
    <w:rsid w:val="00F55834"/>
    <w:rsid w:val="00F56160"/>
    <w:rsid w:val="00F56C96"/>
    <w:rsid w:val="00F647FB"/>
    <w:rsid w:val="00F6673B"/>
    <w:rsid w:val="00F70B2F"/>
    <w:rsid w:val="00F8026C"/>
    <w:rsid w:val="00F807DF"/>
    <w:rsid w:val="00F812EA"/>
    <w:rsid w:val="00F84CC6"/>
    <w:rsid w:val="00F87F5C"/>
    <w:rsid w:val="00F962C1"/>
    <w:rsid w:val="00FA1B4A"/>
    <w:rsid w:val="00FA485B"/>
    <w:rsid w:val="00FA4A59"/>
    <w:rsid w:val="00FB5669"/>
    <w:rsid w:val="00FB6051"/>
    <w:rsid w:val="00FC057F"/>
    <w:rsid w:val="00FC1034"/>
    <w:rsid w:val="00FC12D4"/>
    <w:rsid w:val="00FC46BD"/>
    <w:rsid w:val="00FC4A39"/>
    <w:rsid w:val="00FC7F60"/>
    <w:rsid w:val="00FE2EB3"/>
    <w:rsid w:val="00FE5568"/>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00729"/>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DFF6F867-7DA3-4B72-A29C-B5D14C27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1917</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3</cp:revision>
  <cp:lastPrinted>2021-05-25T16:17:00Z</cp:lastPrinted>
  <dcterms:created xsi:type="dcterms:W3CDTF">2021-05-26T18:40:00Z</dcterms:created>
  <dcterms:modified xsi:type="dcterms:W3CDTF">2021-05-26T18:42:00Z</dcterms:modified>
</cp:coreProperties>
</file>