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22" w:rsidRPr="002A564D" w:rsidRDefault="00E27822" w:rsidP="00E27822">
      <w:pPr>
        <w:widowControl w:val="0"/>
        <w:rPr>
          <w:rFonts w:cs="Arial"/>
          <w:b/>
          <w:snapToGrid w:val="0"/>
          <w:sz w:val="28"/>
          <w:szCs w:val="28"/>
          <w:lang w:val="es-ES"/>
        </w:rPr>
      </w:pPr>
      <w:r w:rsidRPr="002A564D">
        <w:rPr>
          <w:rFonts w:cs="Arial"/>
          <w:b/>
          <w:snapToGrid w:val="0"/>
          <w:sz w:val="28"/>
          <w:szCs w:val="28"/>
          <w:lang w:val="es-ES"/>
        </w:rPr>
        <w:t>Or</w:t>
      </w:r>
      <w:r>
        <w:rPr>
          <w:rFonts w:cs="Arial"/>
          <w:b/>
          <w:snapToGrid w:val="0"/>
          <w:sz w:val="28"/>
          <w:szCs w:val="28"/>
          <w:lang w:val="es-ES"/>
        </w:rPr>
        <w:t>den del Día de la No</w:t>
      </w:r>
      <w:r w:rsidRPr="002A564D">
        <w:rPr>
          <w:rFonts w:cs="Arial"/>
          <w:b/>
          <w:snapToGrid w:val="0"/>
          <w:sz w:val="28"/>
          <w:szCs w:val="28"/>
          <w:lang w:val="es-ES"/>
        </w:rPr>
        <w:t>vena Sesión del Segundo Período O</w:t>
      </w:r>
      <w:r>
        <w:rPr>
          <w:rFonts w:cs="Arial"/>
          <w:b/>
          <w:snapToGrid w:val="0"/>
          <w:sz w:val="28"/>
          <w:szCs w:val="28"/>
          <w:lang w:val="es-ES"/>
        </w:rPr>
        <w:t>rdinario de Sesiones, del Segundo</w:t>
      </w:r>
      <w:r w:rsidRPr="002A564D">
        <w:rPr>
          <w:rFonts w:cs="Arial"/>
          <w:b/>
          <w:snapToGrid w:val="0"/>
          <w:sz w:val="28"/>
          <w:szCs w:val="28"/>
          <w:lang w:val="es-ES"/>
        </w:rPr>
        <w:t xml:space="preserve"> Año de Ejercicio Constitucional de la Sexagésima Primera Legislatura del Congreso del Estado Independiente, Libre y Soberano de Coahuila de Zaragoza.</w:t>
      </w:r>
    </w:p>
    <w:p w:rsidR="00E27822" w:rsidRDefault="00E27822" w:rsidP="00E27822">
      <w:pPr>
        <w:widowControl w:val="0"/>
        <w:rPr>
          <w:rFonts w:cs="Arial"/>
          <w:b/>
          <w:snapToGrid w:val="0"/>
          <w:sz w:val="28"/>
          <w:szCs w:val="28"/>
          <w:lang w:val="es-ES"/>
        </w:rPr>
      </w:pPr>
    </w:p>
    <w:p w:rsidR="00E27822" w:rsidRPr="002A564D" w:rsidRDefault="00E27822" w:rsidP="00E27822">
      <w:pPr>
        <w:widowControl w:val="0"/>
        <w:rPr>
          <w:rFonts w:cs="Arial"/>
          <w:b/>
          <w:snapToGrid w:val="0"/>
          <w:sz w:val="28"/>
          <w:szCs w:val="28"/>
          <w:lang w:val="es-ES"/>
        </w:rPr>
      </w:pPr>
    </w:p>
    <w:p w:rsidR="00E27822" w:rsidRPr="002A564D" w:rsidRDefault="00E27822" w:rsidP="00E27822">
      <w:pPr>
        <w:widowControl w:val="0"/>
        <w:jc w:val="center"/>
        <w:rPr>
          <w:rFonts w:cs="Arial"/>
          <w:b/>
          <w:snapToGrid w:val="0"/>
          <w:sz w:val="28"/>
          <w:szCs w:val="28"/>
          <w:lang w:val="es-ES"/>
        </w:rPr>
      </w:pPr>
      <w:r>
        <w:rPr>
          <w:rFonts w:cs="Arial"/>
          <w:b/>
          <w:snapToGrid w:val="0"/>
          <w:sz w:val="28"/>
          <w:szCs w:val="28"/>
          <w:lang w:val="es-ES"/>
        </w:rPr>
        <w:t xml:space="preserve">  31</w:t>
      </w:r>
      <w:r w:rsidRPr="002A564D">
        <w:rPr>
          <w:rFonts w:cs="Arial"/>
          <w:b/>
          <w:snapToGrid w:val="0"/>
          <w:sz w:val="28"/>
          <w:szCs w:val="28"/>
          <w:lang w:val="es-ES"/>
        </w:rPr>
        <w:t xml:space="preserve"> de </w:t>
      </w:r>
      <w:r>
        <w:rPr>
          <w:rFonts w:cs="Arial"/>
          <w:b/>
          <w:snapToGrid w:val="0"/>
          <w:sz w:val="28"/>
          <w:szCs w:val="28"/>
          <w:lang w:val="es-ES"/>
        </w:rPr>
        <w:t>octubre del año 2019</w:t>
      </w:r>
      <w:r w:rsidRPr="002A564D">
        <w:rPr>
          <w:rFonts w:cs="Arial"/>
          <w:b/>
          <w:snapToGrid w:val="0"/>
          <w:sz w:val="28"/>
          <w:szCs w:val="28"/>
          <w:lang w:val="es-ES"/>
        </w:rPr>
        <w:t>.</w:t>
      </w:r>
    </w:p>
    <w:p w:rsidR="00E27822" w:rsidRDefault="00E27822" w:rsidP="00E27822">
      <w:pPr>
        <w:widowControl w:val="0"/>
        <w:rPr>
          <w:rFonts w:cs="Arial"/>
          <w:b/>
          <w:snapToGrid w:val="0"/>
          <w:sz w:val="28"/>
          <w:szCs w:val="28"/>
          <w:lang w:val="es-ES"/>
        </w:rPr>
      </w:pPr>
    </w:p>
    <w:p w:rsidR="00E27822" w:rsidRPr="002A564D" w:rsidRDefault="00E27822" w:rsidP="00E27822">
      <w:pPr>
        <w:widowControl w:val="0"/>
        <w:rPr>
          <w:rFonts w:cs="Arial"/>
          <w:b/>
          <w:snapToGrid w:val="0"/>
          <w:sz w:val="28"/>
          <w:szCs w:val="28"/>
          <w:lang w:val="es-ES"/>
        </w:rPr>
      </w:pPr>
    </w:p>
    <w:p w:rsidR="00E27822" w:rsidRPr="002A564D" w:rsidRDefault="00E27822" w:rsidP="00E27822">
      <w:pPr>
        <w:widowControl w:val="0"/>
        <w:ind w:firstLine="708"/>
        <w:rPr>
          <w:rFonts w:cs="Arial"/>
          <w:snapToGrid w:val="0"/>
          <w:sz w:val="28"/>
          <w:szCs w:val="28"/>
          <w:lang w:val="es-ES"/>
        </w:rPr>
      </w:pPr>
      <w:r w:rsidRPr="002A564D">
        <w:rPr>
          <w:rFonts w:cs="Arial"/>
          <w:b/>
          <w:snapToGrid w:val="0"/>
          <w:sz w:val="28"/>
          <w:szCs w:val="28"/>
          <w:lang w:val="es-ES"/>
        </w:rPr>
        <w:t>1.-</w:t>
      </w:r>
      <w:r w:rsidRPr="002A564D">
        <w:rPr>
          <w:rFonts w:cs="Arial"/>
          <w:snapToGrid w:val="0"/>
          <w:sz w:val="28"/>
          <w:szCs w:val="28"/>
          <w:lang w:val="es-ES"/>
        </w:rPr>
        <w:t xml:space="preserve"> Lista de asistencia de las Diputadas y Diputados de la Sexagésima Primera Legislatura del Congreso del Estado.</w:t>
      </w:r>
    </w:p>
    <w:p w:rsidR="00E27822" w:rsidRDefault="00E27822" w:rsidP="00E27822">
      <w:pPr>
        <w:widowControl w:val="0"/>
        <w:ind w:firstLine="708"/>
        <w:rPr>
          <w:rFonts w:cs="Arial"/>
          <w:snapToGrid w:val="0"/>
          <w:sz w:val="28"/>
          <w:szCs w:val="28"/>
          <w:lang w:val="es-ES"/>
        </w:rPr>
      </w:pPr>
    </w:p>
    <w:p w:rsidR="00E27822" w:rsidRPr="002A564D" w:rsidRDefault="00E27822" w:rsidP="00E27822">
      <w:pPr>
        <w:widowControl w:val="0"/>
        <w:ind w:firstLine="708"/>
        <w:rPr>
          <w:rFonts w:cs="Arial"/>
          <w:snapToGrid w:val="0"/>
          <w:sz w:val="28"/>
          <w:szCs w:val="28"/>
          <w:lang w:val="es-ES"/>
        </w:rPr>
      </w:pPr>
    </w:p>
    <w:p w:rsidR="00E27822" w:rsidRPr="002A564D" w:rsidRDefault="00E27822" w:rsidP="00E27822">
      <w:pPr>
        <w:widowControl w:val="0"/>
        <w:ind w:firstLine="708"/>
        <w:rPr>
          <w:rFonts w:cs="Arial"/>
          <w:snapToGrid w:val="0"/>
          <w:sz w:val="28"/>
          <w:szCs w:val="28"/>
          <w:lang w:val="es-ES"/>
        </w:rPr>
      </w:pPr>
      <w:r w:rsidRPr="002A564D">
        <w:rPr>
          <w:rFonts w:cs="Arial"/>
          <w:b/>
          <w:snapToGrid w:val="0"/>
          <w:sz w:val="28"/>
          <w:szCs w:val="28"/>
          <w:lang w:val="es-ES"/>
        </w:rPr>
        <w:t>2.-</w:t>
      </w:r>
      <w:r w:rsidRPr="002A564D">
        <w:rPr>
          <w:rFonts w:cs="Arial"/>
          <w:snapToGrid w:val="0"/>
          <w:sz w:val="28"/>
          <w:szCs w:val="28"/>
          <w:lang w:val="es-ES"/>
        </w:rPr>
        <w:t xml:space="preserve"> Declaratoria de apertura de la Sesión.</w:t>
      </w:r>
    </w:p>
    <w:p w:rsidR="00E27822" w:rsidRDefault="00E27822" w:rsidP="00E27822">
      <w:pPr>
        <w:widowControl w:val="0"/>
        <w:ind w:firstLine="708"/>
        <w:rPr>
          <w:rFonts w:cs="Arial"/>
          <w:snapToGrid w:val="0"/>
          <w:sz w:val="28"/>
          <w:szCs w:val="28"/>
          <w:lang w:val="es-ES"/>
        </w:rPr>
      </w:pPr>
    </w:p>
    <w:p w:rsidR="00E27822" w:rsidRPr="002A564D" w:rsidRDefault="00E27822" w:rsidP="00E27822">
      <w:pPr>
        <w:widowControl w:val="0"/>
        <w:ind w:firstLine="708"/>
        <w:rPr>
          <w:rFonts w:cs="Arial"/>
          <w:snapToGrid w:val="0"/>
          <w:sz w:val="28"/>
          <w:szCs w:val="28"/>
          <w:lang w:val="es-ES"/>
        </w:rPr>
      </w:pPr>
    </w:p>
    <w:p w:rsidR="00E27822" w:rsidRPr="002A564D" w:rsidRDefault="00E27822" w:rsidP="00E27822">
      <w:pPr>
        <w:widowControl w:val="0"/>
        <w:rPr>
          <w:rFonts w:cs="Arial"/>
          <w:snapToGrid w:val="0"/>
          <w:sz w:val="28"/>
          <w:szCs w:val="28"/>
          <w:lang w:val="es-ES"/>
        </w:rPr>
      </w:pPr>
      <w:r w:rsidRPr="002A564D">
        <w:rPr>
          <w:rFonts w:cs="Arial"/>
          <w:snapToGrid w:val="0"/>
          <w:sz w:val="28"/>
          <w:szCs w:val="28"/>
          <w:lang w:val="es-ES"/>
        </w:rPr>
        <w:t xml:space="preserve"> </w:t>
      </w:r>
      <w:r w:rsidRPr="002A564D">
        <w:rPr>
          <w:rFonts w:cs="Arial"/>
          <w:snapToGrid w:val="0"/>
          <w:sz w:val="28"/>
          <w:szCs w:val="28"/>
          <w:lang w:val="es-ES"/>
        </w:rPr>
        <w:tab/>
      </w:r>
      <w:r w:rsidRPr="002A564D">
        <w:rPr>
          <w:rFonts w:cs="Arial"/>
          <w:b/>
          <w:snapToGrid w:val="0"/>
          <w:sz w:val="28"/>
          <w:szCs w:val="28"/>
          <w:lang w:val="es-ES"/>
        </w:rPr>
        <w:t>3.-</w:t>
      </w:r>
      <w:r w:rsidRPr="002A564D">
        <w:rPr>
          <w:rFonts w:cs="Arial"/>
          <w:snapToGrid w:val="0"/>
          <w:sz w:val="28"/>
          <w:szCs w:val="28"/>
          <w:lang w:val="es-ES"/>
        </w:rPr>
        <w:t xml:space="preserve"> Lectura, Discusión y, en su caso aprobación del Orden del Día propuesto para el desarrollo de la Sesión. </w:t>
      </w:r>
    </w:p>
    <w:p w:rsidR="00E27822" w:rsidRDefault="00E27822" w:rsidP="00E27822">
      <w:pPr>
        <w:widowControl w:val="0"/>
        <w:rPr>
          <w:rFonts w:cs="Arial"/>
          <w:snapToGrid w:val="0"/>
          <w:sz w:val="28"/>
          <w:szCs w:val="28"/>
          <w:lang w:val="es-ES"/>
        </w:rPr>
      </w:pPr>
    </w:p>
    <w:p w:rsidR="00E27822" w:rsidRPr="002A564D" w:rsidRDefault="00E27822" w:rsidP="00E27822">
      <w:pPr>
        <w:widowControl w:val="0"/>
        <w:rPr>
          <w:rFonts w:cs="Arial"/>
          <w:snapToGrid w:val="0"/>
          <w:sz w:val="28"/>
          <w:szCs w:val="28"/>
          <w:lang w:val="es-ES"/>
        </w:rPr>
      </w:pPr>
    </w:p>
    <w:p w:rsidR="00E27822" w:rsidRDefault="00E27822" w:rsidP="00E27822">
      <w:pPr>
        <w:ind w:firstLine="708"/>
        <w:rPr>
          <w:rFonts w:cs="Arial"/>
          <w:sz w:val="28"/>
          <w:szCs w:val="28"/>
          <w:lang w:val="es-ES_tradnl"/>
        </w:rPr>
      </w:pPr>
      <w:r>
        <w:rPr>
          <w:rFonts w:cs="Arial"/>
          <w:b/>
          <w:bCs/>
          <w:sz w:val="28"/>
          <w:szCs w:val="28"/>
          <w:lang w:val="es-ES_tradnl"/>
        </w:rPr>
        <w:t>4</w:t>
      </w:r>
      <w:r w:rsidRPr="002A564D">
        <w:rPr>
          <w:rFonts w:cs="Arial"/>
          <w:b/>
          <w:bCs/>
          <w:sz w:val="28"/>
          <w:szCs w:val="28"/>
          <w:lang w:val="es-ES_tradnl"/>
        </w:rPr>
        <w:t xml:space="preserve">.- </w:t>
      </w:r>
      <w:r w:rsidRPr="002A564D">
        <w:rPr>
          <w:rFonts w:cs="Arial"/>
          <w:sz w:val="28"/>
          <w:szCs w:val="28"/>
          <w:lang w:val="es-ES"/>
        </w:rPr>
        <w:t>Lectura, discusión y, en su caso, aprobación de</w:t>
      </w:r>
      <w:r>
        <w:rPr>
          <w:rFonts w:cs="Arial"/>
          <w:sz w:val="28"/>
          <w:szCs w:val="28"/>
          <w:lang w:val="es-ES"/>
        </w:rPr>
        <w:t xml:space="preserve"> un</w:t>
      </w:r>
      <w:r w:rsidRPr="002A564D">
        <w:rPr>
          <w:rFonts w:cs="Arial"/>
          <w:sz w:val="28"/>
          <w:szCs w:val="28"/>
          <w:lang w:val="es-ES"/>
        </w:rPr>
        <w:t xml:space="preserve"> </w:t>
      </w:r>
      <w:r w:rsidRPr="002A564D">
        <w:rPr>
          <w:rFonts w:cs="Arial"/>
          <w:bCs/>
          <w:sz w:val="28"/>
          <w:szCs w:val="28"/>
          <w:lang w:val="es-ES_tradnl"/>
        </w:rPr>
        <w:t>Dictamen</w:t>
      </w:r>
      <w:r w:rsidRPr="002A564D">
        <w:rPr>
          <w:rFonts w:cs="Arial"/>
          <w:sz w:val="28"/>
          <w:szCs w:val="28"/>
          <w:lang w:val="es-ES_tradnl"/>
        </w:rPr>
        <w:t xml:space="preserve"> de la Comisión de Gobernación, Puntos Constitucionales y Justicia, con relación al expediente formado con el oficio enviado por el Ingeniero Miguel Ángel Riquelme Solís, Gobernador del Estado de Coahuila de Zaragoza, mediante el cual somete a la aprobación de este </w:t>
      </w:r>
      <w:r>
        <w:rPr>
          <w:rFonts w:cs="Arial"/>
          <w:sz w:val="28"/>
          <w:szCs w:val="28"/>
          <w:lang w:val="es-ES_tradnl"/>
        </w:rPr>
        <w:t>Congreso, la designación de seis</w:t>
      </w:r>
      <w:r w:rsidRPr="002A564D">
        <w:rPr>
          <w:rFonts w:cs="Arial"/>
          <w:sz w:val="28"/>
          <w:szCs w:val="28"/>
          <w:lang w:val="es-ES_tradnl"/>
        </w:rPr>
        <w:t xml:space="preserve"> Magistrados Numerarios del Tribunal Superior de Justicia del Estado de Coahuila de Zaragoza.</w:t>
      </w:r>
    </w:p>
    <w:p w:rsidR="00E27822" w:rsidRPr="002A564D" w:rsidRDefault="00E27822" w:rsidP="00E27822">
      <w:pPr>
        <w:ind w:firstLine="708"/>
        <w:rPr>
          <w:rFonts w:cs="Arial"/>
          <w:sz w:val="28"/>
          <w:szCs w:val="28"/>
          <w:lang w:val="es-ES_tradnl"/>
        </w:rPr>
      </w:pPr>
    </w:p>
    <w:p w:rsidR="00E27822" w:rsidRPr="002A564D" w:rsidRDefault="00E27822" w:rsidP="00E27822">
      <w:pPr>
        <w:widowControl w:val="0"/>
        <w:ind w:firstLine="708"/>
        <w:rPr>
          <w:rFonts w:cs="Arial"/>
          <w:b/>
          <w:snapToGrid w:val="0"/>
          <w:sz w:val="28"/>
          <w:szCs w:val="28"/>
          <w:lang w:val="es-ES"/>
        </w:rPr>
      </w:pPr>
    </w:p>
    <w:p w:rsidR="00E27822" w:rsidRPr="002A564D" w:rsidRDefault="00E27822" w:rsidP="00E27822">
      <w:pPr>
        <w:ind w:firstLine="708"/>
        <w:rPr>
          <w:rFonts w:cs="Arial"/>
          <w:sz w:val="28"/>
          <w:szCs w:val="28"/>
          <w:lang w:val="es-ES_tradnl"/>
        </w:rPr>
      </w:pPr>
      <w:r>
        <w:rPr>
          <w:rFonts w:cs="Arial"/>
          <w:b/>
          <w:snapToGrid w:val="0"/>
          <w:sz w:val="28"/>
          <w:szCs w:val="28"/>
          <w:lang w:val="es-ES"/>
        </w:rPr>
        <w:t>5</w:t>
      </w:r>
      <w:r w:rsidRPr="002A564D">
        <w:rPr>
          <w:rFonts w:cs="Arial"/>
          <w:b/>
          <w:snapToGrid w:val="0"/>
          <w:sz w:val="28"/>
          <w:szCs w:val="28"/>
          <w:lang w:val="es-ES"/>
        </w:rPr>
        <w:t>.-</w:t>
      </w:r>
      <w:r w:rsidRPr="002A564D">
        <w:rPr>
          <w:rFonts w:cs="Arial"/>
          <w:snapToGrid w:val="0"/>
          <w:sz w:val="28"/>
          <w:szCs w:val="28"/>
          <w:lang w:val="es-ES"/>
        </w:rPr>
        <w:t xml:space="preserve"> </w:t>
      </w:r>
      <w:r w:rsidRPr="002A564D">
        <w:rPr>
          <w:rFonts w:cs="Arial"/>
          <w:snapToGrid w:val="0"/>
          <w:sz w:val="28"/>
          <w:szCs w:val="28"/>
        </w:rPr>
        <w:t xml:space="preserve">Toma de protesta </w:t>
      </w:r>
      <w:r w:rsidRPr="002A564D">
        <w:rPr>
          <w:rFonts w:cs="Arial"/>
          <w:sz w:val="28"/>
          <w:szCs w:val="28"/>
          <w:lang w:val="es-ES_tradnl"/>
        </w:rPr>
        <w:t xml:space="preserve">de </w:t>
      </w:r>
      <w:r>
        <w:rPr>
          <w:rFonts w:cs="Arial"/>
          <w:sz w:val="28"/>
          <w:szCs w:val="28"/>
          <w:lang w:val="es-ES_tradnl"/>
        </w:rPr>
        <w:t>los seis</w:t>
      </w:r>
      <w:r w:rsidRPr="002A564D">
        <w:rPr>
          <w:rFonts w:cs="Arial"/>
          <w:sz w:val="28"/>
          <w:szCs w:val="28"/>
          <w:lang w:val="es-ES_tradnl"/>
        </w:rPr>
        <w:t xml:space="preserve"> Magistrados Numerarios del Tribunal Superior de Justicia del Estado de Coahuila de Zaragoza.</w:t>
      </w:r>
    </w:p>
    <w:p w:rsidR="00E27822" w:rsidRDefault="00E27822" w:rsidP="00E27822">
      <w:pPr>
        <w:widowControl w:val="0"/>
        <w:tabs>
          <w:tab w:val="left" w:pos="7088"/>
        </w:tabs>
        <w:rPr>
          <w:rFonts w:cs="Arial"/>
          <w:b/>
          <w:snapToGrid w:val="0"/>
          <w:sz w:val="28"/>
          <w:szCs w:val="28"/>
          <w:lang w:val="es-ES"/>
        </w:rPr>
      </w:pPr>
    </w:p>
    <w:p w:rsidR="00E27822" w:rsidRPr="002A564D" w:rsidRDefault="00E27822" w:rsidP="00E27822">
      <w:pPr>
        <w:widowControl w:val="0"/>
        <w:tabs>
          <w:tab w:val="left" w:pos="7088"/>
        </w:tabs>
        <w:rPr>
          <w:rFonts w:cs="Arial"/>
          <w:b/>
          <w:snapToGrid w:val="0"/>
          <w:sz w:val="28"/>
          <w:szCs w:val="28"/>
          <w:lang w:val="es-ES"/>
        </w:rPr>
      </w:pPr>
      <w:r w:rsidRPr="002A564D">
        <w:rPr>
          <w:rFonts w:cs="Arial"/>
          <w:b/>
          <w:snapToGrid w:val="0"/>
          <w:sz w:val="28"/>
          <w:szCs w:val="28"/>
          <w:lang w:val="es-ES"/>
        </w:rPr>
        <w:tab/>
      </w:r>
    </w:p>
    <w:p w:rsidR="00E27822" w:rsidRDefault="00E27822" w:rsidP="00E27822">
      <w:pPr>
        <w:widowControl w:val="0"/>
        <w:ind w:firstLine="708"/>
        <w:rPr>
          <w:rFonts w:cs="Arial"/>
          <w:snapToGrid w:val="0"/>
          <w:sz w:val="28"/>
          <w:szCs w:val="28"/>
          <w:lang w:val="es-ES"/>
        </w:rPr>
      </w:pPr>
      <w:r>
        <w:rPr>
          <w:rFonts w:cs="Arial"/>
          <w:b/>
          <w:snapToGrid w:val="0"/>
          <w:sz w:val="28"/>
          <w:szCs w:val="28"/>
          <w:lang w:val="es-ES"/>
        </w:rPr>
        <w:t>6</w:t>
      </w:r>
      <w:r w:rsidRPr="002A564D">
        <w:rPr>
          <w:rFonts w:cs="Arial"/>
          <w:b/>
          <w:snapToGrid w:val="0"/>
          <w:sz w:val="28"/>
          <w:szCs w:val="28"/>
          <w:lang w:val="es-ES"/>
        </w:rPr>
        <w:t>.-</w:t>
      </w:r>
      <w:r w:rsidRPr="002A564D">
        <w:rPr>
          <w:rFonts w:cs="Arial"/>
          <w:snapToGrid w:val="0"/>
          <w:sz w:val="28"/>
          <w:szCs w:val="28"/>
          <w:lang w:val="es-ES"/>
        </w:rPr>
        <w:t xml:space="preserve"> Clausura de la Sesión y citatorio para la próxima Sesión.</w:t>
      </w:r>
    </w:p>
    <w:p w:rsidR="00E27822" w:rsidRDefault="00E27822" w:rsidP="00E27822">
      <w:pPr>
        <w:widowControl w:val="0"/>
        <w:ind w:firstLine="708"/>
        <w:rPr>
          <w:rFonts w:cs="Arial"/>
          <w:snapToGrid w:val="0"/>
          <w:sz w:val="28"/>
          <w:szCs w:val="28"/>
          <w:lang w:val="es-ES"/>
        </w:rPr>
      </w:pPr>
    </w:p>
    <w:p w:rsidR="00F31EC6" w:rsidRDefault="00F31EC6">
      <w:pPr>
        <w:jc w:val="left"/>
        <w:rPr>
          <w:rFonts w:ascii="Arial Narrow" w:eastAsiaTheme="minorHAnsi" w:hAnsi="Arial Narrow" w:cs="Arial"/>
          <w:b/>
          <w:snapToGrid w:val="0"/>
          <w:sz w:val="22"/>
          <w:lang w:eastAsia="en-US"/>
        </w:rPr>
      </w:pPr>
      <w:r>
        <w:rPr>
          <w:rFonts w:ascii="Arial Narrow" w:eastAsiaTheme="minorHAnsi" w:hAnsi="Arial Narrow" w:cs="Arial"/>
          <w:b/>
          <w:snapToGrid w:val="0"/>
          <w:sz w:val="22"/>
          <w:lang w:eastAsia="en-US"/>
        </w:rPr>
        <w:br w:type="page"/>
      </w:r>
    </w:p>
    <w:p w:rsidR="00F31EC6" w:rsidRPr="00F31EC6" w:rsidRDefault="00F31EC6" w:rsidP="00F31EC6">
      <w:pPr>
        <w:jc w:val="left"/>
        <w:rPr>
          <w:rFonts w:eastAsia="Calibri" w:cs="Arial"/>
          <w:sz w:val="24"/>
          <w:szCs w:val="24"/>
          <w:lang w:val="es-ES_tradnl" w:eastAsia="en-US"/>
        </w:rPr>
      </w:pPr>
    </w:p>
    <w:p w:rsidR="00F31EC6" w:rsidRPr="00F31EC6" w:rsidRDefault="00F31EC6" w:rsidP="00F31EC6">
      <w:pPr>
        <w:spacing w:line="360" w:lineRule="auto"/>
        <w:rPr>
          <w:rFonts w:cs="Arial"/>
          <w:sz w:val="24"/>
          <w:szCs w:val="24"/>
          <w:lang w:val="es-ES_tradnl"/>
        </w:rPr>
      </w:pPr>
      <w:r w:rsidRPr="00F31EC6">
        <w:rPr>
          <w:rFonts w:cs="Arial"/>
          <w:b/>
          <w:bCs/>
          <w:sz w:val="24"/>
          <w:szCs w:val="24"/>
          <w:lang w:val="es-ES_tradnl"/>
        </w:rPr>
        <w:t>DICTAMEN</w:t>
      </w:r>
      <w:r w:rsidRPr="00F31EC6">
        <w:rPr>
          <w:rFonts w:cs="Arial"/>
          <w:sz w:val="24"/>
          <w:szCs w:val="24"/>
          <w:lang w:val="es-ES_tradnl"/>
        </w:rPr>
        <w:t xml:space="preserve"> de la Comisión de Gobernación, Puntos Constitucionales y Justicia de la Sexagésima Primera Legislatura del Congreso del Estado Independiente, Libre y Soberano de Coahuila de Zaragoza, con relación a </w:t>
      </w:r>
      <w:proofErr w:type="gramStart"/>
      <w:r w:rsidRPr="00F31EC6">
        <w:rPr>
          <w:rFonts w:cs="Arial"/>
          <w:sz w:val="24"/>
          <w:szCs w:val="24"/>
          <w:lang w:val="es-ES_tradnl"/>
        </w:rPr>
        <w:t>dos oficio</w:t>
      </w:r>
      <w:proofErr w:type="gramEnd"/>
      <w:r w:rsidRPr="00F31EC6">
        <w:rPr>
          <w:rFonts w:cs="Arial"/>
          <w:sz w:val="24"/>
          <w:szCs w:val="24"/>
          <w:lang w:val="es-ES_tradnl"/>
        </w:rPr>
        <w:t xml:space="preserve"> enviados por el Ingeniero Miguel Ángel Riquelme Solís, Gobernador del Estado de Coahuila de Zaragoza, mediante los cuales somete a la aprobación de este Congreso, la designación de seis Magistrados Numerarios del Tribunal Superior de Justicia del Estado de Coahuila de Zaragoza.</w:t>
      </w:r>
    </w:p>
    <w:p w:rsidR="00F31EC6" w:rsidRPr="00F31EC6" w:rsidRDefault="00F31EC6" w:rsidP="00F31EC6">
      <w:pPr>
        <w:spacing w:line="360" w:lineRule="auto"/>
        <w:rPr>
          <w:rFonts w:cs="Arial"/>
          <w:sz w:val="24"/>
          <w:szCs w:val="24"/>
          <w:lang w:val="es-ES_tradnl"/>
        </w:rPr>
      </w:pPr>
      <w:r w:rsidRPr="00F31EC6">
        <w:rPr>
          <w:rFonts w:cs="Arial"/>
          <w:sz w:val="24"/>
          <w:szCs w:val="24"/>
          <w:lang w:val="es-ES_tradnl"/>
        </w:rPr>
        <w:t xml:space="preserve"> </w:t>
      </w:r>
    </w:p>
    <w:p w:rsidR="00F31EC6" w:rsidRPr="00F31EC6" w:rsidRDefault="00F31EC6" w:rsidP="00F31EC6">
      <w:pPr>
        <w:keepNext/>
        <w:tabs>
          <w:tab w:val="left" w:pos="0"/>
        </w:tabs>
        <w:jc w:val="center"/>
        <w:outlineLvl w:val="1"/>
        <w:rPr>
          <w:rFonts w:cs="Arial"/>
          <w:b/>
          <w:sz w:val="24"/>
          <w:szCs w:val="24"/>
          <w:lang w:val="es-ES_tradnl"/>
        </w:rPr>
      </w:pPr>
    </w:p>
    <w:p w:rsidR="00F31EC6" w:rsidRPr="00F31EC6" w:rsidRDefault="00F31EC6" w:rsidP="00F31EC6">
      <w:pPr>
        <w:keepNext/>
        <w:tabs>
          <w:tab w:val="left" w:pos="0"/>
        </w:tabs>
        <w:jc w:val="center"/>
        <w:outlineLvl w:val="1"/>
        <w:rPr>
          <w:rFonts w:cs="Arial"/>
          <w:b/>
          <w:sz w:val="24"/>
          <w:szCs w:val="24"/>
          <w:lang w:val="es-ES_tradnl"/>
        </w:rPr>
      </w:pPr>
      <w:r w:rsidRPr="00F31EC6">
        <w:rPr>
          <w:rFonts w:cs="Arial"/>
          <w:b/>
          <w:sz w:val="24"/>
          <w:szCs w:val="24"/>
          <w:lang w:val="es-ES_tradnl"/>
        </w:rPr>
        <w:t>R E S U L T A N D O</w:t>
      </w:r>
    </w:p>
    <w:p w:rsidR="00F31EC6" w:rsidRPr="00F31EC6" w:rsidRDefault="00F31EC6" w:rsidP="00F31EC6">
      <w:pPr>
        <w:keepNext/>
        <w:tabs>
          <w:tab w:val="left" w:pos="0"/>
        </w:tabs>
        <w:jc w:val="center"/>
        <w:outlineLvl w:val="1"/>
        <w:rPr>
          <w:rFonts w:cs="Arial"/>
          <w:b/>
          <w:sz w:val="24"/>
          <w:szCs w:val="24"/>
          <w:lang w:val="es-ES_tradnl"/>
        </w:rPr>
      </w:pPr>
    </w:p>
    <w:p w:rsidR="00F31EC6" w:rsidRPr="00F31EC6" w:rsidRDefault="00F31EC6" w:rsidP="00F31EC6">
      <w:pPr>
        <w:jc w:val="left"/>
        <w:rPr>
          <w:rFonts w:eastAsia="Calibri" w:cs="Arial"/>
          <w:sz w:val="24"/>
          <w:szCs w:val="24"/>
          <w:lang w:eastAsia="en-US"/>
        </w:rPr>
      </w:pPr>
    </w:p>
    <w:p w:rsidR="00F31EC6" w:rsidRPr="00F31EC6" w:rsidRDefault="00F31EC6" w:rsidP="00F31EC6">
      <w:pPr>
        <w:spacing w:line="360" w:lineRule="auto"/>
        <w:rPr>
          <w:rFonts w:cs="Arial"/>
          <w:b/>
          <w:bCs/>
          <w:sz w:val="24"/>
          <w:szCs w:val="24"/>
          <w:lang w:val="es-ES_tradnl"/>
        </w:rPr>
      </w:pPr>
      <w:proofErr w:type="gramStart"/>
      <w:r w:rsidRPr="00F31EC6">
        <w:rPr>
          <w:rFonts w:cs="Arial"/>
          <w:b/>
          <w:bCs/>
          <w:sz w:val="24"/>
          <w:szCs w:val="24"/>
          <w:lang w:val="es-ES_tradnl"/>
        </w:rPr>
        <w:t>PRIMERO.-</w:t>
      </w:r>
      <w:proofErr w:type="gramEnd"/>
      <w:r w:rsidRPr="00F31EC6">
        <w:rPr>
          <w:rFonts w:cs="Arial"/>
          <w:b/>
          <w:bCs/>
          <w:sz w:val="24"/>
          <w:szCs w:val="24"/>
          <w:lang w:val="es-ES_tradnl"/>
        </w:rPr>
        <w:t xml:space="preserve"> </w:t>
      </w:r>
      <w:r w:rsidRPr="00F31EC6">
        <w:rPr>
          <w:rFonts w:cs="Arial"/>
          <w:bCs/>
          <w:sz w:val="24"/>
          <w:szCs w:val="24"/>
          <w:lang w:val="es-ES_tradnl"/>
        </w:rPr>
        <w:t xml:space="preserve">Que esta Comisión de Gobernación, Puntos Constitucionales y Justicia, </w:t>
      </w:r>
      <w:r w:rsidRPr="00F31EC6">
        <w:rPr>
          <w:rFonts w:cs="Arial"/>
          <w:sz w:val="24"/>
          <w:szCs w:val="24"/>
        </w:rPr>
        <w:t>con fundamento en los artículos 90, 116, 117 y demás relativos de la Ley Orgánica del Congreso del Estado</w:t>
      </w:r>
      <w:r w:rsidRPr="00F31EC6">
        <w:rPr>
          <w:rFonts w:cs="Arial"/>
          <w:bCs/>
          <w:sz w:val="24"/>
          <w:szCs w:val="24"/>
          <w:lang w:val="es-ES_tradnl"/>
        </w:rPr>
        <w:t xml:space="preserve"> es competente para  emitir el presente dictamen.</w:t>
      </w:r>
    </w:p>
    <w:p w:rsidR="00F31EC6" w:rsidRPr="00F31EC6" w:rsidRDefault="00F31EC6" w:rsidP="00F31EC6">
      <w:pPr>
        <w:spacing w:line="360" w:lineRule="auto"/>
        <w:rPr>
          <w:rFonts w:cs="Arial"/>
          <w:b/>
          <w:bCs/>
          <w:sz w:val="24"/>
          <w:szCs w:val="24"/>
          <w:lang w:val="es-ES_tradnl"/>
        </w:rPr>
      </w:pPr>
    </w:p>
    <w:p w:rsidR="00F31EC6" w:rsidRPr="00F31EC6" w:rsidRDefault="00F31EC6" w:rsidP="00F31EC6">
      <w:pPr>
        <w:spacing w:line="360" w:lineRule="auto"/>
        <w:rPr>
          <w:rFonts w:cs="Arial"/>
          <w:sz w:val="24"/>
          <w:szCs w:val="24"/>
        </w:rPr>
      </w:pPr>
      <w:r w:rsidRPr="00F31EC6">
        <w:rPr>
          <w:rFonts w:cs="Arial"/>
          <w:b/>
          <w:bCs/>
          <w:sz w:val="24"/>
          <w:szCs w:val="24"/>
          <w:lang w:val="es-ES_tradnl"/>
        </w:rPr>
        <w:t xml:space="preserve">SEGUNDO.- </w:t>
      </w:r>
      <w:r w:rsidRPr="00F31EC6">
        <w:rPr>
          <w:rFonts w:cs="Arial"/>
          <w:sz w:val="24"/>
          <w:szCs w:val="24"/>
          <w:lang w:val="es-ES_tradnl"/>
        </w:rPr>
        <w:t xml:space="preserve">Que con fecha 30 de octubre del presente año, por acuerdo del Presidente de la Mesa Directiva del Pleno del Congreso, se turnaron a esta Comisión de Gobernación, Puntos Constitucionales y Justicia, dos oficios del Ejecutivo del Estado, mediante los cuales se somete a la aprobación de este Congreso, la designación de los Licenciados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Tello, Manuel Alberto Flores Hernández, y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r w:rsidRPr="00F31EC6">
        <w:rPr>
          <w:rFonts w:cs="Arial"/>
          <w:sz w:val="24"/>
          <w:szCs w:val="24"/>
          <w:lang w:val="es-ES_tradnl"/>
        </w:rPr>
        <w:t>, como Magistrados Numerarios</w:t>
      </w:r>
      <w:r w:rsidRPr="00F31EC6">
        <w:rPr>
          <w:rFonts w:cs="Arial"/>
          <w:sz w:val="24"/>
          <w:szCs w:val="24"/>
        </w:rPr>
        <w:t xml:space="preserve"> del Tribunal Superior de Justicia del Estado </w:t>
      </w:r>
      <w:r w:rsidRPr="00F31EC6">
        <w:rPr>
          <w:rFonts w:cs="Arial"/>
          <w:sz w:val="24"/>
          <w:szCs w:val="24"/>
          <w:lang w:val="es-ES_tradnl"/>
        </w:rPr>
        <w:t xml:space="preserve">de Coahuila de Zaragoza, así como la documentación que acompaña a dicha comunicación. </w:t>
      </w:r>
    </w:p>
    <w:p w:rsidR="00F31EC6" w:rsidRPr="00F31EC6" w:rsidRDefault="00F31EC6" w:rsidP="00F31EC6">
      <w:pPr>
        <w:spacing w:line="360" w:lineRule="auto"/>
        <w:rPr>
          <w:rFonts w:cs="Arial"/>
          <w:sz w:val="24"/>
          <w:szCs w:val="24"/>
          <w:lang w:val="es-ES_tradnl"/>
        </w:rPr>
      </w:pPr>
    </w:p>
    <w:p w:rsidR="00F31EC6" w:rsidRPr="00F31EC6" w:rsidRDefault="00F31EC6" w:rsidP="00F31EC6">
      <w:pPr>
        <w:rPr>
          <w:rFonts w:cs="Arial"/>
          <w:sz w:val="24"/>
          <w:szCs w:val="24"/>
          <w:lang w:val="es-ES_tradnl"/>
        </w:rPr>
      </w:pPr>
    </w:p>
    <w:p w:rsidR="00F31EC6" w:rsidRPr="00F31EC6" w:rsidRDefault="00F31EC6" w:rsidP="00F31EC6">
      <w:pPr>
        <w:rPr>
          <w:rFonts w:cs="Arial"/>
          <w:sz w:val="24"/>
          <w:szCs w:val="24"/>
          <w:lang w:val="es-ES_tradnl"/>
        </w:rPr>
      </w:pPr>
    </w:p>
    <w:p w:rsidR="00F31EC6" w:rsidRPr="00F31EC6" w:rsidRDefault="00F31EC6" w:rsidP="00F31EC6">
      <w:pPr>
        <w:jc w:val="center"/>
        <w:rPr>
          <w:rFonts w:cs="Arial"/>
          <w:b/>
          <w:bCs/>
          <w:sz w:val="24"/>
          <w:szCs w:val="24"/>
        </w:rPr>
      </w:pPr>
      <w:r w:rsidRPr="00F31EC6">
        <w:rPr>
          <w:rFonts w:cs="Arial"/>
          <w:b/>
          <w:bCs/>
          <w:sz w:val="24"/>
          <w:szCs w:val="24"/>
        </w:rPr>
        <w:t>C O N S I D E R A N D O</w:t>
      </w:r>
    </w:p>
    <w:p w:rsidR="00F31EC6" w:rsidRPr="00F31EC6" w:rsidRDefault="00F31EC6" w:rsidP="00F31EC6">
      <w:pPr>
        <w:jc w:val="center"/>
        <w:rPr>
          <w:rFonts w:cs="Arial"/>
          <w:sz w:val="24"/>
          <w:szCs w:val="24"/>
        </w:rPr>
      </w:pPr>
    </w:p>
    <w:p w:rsidR="00F31EC6" w:rsidRPr="00F31EC6" w:rsidRDefault="00F31EC6" w:rsidP="00F31EC6">
      <w:pPr>
        <w:spacing w:line="360" w:lineRule="auto"/>
        <w:rPr>
          <w:rFonts w:cs="Arial"/>
          <w:sz w:val="24"/>
          <w:szCs w:val="24"/>
          <w:lang w:val="es-ES_tradnl"/>
        </w:rPr>
      </w:pPr>
      <w:proofErr w:type="gramStart"/>
      <w:r w:rsidRPr="00F31EC6">
        <w:rPr>
          <w:rFonts w:cs="Arial"/>
          <w:b/>
          <w:bCs/>
          <w:sz w:val="24"/>
          <w:szCs w:val="24"/>
        </w:rPr>
        <w:t>PRIMERO.-</w:t>
      </w:r>
      <w:proofErr w:type="gramEnd"/>
      <w:r w:rsidRPr="00F31EC6">
        <w:rPr>
          <w:rFonts w:cs="Arial"/>
          <w:b/>
          <w:bCs/>
          <w:sz w:val="24"/>
          <w:szCs w:val="24"/>
        </w:rPr>
        <w:t xml:space="preserve"> </w:t>
      </w:r>
      <w:r w:rsidRPr="00F31EC6">
        <w:rPr>
          <w:rFonts w:cs="Arial"/>
          <w:sz w:val="24"/>
          <w:szCs w:val="24"/>
          <w:lang w:val="es-ES_tradnl"/>
        </w:rPr>
        <w:t xml:space="preserve">Que el </w:t>
      </w:r>
      <w:r w:rsidRPr="00F31EC6">
        <w:rPr>
          <w:rFonts w:cs="Arial"/>
          <w:bCs/>
          <w:sz w:val="24"/>
          <w:szCs w:val="24"/>
          <w:lang w:val="es-ES_tradnl"/>
        </w:rPr>
        <w:t>artículo</w:t>
      </w:r>
      <w:r w:rsidRPr="00F31EC6">
        <w:rPr>
          <w:rFonts w:cs="Arial"/>
          <w:b/>
          <w:bCs/>
          <w:sz w:val="24"/>
          <w:szCs w:val="24"/>
          <w:lang w:val="es-ES_tradnl"/>
        </w:rPr>
        <w:t xml:space="preserve"> </w:t>
      </w:r>
      <w:r w:rsidRPr="00F31EC6">
        <w:rPr>
          <w:rFonts w:cs="Arial"/>
          <w:bCs/>
          <w:sz w:val="24"/>
          <w:szCs w:val="24"/>
          <w:lang w:val="es-ES_tradnl"/>
        </w:rPr>
        <w:t xml:space="preserve">135 </w:t>
      </w:r>
      <w:r w:rsidRPr="00F31EC6">
        <w:rPr>
          <w:rFonts w:cs="Arial"/>
          <w:color w:val="000000"/>
          <w:sz w:val="24"/>
          <w:szCs w:val="24"/>
          <w:lang w:eastAsia="es-MX"/>
        </w:rPr>
        <w:t xml:space="preserve">de la </w:t>
      </w:r>
      <w:r w:rsidRPr="00F31EC6">
        <w:rPr>
          <w:rFonts w:cs="Arial"/>
          <w:bCs/>
          <w:sz w:val="24"/>
          <w:szCs w:val="24"/>
        </w:rPr>
        <w:t>C</w:t>
      </w:r>
      <w:proofErr w:type="spellStart"/>
      <w:r w:rsidRPr="00F31EC6">
        <w:rPr>
          <w:rFonts w:cs="Arial"/>
          <w:bCs/>
          <w:sz w:val="24"/>
          <w:szCs w:val="24"/>
          <w:lang w:val="es-ES_tradnl"/>
        </w:rPr>
        <w:t>onstitución</w:t>
      </w:r>
      <w:proofErr w:type="spellEnd"/>
      <w:r w:rsidRPr="00F31EC6">
        <w:rPr>
          <w:rFonts w:cs="Arial"/>
          <w:bCs/>
          <w:sz w:val="24"/>
          <w:szCs w:val="24"/>
          <w:lang w:val="es-ES_tradnl"/>
        </w:rPr>
        <w:t xml:space="preserve"> Política del Estado de Coahuila de Zaragoza, establece </w:t>
      </w:r>
      <w:r w:rsidRPr="00F31EC6">
        <w:rPr>
          <w:rFonts w:cs="Arial"/>
          <w:sz w:val="24"/>
          <w:szCs w:val="24"/>
          <w:lang w:val="es-ES_tradnl"/>
        </w:rPr>
        <w:t xml:space="preserve">que el Poder Judicial se deposita, para su ejercicio, en el Tribunal </w:t>
      </w:r>
      <w:r w:rsidRPr="00F31EC6">
        <w:rPr>
          <w:rFonts w:cs="Arial"/>
          <w:sz w:val="24"/>
          <w:szCs w:val="24"/>
          <w:lang w:val="es-ES_tradnl"/>
        </w:rPr>
        <w:lastRenderedPageBreak/>
        <w:t>Superior de Justicia, en el Tribunal de Conciliación y Arbitraje, en los Tribunales Distritales, en los Juzgados de Primera Instancia, cualquiera que sea su denominación, en el Consejo de la Judicatura y en los demás órganos judiciales que con cualquier otro nombre determinen las leyes.</w:t>
      </w:r>
    </w:p>
    <w:p w:rsidR="00F31EC6" w:rsidRPr="00F31EC6" w:rsidRDefault="00F31EC6" w:rsidP="00F31EC6">
      <w:pPr>
        <w:spacing w:line="360" w:lineRule="auto"/>
        <w:rPr>
          <w:rFonts w:cs="Arial"/>
          <w:b/>
          <w:sz w:val="24"/>
          <w:szCs w:val="24"/>
          <w:lang w:val="es-ES_tradnl"/>
        </w:rPr>
      </w:pPr>
    </w:p>
    <w:p w:rsidR="00F31EC6" w:rsidRPr="00F31EC6" w:rsidRDefault="00F31EC6" w:rsidP="00F31EC6">
      <w:pPr>
        <w:spacing w:line="360" w:lineRule="auto"/>
        <w:rPr>
          <w:rFonts w:cs="Arial"/>
          <w:b/>
          <w:bCs/>
          <w:sz w:val="24"/>
          <w:szCs w:val="24"/>
          <w:lang w:val="es-ES_tradnl"/>
        </w:rPr>
      </w:pPr>
      <w:proofErr w:type="gramStart"/>
      <w:r w:rsidRPr="00F31EC6">
        <w:rPr>
          <w:rFonts w:cs="Arial"/>
          <w:b/>
          <w:sz w:val="24"/>
          <w:szCs w:val="24"/>
          <w:lang w:val="es-ES_tradnl"/>
        </w:rPr>
        <w:t>SEGUNDO.-</w:t>
      </w:r>
      <w:proofErr w:type="gramEnd"/>
      <w:r w:rsidRPr="00F31EC6">
        <w:rPr>
          <w:rFonts w:cs="Arial"/>
          <w:b/>
          <w:sz w:val="24"/>
          <w:szCs w:val="24"/>
          <w:lang w:val="es-ES_tradnl"/>
        </w:rPr>
        <w:t xml:space="preserve"> </w:t>
      </w:r>
      <w:r w:rsidRPr="00F31EC6">
        <w:rPr>
          <w:rFonts w:cs="Arial"/>
          <w:sz w:val="24"/>
          <w:szCs w:val="24"/>
          <w:lang w:val="es-ES_tradnl"/>
        </w:rPr>
        <w:t xml:space="preserve">Que el </w:t>
      </w:r>
      <w:r w:rsidRPr="00F31EC6">
        <w:rPr>
          <w:rFonts w:cs="Arial"/>
          <w:bCs/>
          <w:sz w:val="24"/>
          <w:szCs w:val="24"/>
          <w:lang w:val="es-ES_tradnl"/>
        </w:rPr>
        <w:t>artículo</w:t>
      </w:r>
      <w:r w:rsidRPr="00F31EC6">
        <w:rPr>
          <w:rFonts w:cs="Arial"/>
          <w:b/>
          <w:bCs/>
          <w:sz w:val="24"/>
          <w:szCs w:val="24"/>
          <w:lang w:val="es-ES_tradnl"/>
        </w:rPr>
        <w:t xml:space="preserve"> </w:t>
      </w:r>
      <w:r w:rsidRPr="00F31EC6">
        <w:rPr>
          <w:rFonts w:cs="Arial"/>
          <w:bCs/>
          <w:sz w:val="24"/>
          <w:szCs w:val="24"/>
          <w:lang w:val="es-ES_tradnl"/>
        </w:rPr>
        <w:t>6</w:t>
      </w:r>
      <w:r w:rsidRPr="00F31EC6">
        <w:rPr>
          <w:rFonts w:cs="Arial"/>
          <w:b/>
          <w:bCs/>
          <w:sz w:val="24"/>
          <w:szCs w:val="24"/>
          <w:lang w:val="es-ES_tradnl"/>
        </w:rPr>
        <w:t xml:space="preserve"> </w:t>
      </w:r>
      <w:r w:rsidRPr="00F31EC6">
        <w:rPr>
          <w:rFonts w:cs="Arial"/>
          <w:bCs/>
          <w:sz w:val="24"/>
          <w:szCs w:val="24"/>
          <w:lang w:val="es-ES_tradnl"/>
        </w:rPr>
        <w:t>de la</w:t>
      </w:r>
      <w:r w:rsidRPr="00F31EC6">
        <w:rPr>
          <w:rFonts w:cs="Arial"/>
          <w:b/>
          <w:bCs/>
          <w:sz w:val="24"/>
          <w:szCs w:val="24"/>
          <w:lang w:val="es-ES_tradnl"/>
        </w:rPr>
        <w:t xml:space="preserve"> </w:t>
      </w:r>
      <w:r w:rsidRPr="00F31EC6">
        <w:rPr>
          <w:rFonts w:cs="Arial"/>
          <w:bCs/>
          <w:sz w:val="24"/>
          <w:szCs w:val="24"/>
          <w:lang w:val="es-ES_tradnl"/>
        </w:rPr>
        <w:t xml:space="preserve">Ley Orgánica del Poder Judicial del Estado de Coahuila de Zaragoza, establece </w:t>
      </w:r>
      <w:r w:rsidRPr="00F31EC6">
        <w:rPr>
          <w:rFonts w:cs="Arial"/>
          <w:sz w:val="24"/>
          <w:szCs w:val="24"/>
          <w:lang w:val="es-ES_tradnl"/>
        </w:rPr>
        <w:t xml:space="preserve">que </w:t>
      </w:r>
      <w:r w:rsidRPr="00F31EC6">
        <w:rPr>
          <w:rFonts w:cs="Arial"/>
          <w:bCs/>
          <w:sz w:val="24"/>
          <w:szCs w:val="24"/>
          <w:lang w:val="es-ES_tradnl"/>
        </w:rPr>
        <w:t>el</w:t>
      </w:r>
      <w:r w:rsidRPr="00F31EC6">
        <w:rPr>
          <w:rFonts w:cs="Arial"/>
          <w:b/>
          <w:bCs/>
          <w:sz w:val="24"/>
          <w:szCs w:val="24"/>
          <w:lang w:val="es-ES_tradnl"/>
        </w:rPr>
        <w:t xml:space="preserve"> </w:t>
      </w:r>
      <w:r w:rsidRPr="00F31EC6">
        <w:rPr>
          <w:rFonts w:cs="Arial"/>
          <w:sz w:val="24"/>
          <w:szCs w:val="24"/>
          <w:lang w:val="es-ES_tradnl"/>
        </w:rPr>
        <w:t>Tribunal Superior de Justicia del Estado, estará integrado por dieciséis Magistrados Numerarios y once</w:t>
      </w:r>
      <w:r w:rsidRPr="00F31EC6">
        <w:rPr>
          <w:rFonts w:cs="Arial"/>
          <w:b/>
          <w:sz w:val="24"/>
          <w:szCs w:val="24"/>
          <w:lang w:val="es-ES_tradnl"/>
        </w:rPr>
        <w:t xml:space="preserve"> </w:t>
      </w:r>
      <w:r w:rsidRPr="00F31EC6">
        <w:rPr>
          <w:rFonts w:cs="Arial"/>
          <w:sz w:val="24"/>
          <w:szCs w:val="24"/>
          <w:lang w:val="es-ES_tradnl"/>
        </w:rPr>
        <w:t>Supernumerarios, y funcionará en Pleno o en Salas.</w:t>
      </w:r>
    </w:p>
    <w:p w:rsidR="00F31EC6" w:rsidRPr="00F31EC6" w:rsidRDefault="00F31EC6" w:rsidP="00F31EC6">
      <w:pPr>
        <w:spacing w:line="360" w:lineRule="auto"/>
        <w:rPr>
          <w:rFonts w:cs="Arial"/>
          <w:b/>
          <w:bCs/>
          <w:sz w:val="24"/>
          <w:szCs w:val="24"/>
        </w:rPr>
      </w:pPr>
    </w:p>
    <w:p w:rsidR="00F31EC6" w:rsidRPr="00F31EC6" w:rsidRDefault="00F31EC6" w:rsidP="00F31EC6">
      <w:pPr>
        <w:spacing w:line="360" w:lineRule="auto"/>
        <w:rPr>
          <w:rFonts w:cs="Arial"/>
          <w:sz w:val="24"/>
          <w:szCs w:val="24"/>
        </w:rPr>
      </w:pPr>
      <w:proofErr w:type="gramStart"/>
      <w:r w:rsidRPr="00F31EC6">
        <w:rPr>
          <w:rFonts w:cs="Arial"/>
          <w:b/>
          <w:bCs/>
          <w:sz w:val="24"/>
          <w:szCs w:val="24"/>
        </w:rPr>
        <w:t>TERCERO.-</w:t>
      </w:r>
      <w:proofErr w:type="gramEnd"/>
      <w:r w:rsidRPr="00F31EC6">
        <w:rPr>
          <w:rFonts w:cs="Arial"/>
          <w:b/>
          <w:bCs/>
          <w:sz w:val="24"/>
          <w:szCs w:val="24"/>
        </w:rPr>
        <w:t xml:space="preserve"> </w:t>
      </w:r>
      <w:r w:rsidRPr="00F31EC6">
        <w:rPr>
          <w:rFonts w:cs="Arial"/>
          <w:sz w:val="24"/>
          <w:szCs w:val="24"/>
        </w:rPr>
        <w:t xml:space="preserve">Que el periodo constitucional de los integrantes del Poder Judicial será de quince años para los Magistrados Numerarios del Tribunal Superior de Justicia, de acuerdo a lo previsto en el artículo 7 </w:t>
      </w:r>
      <w:r w:rsidRPr="00F31EC6">
        <w:rPr>
          <w:rFonts w:cs="Arial"/>
          <w:sz w:val="24"/>
          <w:szCs w:val="24"/>
          <w:lang w:val="es-ES_tradnl"/>
        </w:rPr>
        <w:t>de la Ley Orgánica del Poder Judicial del Estado de Coahuila de Zaragoza.</w:t>
      </w:r>
    </w:p>
    <w:p w:rsidR="00F31EC6" w:rsidRPr="00F31EC6" w:rsidRDefault="00F31EC6" w:rsidP="00F31EC6">
      <w:pPr>
        <w:spacing w:line="360" w:lineRule="auto"/>
        <w:rPr>
          <w:rFonts w:cs="Arial"/>
          <w:b/>
          <w:bCs/>
          <w:sz w:val="24"/>
          <w:szCs w:val="24"/>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CUARTO.-</w:t>
      </w:r>
      <w:proofErr w:type="gramEnd"/>
      <w:r w:rsidRPr="00F31EC6">
        <w:rPr>
          <w:rFonts w:cs="Arial"/>
          <w:sz w:val="24"/>
          <w:szCs w:val="24"/>
        </w:rPr>
        <w:t xml:space="preserve"> Que corresponde al Titular del Ejecutivo someter a consideración del Congreso, los nombramientos de los Magistrados Numerarios del Tribunal Superior de Justicia, conforme a la lista de candidatos que le presente el Consejo de la Judicatura, lo anterior de conformidad a lo dispuesto por los artículos 82 fracción XXIII, 145 y 146 de la Constitución Política del Estado, que a la letra dicen:</w:t>
      </w:r>
    </w:p>
    <w:p w:rsidR="00F31EC6" w:rsidRPr="00F31EC6" w:rsidRDefault="00F31EC6" w:rsidP="00F31EC6">
      <w:pPr>
        <w:spacing w:line="360" w:lineRule="auto"/>
        <w:rPr>
          <w:rFonts w:cs="Arial"/>
          <w:sz w:val="24"/>
          <w:szCs w:val="24"/>
        </w:rPr>
      </w:pPr>
    </w:p>
    <w:p w:rsidR="00F31EC6" w:rsidRPr="00F31EC6" w:rsidRDefault="00F31EC6" w:rsidP="00F31EC6">
      <w:pPr>
        <w:ind w:left="567" w:right="476"/>
        <w:rPr>
          <w:rFonts w:cs="Arial"/>
          <w:i/>
          <w:sz w:val="24"/>
          <w:szCs w:val="24"/>
          <w:lang w:val="es-ES_tradnl"/>
        </w:rPr>
      </w:pPr>
      <w:r w:rsidRPr="00F31EC6">
        <w:rPr>
          <w:rFonts w:cs="Arial"/>
          <w:b/>
          <w:bCs/>
          <w:i/>
          <w:sz w:val="24"/>
          <w:szCs w:val="24"/>
          <w:lang w:val="es-ES_tradnl"/>
        </w:rPr>
        <w:t>Artículo 82.</w:t>
      </w:r>
      <w:r w:rsidRPr="00F31EC6">
        <w:rPr>
          <w:rFonts w:cs="Arial"/>
          <w:i/>
          <w:sz w:val="24"/>
          <w:szCs w:val="24"/>
          <w:lang w:val="es-ES_tradnl"/>
        </w:rPr>
        <w:t xml:space="preserve"> Son facultades del Gobernador:</w:t>
      </w:r>
    </w:p>
    <w:p w:rsidR="00F31EC6" w:rsidRPr="00F31EC6" w:rsidRDefault="00F31EC6" w:rsidP="00F31EC6">
      <w:pPr>
        <w:ind w:left="567" w:right="476"/>
        <w:rPr>
          <w:rFonts w:cs="Arial"/>
          <w:i/>
          <w:sz w:val="24"/>
          <w:szCs w:val="24"/>
          <w:lang w:val="es-ES_tradnl"/>
        </w:rPr>
      </w:pPr>
    </w:p>
    <w:p w:rsidR="00F31EC6" w:rsidRPr="00F31EC6" w:rsidRDefault="00F31EC6" w:rsidP="00F31EC6">
      <w:pPr>
        <w:ind w:left="567" w:right="476"/>
        <w:rPr>
          <w:rFonts w:cs="Arial"/>
          <w:b/>
          <w:i/>
          <w:sz w:val="24"/>
          <w:szCs w:val="24"/>
          <w:lang w:val="es-ES_tradnl"/>
        </w:rPr>
      </w:pPr>
    </w:p>
    <w:p w:rsidR="00F31EC6" w:rsidRPr="00F31EC6" w:rsidRDefault="00F31EC6" w:rsidP="00F31EC6">
      <w:pPr>
        <w:ind w:left="567" w:right="476"/>
        <w:rPr>
          <w:rFonts w:cs="Arial"/>
          <w:i/>
          <w:sz w:val="24"/>
          <w:szCs w:val="24"/>
          <w:lang w:val="es-ES_tradnl"/>
        </w:rPr>
      </w:pPr>
      <w:r w:rsidRPr="00F31EC6">
        <w:rPr>
          <w:rFonts w:cs="Arial"/>
          <w:b/>
          <w:i/>
          <w:sz w:val="24"/>
          <w:szCs w:val="24"/>
          <w:lang w:val="es-ES_tradnl"/>
        </w:rPr>
        <w:t>I a XXII. …</w:t>
      </w:r>
    </w:p>
    <w:p w:rsidR="00F31EC6" w:rsidRPr="00F31EC6" w:rsidRDefault="00F31EC6" w:rsidP="00F31EC6">
      <w:pPr>
        <w:ind w:left="567" w:right="476" w:hanging="397"/>
        <w:rPr>
          <w:rFonts w:cs="Arial"/>
          <w:b/>
          <w:i/>
          <w:sz w:val="24"/>
          <w:szCs w:val="24"/>
          <w:lang w:val="es-ES_tradnl"/>
        </w:rPr>
      </w:pPr>
    </w:p>
    <w:p w:rsidR="00F31EC6" w:rsidRPr="00F31EC6" w:rsidRDefault="00F31EC6" w:rsidP="00F31EC6">
      <w:pPr>
        <w:spacing w:after="120" w:line="276" w:lineRule="auto"/>
        <w:ind w:left="567"/>
        <w:jc w:val="left"/>
        <w:rPr>
          <w:rFonts w:eastAsiaTheme="minorHAnsi" w:cs="Arial"/>
          <w:sz w:val="24"/>
          <w:szCs w:val="24"/>
          <w:lang w:eastAsia="en-US"/>
        </w:rPr>
      </w:pPr>
      <w:r w:rsidRPr="00F31EC6">
        <w:rPr>
          <w:rFonts w:cs="Arial"/>
          <w:b/>
          <w:i/>
          <w:sz w:val="24"/>
          <w:szCs w:val="24"/>
          <w:lang w:val="es-ES_tradnl"/>
        </w:rPr>
        <w:t xml:space="preserve">XXIII. </w:t>
      </w:r>
      <w:r w:rsidRPr="00F31EC6">
        <w:rPr>
          <w:rFonts w:eastAsiaTheme="minorHAnsi" w:cs="Arial"/>
          <w:sz w:val="24"/>
          <w:szCs w:val="24"/>
          <w:lang w:eastAsia="en-US"/>
        </w:rPr>
        <w:t>Someter al Congreso del Estado, en los términos de esta Constitución y demás disposiciones aplicables, los nombramientos de Magistrados Numerarios y Supernumerarios del Tribunal Superior de Justicia y del Tribunal de Conciliación y Arbitraje.</w:t>
      </w:r>
    </w:p>
    <w:p w:rsidR="00F31EC6" w:rsidRPr="00F31EC6" w:rsidRDefault="00F31EC6" w:rsidP="00F31EC6">
      <w:pPr>
        <w:ind w:left="567" w:right="476"/>
        <w:rPr>
          <w:rFonts w:cs="Arial"/>
          <w:i/>
          <w:sz w:val="24"/>
          <w:szCs w:val="24"/>
        </w:rPr>
      </w:pPr>
    </w:p>
    <w:p w:rsidR="00F31EC6" w:rsidRPr="00F31EC6" w:rsidRDefault="00F31EC6" w:rsidP="00F31EC6">
      <w:pPr>
        <w:ind w:left="567" w:right="476"/>
        <w:rPr>
          <w:rFonts w:cs="Arial"/>
          <w:i/>
          <w:sz w:val="24"/>
          <w:szCs w:val="24"/>
          <w:lang w:val="es-ES_tradnl"/>
        </w:rPr>
      </w:pPr>
      <w:r w:rsidRPr="00F31EC6">
        <w:rPr>
          <w:rFonts w:cs="Arial"/>
          <w:b/>
          <w:i/>
          <w:sz w:val="24"/>
          <w:szCs w:val="24"/>
          <w:lang w:val="es-ES_tradnl"/>
        </w:rPr>
        <w:lastRenderedPageBreak/>
        <w:t>XXIV a XXX. …</w:t>
      </w:r>
    </w:p>
    <w:p w:rsidR="00F31EC6" w:rsidRPr="00F31EC6" w:rsidRDefault="00F31EC6" w:rsidP="00F31EC6">
      <w:pPr>
        <w:ind w:left="567" w:right="476"/>
        <w:rPr>
          <w:rFonts w:cs="Arial"/>
          <w:i/>
          <w:sz w:val="24"/>
          <w:szCs w:val="24"/>
        </w:rPr>
      </w:pPr>
    </w:p>
    <w:p w:rsidR="00F31EC6" w:rsidRPr="00F31EC6" w:rsidRDefault="00F31EC6" w:rsidP="00F31EC6">
      <w:pPr>
        <w:ind w:left="567" w:right="476"/>
        <w:rPr>
          <w:rFonts w:cs="Arial"/>
          <w:b/>
          <w:i/>
          <w:sz w:val="24"/>
          <w:szCs w:val="24"/>
        </w:rPr>
      </w:pPr>
    </w:p>
    <w:p w:rsidR="00F31EC6" w:rsidRPr="00F31EC6" w:rsidRDefault="00F31EC6" w:rsidP="00F31EC6">
      <w:pPr>
        <w:ind w:left="567" w:right="476"/>
        <w:rPr>
          <w:rFonts w:cs="Arial"/>
          <w:i/>
          <w:sz w:val="24"/>
          <w:szCs w:val="24"/>
        </w:rPr>
      </w:pPr>
      <w:r w:rsidRPr="00F31EC6">
        <w:rPr>
          <w:rFonts w:cs="Arial"/>
          <w:b/>
          <w:i/>
          <w:sz w:val="24"/>
          <w:szCs w:val="24"/>
        </w:rPr>
        <w:t>Artículo 145.</w:t>
      </w:r>
      <w:r w:rsidRPr="00F31EC6">
        <w:rPr>
          <w:rFonts w:cs="Arial"/>
          <w:i/>
          <w:sz w:val="24"/>
          <w:szCs w:val="24"/>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F31EC6" w:rsidRPr="00F31EC6" w:rsidRDefault="00F31EC6" w:rsidP="00F31EC6">
      <w:pPr>
        <w:ind w:left="567" w:right="476"/>
        <w:rPr>
          <w:rFonts w:cs="Arial"/>
          <w:b/>
          <w:i/>
          <w:sz w:val="24"/>
          <w:szCs w:val="24"/>
          <w:lang w:val="es-ES"/>
        </w:rPr>
      </w:pPr>
    </w:p>
    <w:p w:rsidR="00F31EC6" w:rsidRPr="00F31EC6" w:rsidRDefault="00F31EC6" w:rsidP="00F31EC6">
      <w:pPr>
        <w:ind w:left="567" w:right="476"/>
        <w:rPr>
          <w:rFonts w:cs="Arial"/>
          <w:i/>
          <w:sz w:val="24"/>
          <w:szCs w:val="24"/>
          <w:lang w:val="es-ES"/>
        </w:rPr>
      </w:pPr>
      <w:r w:rsidRPr="00F31EC6">
        <w:rPr>
          <w:rFonts w:cs="Arial"/>
          <w:b/>
          <w:i/>
          <w:sz w:val="24"/>
          <w:szCs w:val="24"/>
          <w:lang w:val="es-ES"/>
        </w:rPr>
        <w:t>Artículo 146.</w:t>
      </w:r>
      <w:r w:rsidRPr="00F31EC6">
        <w:rPr>
          <w:rFonts w:cs="Arial"/>
          <w:i/>
          <w:sz w:val="24"/>
          <w:szCs w:val="24"/>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F31EC6" w:rsidRPr="00F31EC6" w:rsidRDefault="00F31EC6" w:rsidP="00F31EC6">
      <w:pPr>
        <w:tabs>
          <w:tab w:val="center" w:pos="4252"/>
          <w:tab w:val="right" w:pos="8504"/>
        </w:tabs>
        <w:ind w:left="567" w:right="476"/>
        <w:rPr>
          <w:rFonts w:cs="Arial"/>
          <w:i/>
          <w:sz w:val="24"/>
          <w:szCs w:val="24"/>
          <w:lang w:val="es-ES"/>
        </w:rPr>
      </w:pPr>
    </w:p>
    <w:p w:rsidR="00F31EC6" w:rsidRPr="00F31EC6" w:rsidRDefault="00F31EC6" w:rsidP="00F31EC6">
      <w:pPr>
        <w:tabs>
          <w:tab w:val="center" w:pos="4252"/>
          <w:tab w:val="right" w:pos="8504"/>
        </w:tabs>
        <w:ind w:left="567" w:right="476"/>
        <w:rPr>
          <w:rFonts w:cs="Arial"/>
          <w:i/>
          <w:sz w:val="24"/>
          <w:szCs w:val="24"/>
        </w:rPr>
      </w:pPr>
      <w:r w:rsidRPr="00F31EC6">
        <w:rPr>
          <w:rFonts w:cs="Arial"/>
          <w:i/>
          <w:sz w:val="24"/>
          <w:szCs w:val="24"/>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F31EC6" w:rsidRPr="00F31EC6" w:rsidRDefault="00F31EC6" w:rsidP="00F31EC6">
      <w:pPr>
        <w:tabs>
          <w:tab w:val="center" w:pos="4252"/>
          <w:tab w:val="right" w:pos="8504"/>
        </w:tabs>
        <w:ind w:left="567" w:right="476"/>
        <w:rPr>
          <w:rFonts w:cs="Arial"/>
          <w:i/>
          <w:sz w:val="24"/>
          <w:szCs w:val="24"/>
        </w:rPr>
      </w:pPr>
    </w:p>
    <w:p w:rsidR="00F31EC6" w:rsidRPr="00F31EC6" w:rsidRDefault="00F31EC6" w:rsidP="00F31EC6">
      <w:pPr>
        <w:ind w:left="567" w:right="476"/>
        <w:rPr>
          <w:rFonts w:cs="Arial"/>
          <w:i/>
          <w:sz w:val="24"/>
          <w:szCs w:val="24"/>
        </w:rPr>
      </w:pPr>
      <w:r w:rsidRPr="00F31EC6">
        <w:rPr>
          <w:rFonts w:cs="Arial"/>
          <w:i/>
          <w:sz w:val="24"/>
          <w:szCs w:val="24"/>
        </w:rPr>
        <w:t>La lista de Candidatos podrá ser rechazada por el Ejecutivo en una sola ocasión, en cuyo caso el Consejo de la Judicatura someterá a su consideración una nueva para que formule nuevo nombramiento.</w:t>
      </w:r>
    </w:p>
    <w:p w:rsidR="00F31EC6" w:rsidRPr="00F31EC6" w:rsidRDefault="00F31EC6" w:rsidP="00F31EC6">
      <w:pPr>
        <w:tabs>
          <w:tab w:val="center" w:pos="4252"/>
          <w:tab w:val="right" w:pos="8504"/>
        </w:tabs>
        <w:ind w:left="567" w:right="476"/>
        <w:rPr>
          <w:rFonts w:cs="Arial"/>
          <w:i/>
          <w:sz w:val="24"/>
          <w:szCs w:val="24"/>
        </w:rPr>
      </w:pPr>
    </w:p>
    <w:p w:rsidR="00F31EC6" w:rsidRPr="00F31EC6" w:rsidRDefault="00F31EC6" w:rsidP="00F31EC6">
      <w:pPr>
        <w:ind w:left="567" w:right="476"/>
        <w:rPr>
          <w:rFonts w:cs="Arial"/>
          <w:i/>
          <w:sz w:val="24"/>
          <w:szCs w:val="24"/>
        </w:rPr>
      </w:pPr>
      <w:r w:rsidRPr="00F31EC6">
        <w:rPr>
          <w:rFonts w:cs="Arial"/>
          <w:i/>
          <w:sz w:val="24"/>
          <w:szCs w:val="24"/>
        </w:rPr>
        <w:t>Cuando el Congreso o la Diputación Permanente no resuelva dentro del término que se señala para el efecto, se tendrán por aprobados los nombramientos.</w:t>
      </w:r>
    </w:p>
    <w:p w:rsidR="00F31EC6" w:rsidRPr="00F31EC6" w:rsidRDefault="00F31EC6" w:rsidP="00F31EC6">
      <w:pPr>
        <w:tabs>
          <w:tab w:val="center" w:pos="4252"/>
          <w:tab w:val="right" w:pos="8504"/>
        </w:tabs>
        <w:ind w:left="567" w:right="476"/>
        <w:rPr>
          <w:rFonts w:cs="Arial"/>
          <w:i/>
          <w:sz w:val="24"/>
          <w:szCs w:val="24"/>
        </w:rPr>
      </w:pPr>
    </w:p>
    <w:p w:rsidR="00F31EC6" w:rsidRPr="00F31EC6" w:rsidRDefault="00F31EC6" w:rsidP="00F31EC6">
      <w:pPr>
        <w:ind w:left="567" w:right="476"/>
        <w:rPr>
          <w:rFonts w:cs="Arial"/>
          <w:i/>
          <w:sz w:val="24"/>
          <w:szCs w:val="24"/>
        </w:rPr>
      </w:pPr>
      <w:r w:rsidRPr="00F31EC6">
        <w:rPr>
          <w:rFonts w:cs="Arial"/>
          <w:i/>
          <w:sz w:val="24"/>
          <w:szCs w:val="24"/>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F31EC6" w:rsidRPr="00F31EC6" w:rsidRDefault="00F31EC6" w:rsidP="00F31EC6">
      <w:pPr>
        <w:rPr>
          <w:rFonts w:cs="Arial"/>
          <w:sz w:val="24"/>
          <w:szCs w:val="24"/>
        </w:rPr>
      </w:pPr>
    </w:p>
    <w:p w:rsidR="00F31EC6" w:rsidRPr="00F31EC6" w:rsidRDefault="00F31EC6" w:rsidP="00F31EC6">
      <w:pPr>
        <w:spacing w:line="360" w:lineRule="auto"/>
        <w:rPr>
          <w:rFonts w:cs="Arial"/>
          <w:b/>
          <w:sz w:val="24"/>
          <w:szCs w:val="24"/>
        </w:rPr>
      </w:pPr>
    </w:p>
    <w:p w:rsidR="00F31EC6" w:rsidRPr="00F31EC6" w:rsidRDefault="00F31EC6" w:rsidP="00F31EC6">
      <w:pPr>
        <w:spacing w:line="360" w:lineRule="auto"/>
        <w:rPr>
          <w:rFonts w:cs="Arial"/>
          <w:sz w:val="24"/>
          <w:szCs w:val="24"/>
        </w:rPr>
      </w:pPr>
      <w:r w:rsidRPr="00F31EC6">
        <w:rPr>
          <w:rFonts w:cs="Arial"/>
          <w:b/>
          <w:sz w:val="24"/>
          <w:szCs w:val="24"/>
        </w:rPr>
        <w:t>QUINTO.-</w:t>
      </w:r>
      <w:r w:rsidRPr="00F31EC6">
        <w:rPr>
          <w:rFonts w:cs="Arial"/>
          <w:sz w:val="24"/>
          <w:szCs w:val="24"/>
        </w:rPr>
        <w:t xml:space="preserve"> Que mediante oficio número </w:t>
      </w:r>
      <w:r w:rsidRPr="00F31EC6">
        <w:rPr>
          <w:rFonts w:cs="Arial"/>
          <w:sz w:val="24"/>
          <w:szCs w:val="24"/>
          <w:lang w:val="es-ES_tradnl"/>
        </w:rPr>
        <w:t>cj-2355/2019 de fecha 29 de octubre de 2019,</w:t>
      </w:r>
      <w:r w:rsidRPr="00F31EC6">
        <w:rPr>
          <w:rFonts w:cs="Arial"/>
          <w:sz w:val="24"/>
          <w:szCs w:val="24"/>
        </w:rPr>
        <w:t xml:space="preserve"> suscrito por la Magistrada Miriam Cárdenas Cantú, Presidenta del Tribunal Superior de </w:t>
      </w:r>
      <w:r w:rsidRPr="00F31EC6">
        <w:rPr>
          <w:rFonts w:cs="Arial"/>
          <w:sz w:val="24"/>
          <w:szCs w:val="24"/>
        </w:rPr>
        <w:lastRenderedPageBreak/>
        <w:t>Justicia y del Consejo de la Judicatura, éste Consejo presentó al Ejecutivo la lista mediante la cual propone a diversos ciudadanos para desempeñar los cargos de Magistrados Numerarios del Tribunal Superior de Justicia</w:t>
      </w:r>
      <w:r w:rsidRPr="00F31EC6">
        <w:rPr>
          <w:rFonts w:cs="Arial"/>
          <w:sz w:val="24"/>
          <w:szCs w:val="24"/>
          <w:lang w:val="es-ES_tradnl"/>
        </w:rPr>
        <w:t xml:space="preserve">, con motivo de la pensión por retiro voluntario o jubilación por antigüedad genérica de los Licenciados Adrián González Hernández, Jesús Gerardo Sotomayor Garza, Alma Leticia Gómez López, Juan Antonio Martínez Gómez, </w:t>
      </w:r>
      <w:proofErr w:type="spellStart"/>
      <w:r w:rsidRPr="00F31EC6">
        <w:rPr>
          <w:rFonts w:cs="Arial"/>
          <w:sz w:val="24"/>
          <w:szCs w:val="24"/>
          <w:lang w:val="es-ES_tradnl"/>
        </w:rPr>
        <w:t>Armín</w:t>
      </w:r>
      <w:proofErr w:type="spellEnd"/>
      <w:r w:rsidRPr="00F31EC6">
        <w:rPr>
          <w:rFonts w:cs="Arial"/>
          <w:sz w:val="24"/>
          <w:szCs w:val="24"/>
          <w:lang w:val="es-ES_tradnl"/>
        </w:rPr>
        <w:t xml:space="preserve"> José Valdés Torres, y Miriam Cárdenas Cantú,</w:t>
      </w:r>
      <w:r w:rsidRPr="00F31EC6">
        <w:rPr>
          <w:rFonts w:cs="Arial"/>
          <w:sz w:val="24"/>
          <w:szCs w:val="24"/>
        </w:rPr>
        <w:t xml:space="preserve"> de conformidad a lo dispuesto en los artículos 144, 145 y 146 de la Constitución Política del Estado de Coahuila de Zaragoza, según se hace constar en el Oficio suscrito por el Gobernador Constitucional del Estado.</w:t>
      </w:r>
    </w:p>
    <w:p w:rsidR="00F31EC6" w:rsidRPr="00F31EC6" w:rsidRDefault="00F31EC6" w:rsidP="00F31EC6">
      <w:pPr>
        <w:jc w:val="left"/>
        <w:rPr>
          <w:rFonts w:eastAsia="Calibri" w:cs="Arial"/>
          <w:sz w:val="24"/>
          <w:szCs w:val="24"/>
          <w:lang w:eastAsia="en-US"/>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SEXTO.-</w:t>
      </w:r>
      <w:proofErr w:type="gramEnd"/>
      <w:r w:rsidRPr="00F31EC6">
        <w:rPr>
          <w:rFonts w:cs="Arial"/>
          <w:b/>
          <w:sz w:val="24"/>
          <w:szCs w:val="24"/>
        </w:rPr>
        <w:t xml:space="preserve"> </w:t>
      </w:r>
      <w:r w:rsidRPr="00F31EC6">
        <w:rPr>
          <w:rFonts w:cs="Arial"/>
          <w:sz w:val="24"/>
          <w:szCs w:val="24"/>
        </w:rPr>
        <w:t>Que al elaborarse las mencionadas propuestas, el Consejo de la Judicatura, privilegió que los candidatos cumplieran con los requisitos previstos por los Artículos 138 y 145 de la Constitución Política del Estado, disposiciones que a la letra señalan:</w:t>
      </w:r>
    </w:p>
    <w:p w:rsidR="00F31EC6" w:rsidRPr="00F31EC6" w:rsidRDefault="00F31EC6" w:rsidP="00F31EC6">
      <w:pPr>
        <w:jc w:val="left"/>
        <w:rPr>
          <w:rFonts w:eastAsia="Calibri" w:cs="Arial"/>
          <w:sz w:val="24"/>
          <w:szCs w:val="24"/>
          <w:lang w:eastAsia="en-US"/>
        </w:rPr>
      </w:pPr>
    </w:p>
    <w:p w:rsidR="00F31EC6" w:rsidRPr="00F31EC6" w:rsidRDefault="00F31EC6" w:rsidP="00F31EC6">
      <w:pPr>
        <w:rPr>
          <w:rFonts w:cs="Arial"/>
          <w:sz w:val="24"/>
          <w:szCs w:val="24"/>
        </w:rPr>
      </w:pPr>
    </w:p>
    <w:p w:rsidR="00F31EC6" w:rsidRPr="00F31EC6" w:rsidRDefault="00F31EC6" w:rsidP="00F31EC6">
      <w:pPr>
        <w:ind w:left="567" w:right="618"/>
        <w:rPr>
          <w:rFonts w:cs="Arial"/>
          <w:i/>
          <w:sz w:val="24"/>
          <w:szCs w:val="24"/>
        </w:rPr>
      </w:pPr>
      <w:r w:rsidRPr="00F31EC6">
        <w:rPr>
          <w:rFonts w:cs="Arial"/>
          <w:b/>
          <w:bCs/>
          <w:i/>
          <w:sz w:val="24"/>
          <w:szCs w:val="24"/>
        </w:rPr>
        <w:t xml:space="preserve">Artículo 138. </w:t>
      </w:r>
      <w:r w:rsidRPr="00F31EC6">
        <w:rPr>
          <w:rFonts w:cs="Arial"/>
          <w:i/>
          <w:sz w:val="24"/>
          <w:szCs w:val="24"/>
        </w:rPr>
        <w:t>Para ser nombrado Magistrado del Tribunal Superior de Justicia y del Tribunal de Conciliación y Arbitraje se requiere:</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w:t>
      </w:r>
      <w:r w:rsidRPr="00F31EC6">
        <w:rPr>
          <w:rFonts w:eastAsiaTheme="minorHAnsi" w:cs="Arial"/>
          <w:i/>
          <w:sz w:val="24"/>
          <w:szCs w:val="24"/>
          <w:lang w:eastAsia="en-US"/>
        </w:rPr>
        <w:t xml:space="preserve"> </w:t>
      </w:r>
      <w:r w:rsidRPr="00F31EC6">
        <w:rPr>
          <w:rFonts w:eastAsiaTheme="minorHAnsi" w:cs="Arial"/>
          <w:i/>
          <w:sz w:val="24"/>
          <w:szCs w:val="24"/>
          <w:lang w:eastAsia="en-US"/>
        </w:rPr>
        <w:tab/>
        <w:t>Ser ciudadano mexicano por nacimiento, en pleno ejercicio de sus derechos políticos y civiles;</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II.</w:t>
      </w:r>
      <w:r w:rsidRPr="00F31EC6">
        <w:rPr>
          <w:rFonts w:eastAsiaTheme="minorHAnsi" w:cs="Arial"/>
          <w:i/>
          <w:sz w:val="24"/>
          <w:szCs w:val="24"/>
          <w:lang w:eastAsia="en-US"/>
        </w:rPr>
        <w:t xml:space="preserve"> </w:t>
      </w:r>
      <w:r w:rsidRPr="00F31EC6">
        <w:rPr>
          <w:rFonts w:eastAsiaTheme="minorHAnsi" w:cs="Arial"/>
          <w:i/>
          <w:sz w:val="24"/>
          <w:szCs w:val="24"/>
          <w:lang w:eastAsia="en-US"/>
        </w:rPr>
        <w:tab/>
        <w:t>Tener, cuando menos, treinta y cinco años cumplidos el día de su designación;</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III.</w:t>
      </w:r>
      <w:r w:rsidRPr="00F31EC6">
        <w:rPr>
          <w:rFonts w:eastAsiaTheme="minorHAnsi" w:cs="Arial"/>
          <w:i/>
          <w:sz w:val="24"/>
          <w:szCs w:val="24"/>
          <w:lang w:eastAsia="en-US"/>
        </w:rPr>
        <w:t xml:space="preserve"> </w:t>
      </w:r>
      <w:r w:rsidRPr="00F31EC6">
        <w:rPr>
          <w:rFonts w:eastAsiaTheme="minorHAnsi" w:cs="Arial"/>
          <w:i/>
          <w:sz w:val="24"/>
          <w:szCs w:val="24"/>
          <w:lang w:eastAsia="en-US"/>
        </w:rPr>
        <w:tab/>
        <w:t>Poseer el día de la designación, con antigüedad mínima de diez años, título profesional de licenciado en derecho, expedido por autoridad o institución legalmente facultada para ello;</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IV.</w:t>
      </w:r>
      <w:r w:rsidRPr="00F31EC6">
        <w:rPr>
          <w:rFonts w:eastAsiaTheme="minorHAnsi" w:cs="Arial"/>
          <w:i/>
          <w:sz w:val="24"/>
          <w:szCs w:val="24"/>
          <w:lang w:eastAsia="en-US"/>
        </w:rPr>
        <w:t xml:space="preserve"> </w:t>
      </w:r>
      <w:r w:rsidRPr="00F31EC6">
        <w:rPr>
          <w:rFonts w:eastAsiaTheme="minorHAnsi" w:cs="Arial"/>
          <w:i/>
          <w:sz w:val="24"/>
          <w:szCs w:val="24"/>
          <w:lang w:eastAsia="en-US"/>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V.</w:t>
      </w:r>
      <w:r w:rsidRPr="00F31EC6">
        <w:rPr>
          <w:rFonts w:eastAsiaTheme="minorHAnsi" w:cs="Arial"/>
          <w:i/>
          <w:sz w:val="24"/>
          <w:szCs w:val="24"/>
          <w:lang w:eastAsia="en-US"/>
        </w:rPr>
        <w:t xml:space="preserve"> </w:t>
      </w:r>
      <w:r w:rsidRPr="00F31EC6">
        <w:rPr>
          <w:rFonts w:eastAsiaTheme="minorHAnsi" w:cs="Arial"/>
          <w:i/>
          <w:sz w:val="24"/>
          <w:szCs w:val="24"/>
          <w:lang w:eastAsia="en-US"/>
        </w:rPr>
        <w:tab/>
        <w:t>Haber residido en el Estado durante los dos años anteriores al día de la designación, y</w:t>
      </w: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i/>
          <w:sz w:val="24"/>
          <w:szCs w:val="24"/>
          <w:lang w:eastAsia="en-US"/>
        </w:rPr>
        <w:t xml:space="preserve"> </w:t>
      </w: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VI.</w:t>
      </w:r>
      <w:r w:rsidRPr="00F31EC6">
        <w:rPr>
          <w:rFonts w:eastAsiaTheme="minorHAnsi" w:cs="Arial"/>
          <w:b/>
          <w:i/>
          <w:sz w:val="24"/>
          <w:szCs w:val="24"/>
          <w:lang w:eastAsia="en-US"/>
        </w:rPr>
        <w:tab/>
      </w:r>
      <w:r w:rsidRPr="00F31EC6">
        <w:rPr>
          <w:rFonts w:eastAsiaTheme="minorHAnsi" w:cs="Arial"/>
          <w:i/>
          <w:sz w:val="24"/>
          <w:szCs w:val="24"/>
          <w:lang w:eastAsia="en-US"/>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F31EC6" w:rsidRPr="00F31EC6" w:rsidRDefault="00F31EC6" w:rsidP="00F31EC6">
      <w:pPr>
        <w:spacing w:after="120" w:line="276" w:lineRule="auto"/>
        <w:ind w:left="567" w:right="618"/>
        <w:rPr>
          <w:rFonts w:eastAsiaTheme="minorHAnsi" w:cs="Arial"/>
          <w:b/>
          <w:i/>
          <w:sz w:val="24"/>
          <w:szCs w:val="24"/>
          <w:lang w:eastAsia="en-US"/>
        </w:rPr>
      </w:pPr>
    </w:p>
    <w:p w:rsidR="00F31EC6" w:rsidRPr="00F31EC6" w:rsidRDefault="00F31EC6" w:rsidP="00F31EC6">
      <w:pPr>
        <w:ind w:left="567" w:right="618"/>
        <w:rPr>
          <w:rFonts w:cs="Arial"/>
          <w:i/>
          <w:sz w:val="24"/>
          <w:szCs w:val="24"/>
        </w:rPr>
      </w:pPr>
      <w:r w:rsidRPr="00F31EC6">
        <w:rPr>
          <w:rFonts w:cs="Arial"/>
          <w:i/>
          <w:sz w:val="24"/>
          <w:szCs w:val="24"/>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F31EC6" w:rsidRPr="00F31EC6" w:rsidRDefault="00F31EC6" w:rsidP="00F31EC6">
      <w:pPr>
        <w:tabs>
          <w:tab w:val="left" w:pos="851"/>
        </w:tabs>
        <w:spacing w:line="360" w:lineRule="auto"/>
        <w:ind w:right="476"/>
        <w:rPr>
          <w:rFonts w:cs="Arial"/>
          <w:i/>
          <w:sz w:val="24"/>
          <w:szCs w:val="24"/>
          <w:highlight w:val="yellow"/>
        </w:rPr>
      </w:pPr>
    </w:p>
    <w:p w:rsidR="00F31EC6" w:rsidRPr="00F31EC6" w:rsidRDefault="00F31EC6" w:rsidP="00F31EC6">
      <w:pPr>
        <w:tabs>
          <w:tab w:val="left" w:pos="851"/>
        </w:tabs>
        <w:ind w:right="476"/>
        <w:rPr>
          <w:rFonts w:cs="Arial"/>
          <w:b/>
          <w:i/>
          <w:sz w:val="24"/>
          <w:szCs w:val="24"/>
          <w:highlight w:val="yellow"/>
          <w:lang w:val="es-ES_tradnl"/>
        </w:rPr>
      </w:pPr>
    </w:p>
    <w:p w:rsidR="00F31EC6" w:rsidRPr="00F31EC6" w:rsidRDefault="00F31EC6" w:rsidP="00F31EC6">
      <w:pPr>
        <w:tabs>
          <w:tab w:val="left" w:pos="851"/>
        </w:tabs>
        <w:ind w:left="567" w:right="476"/>
        <w:rPr>
          <w:rFonts w:cs="Arial"/>
          <w:i/>
          <w:sz w:val="24"/>
          <w:szCs w:val="24"/>
          <w:lang w:val="es-ES_tradnl"/>
        </w:rPr>
      </w:pPr>
      <w:r w:rsidRPr="00F31EC6">
        <w:rPr>
          <w:rFonts w:cs="Arial"/>
          <w:b/>
          <w:i/>
          <w:sz w:val="24"/>
          <w:szCs w:val="24"/>
          <w:lang w:val="es-ES_tradnl"/>
        </w:rPr>
        <w:t>Artículo 145.</w:t>
      </w:r>
      <w:r w:rsidRPr="00F31EC6">
        <w:rPr>
          <w:rFonts w:cs="Arial"/>
          <w:i/>
          <w:sz w:val="24"/>
          <w:szCs w:val="24"/>
          <w:lang w:val="es-ES_tradnl"/>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F31EC6" w:rsidRPr="00F31EC6" w:rsidRDefault="00F31EC6" w:rsidP="00F31EC6">
      <w:pPr>
        <w:rPr>
          <w:rFonts w:cs="Arial"/>
          <w:sz w:val="24"/>
          <w:szCs w:val="24"/>
        </w:rPr>
      </w:pPr>
    </w:p>
    <w:p w:rsidR="00F31EC6" w:rsidRPr="00F31EC6" w:rsidRDefault="00F31EC6" w:rsidP="00F31EC6">
      <w:pPr>
        <w:rPr>
          <w:rFonts w:cs="Arial"/>
          <w:sz w:val="24"/>
          <w:szCs w:val="24"/>
        </w:rPr>
      </w:pPr>
    </w:p>
    <w:p w:rsidR="00F31EC6" w:rsidRPr="00F31EC6" w:rsidRDefault="00F31EC6" w:rsidP="00F31EC6">
      <w:pPr>
        <w:rPr>
          <w:rFonts w:cs="Arial"/>
          <w:sz w:val="24"/>
          <w:szCs w:val="24"/>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SÉPTIMO.-</w:t>
      </w:r>
      <w:proofErr w:type="gramEnd"/>
      <w:r w:rsidRPr="00F31EC6">
        <w:rPr>
          <w:rFonts w:cs="Arial"/>
          <w:b/>
          <w:sz w:val="24"/>
          <w:szCs w:val="24"/>
        </w:rPr>
        <w:t xml:space="preserve"> </w:t>
      </w:r>
      <w:r w:rsidRPr="00F31EC6">
        <w:rPr>
          <w:rFonts w:cs="Arial"/>
          <w:sz w:val="24"/>
          <w:szCs w:val="24"/>
        </w:rPr>
        <w:t xml:space="preserve">Que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 </w:t>
      </w:r>
    </w:p>
    <w:p w:rsidR="00F31EC6" w:rsidRPr="00F31EC6" w:rsidRDefault="00F31EC6" w:rsidP="00F31EC6">
      <w:pPr>
        <w:rPr>
          <w:rFonts w:eastAsia="Calibri" w:cs="Arial"/>
          <w:sz w:val="24"/>
          <w:szCs w:val="24"/>
          <w:lang w:eastAsia="en-US"/>
        </w:rPr>
      </w:pPr>
    </w:p>
    <w:p w:rsidR="00F31EC6" w:rsidRPr="00F31EC6" w:rsidRDefault="00F31EC6" w:rsidP="00F31EC6">
      <w:pPr>
        <w:spacing w:line="360" w:lineRule="auto"/>
        <w:rPr>
          <w:rFonts w:eastAsia="Calibri" w:cs="Arial"/>
          <w:sz w:val="24"/>
          <w:szCs w:val="24"/>
          <w:lang w:val="es-ES_tradnl"/>
        </w:rPr>
      </w:pPr>
      <w:r w:rsidRPr="00F31EC6">
        <w:rPr>
          <w:rFonts w:eastAsia="Calibri" w:cs="Arial"/>
          <w:b/>
          <w:sz w:val="24"/>
          <w:szCs w:val="24"/>
          <w:lang w:val="es-ES_tradnl"/>
        </w:rPr>
        <w:t>OCTAVO</w:t>
      </w:r>
      <w:r w:rsidRPr="00F31EC6">
        <w:rPr>
          <w:rFonts w:eastAsia="Calibri" w:cs="Arial"/>
          <w:sz w:val="24"/>
          <w:szCs w:val="24"/>
          <w:lang w:eastAsia="en-US"/>
        </w:rPr>
        <w:t xml:space="preserve">.- Que el ya mencionado Consejo de la Judicatura,  consideró a ciudadanos que </w:t>
      </w:r>
      <w:r w:rsidRPr="00F31EC6">
        <w:rPr>
          <w:rFonts w:eastAsia="Calibri" w:cs="Arial"/>
          <w:sz w:val="24"/>
          <w:szCs w:val="24"/>
          <w:lang w:val="es-ES_tradnl"/>
        </w:rPr>
        <w:t xml:space="preserve">cuentan con una trayectoria de servicio con eficiencia, capacidad y probidad en la impartición de justicia, y a personas que se distinguen por su honorabilidad y competencia </w:t>
      </w:r>
      <w:r w:rsidRPr="00F31EC6">
        <w:rPr>
          <w:rFonts w:eastAsia="Calibri" w:cs="Arial"/>
          <w:sz w:val="24"/>
          <w:szCs w:val="24"/>
          <w:lang w:val="es-ES_tradnl"/>
        </w:rPr>
        <w:lastRenderedPageBreak/>
        <w:t>en el ejercicio de la profesión de abogado, que sin pertenecer al Poder Judicial tienen antecedentes profesionales en el ejercicio de la actividad jurídica de tal magnitud que deben considerarse para ocupar el cargo de magistrado o magistrada.</w:t>
      </w:r>
    </w:p>
    <w:p w:rsidR="00F31EC6" w:rsidRPr="00F31EC6" w:rsidRDefault="00F31EC6" w:rsidP="00F31EC6">
      <w:pPr>
        <w:spacing w:line="360" w:lineRule="auto"/>
        <w:rPr>
          <w:rFonts w:eastAsia="Calibri" w:cs="Arial"/>
          <w:b/>
          <w:sz w:val="24"/>
          <w:szCs w:val="24"/>
          <w:lang w:val="es-ES_tradnl"/>
        </w:rPr>
      </w:pPr>
    </w:p>
    <w:p w:rsidR="00F31EC6" w:rsidRPr="00F31EC6" w:rsidRDefault="00F31EC6" w:rsidP="00F31EC6">
      <w:pPr>
        <w:spacing w:line="360" w:lineRule="auto"/>
        <w:rPr>
          <w:rFonts w:eastAsia="Calibri" w:cs="Arial"/>
          <w:sz w:val="24"/>
          <w:szCs w:val="24"/>
          <w:lang w:val="es-ES_tradnl"/>
        </w:rPr>
      </w:pPr>
      <w:proofErr w:type="gramStart"/>
      <w:r w:rsidRPr="00F31EC6">
        <w:rPr>
          <w:rFonts w:eastAsia="Calibri" w:cs="Arial"/>
          <w:b/>
          <w:sz w:val="24"/>
          <w:szCs w:val="24"/>
          <w:lang w:eastAsia="en-US"/>
        </w:rPr>
        <w:t>NOVENO</w:t>
      </w:r>
      <w:r w:rsidRPr="00F31EC6">
        <w:rPr>
          <w:rFonts w:eastAsia="Calibri" w:cs="Arial"/>
          <w:b/>
          <w:sz w:val="24"/>
          <w:szCs w:val="24"/>
          <w:lang w:val="es-ES_tradnl"/>
        </w:rPr>
        <w:t>.-</w:t>
      </w:r>
      <w:proofErr w:type="gramEnd"/>
      <w:r w:rsidRPr="00F31EC6">
        <w:rPr>
          <w:rFonts w:eastAsia="Calibri" w:cs="Arial"/>
          <w:sz w:val="24"/>
          <w:szCs w:val="24"/>
          <w:lang w:val="es-ES_tradnl"/>
        </w:rPr>
        <w:t xml:space="preserve"> Que igualmente dentro</w:t>
      </w:r>
      <w:r w:rsidRPr="00F31EC6">
        <w:rPr>
          <w:rFonts w:eastAsia="Calibri" w:cs="Arial"/>
          <w:sz w:val="24"/>
          <w:szCs w:val="24"/>
          <w:lang w:eastAsia="en-US"/>
        </w:rPr>
        <w:t xml:space="preserve"> de las propuestas, presentadas al Ejecutivo Estatal, </w:t>
      </w:r>
      <w:r w:rsidRPr="00F31EC6">
        <w:rPr>
          <w:rFonts w:eastAsia="Calibri" w:cs="Arial"/>
          <w:sz w:val="24"/>
          <w:szCs w:val="24"/>
          <w:lang w:val="es-ES_tradnl"/>
        </w:rPr>
        <w:t xml:space="preserve"> se tomó en cuenta a personas que se destacan en el ámbito jurídico; al contar con aportaciones académicas, ser autores de libros en el campo del derecho; litigantes que cuentan con un perfil sobresaliente, o servidores públicos en que han desarrollado labores relevantes con eficacia, todo lo cual, sin duda constituyen elementos objetivos para elegir a la persona más idónea para el cargo.</w:t>
      </w:r>
    </w:p>
    <w:p w:rsidR="00F31EC6" w:rsidRPr="00F31EC6" w:rsidRDefault="00F31EC6" w:rsidP="00F31EC6">
      <w:pPr>
        <w:tabs>
          <w:tab w:val="left" w:pos="7755"/>
        </w:tabs>
        <w:spacing w:line="360" w:lineRule="auto"/>
        <w:rPr>
          <w:rFonts w:cs="Arial"/>
          <w:sz w:val="24"/>
          <w:szCs w:val="24"/>
        </w:rPr>
      </w:pPr>
      <w:r w:rsidRPr="00F31EC6">
        <w:rPr>
          <w:rFonts w:cs="Arial"/>
          <w:sz w:val="24"/>
          <w:szCs w:val="24"/>
        </w:rPr>
        <w:tab/>
      </w:r>
    </w:p>
    <w:p w:rsidR="00F31EC6" w:rsidRPr="00F31EC6" w:rsidRDefault="00F31EC6" w:rsidP="00F31EC6">
      <w:pPr>
        <w:rPr>
          <w:rFonts w:cs="Arial"/>
          <w:sz w:val="24"/>
          <w:szCs w:val="24"/>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DÉCIMO.-</w:t>
      </w:r>
      <w:proofErr w:type="gramEnd"/>
      <w:r w:rsidRPr="00F31EC6">
        <w:rPr>
          <w:rFonts w:cs="Arial"/>
          <w:sz w:val="24"/>
          <w:szCs w:val="24"/>
        </w:rPr>
        <w:t xml:space="preserve"> Que en uso de la facultad conferida por el artículo 83 fracción </w:t>
      </w:r>
      <w:r w:rsidRPr="00F31EC6">
        <w:rPr>
          <w:rFonts w:cs="Arial"/>
          <w:sz w:val="24"/>
          <w:szCs w:val="24"/>
          <w:lang w:val="es-ES_tradnl"/>
        </w:rPr>
        <w:t>XXIII</w:t>
      </w:r>
      <w:r w:rsidRPr="00F31EC6">
        <w:rPr>
          <w:rFonts w:cs="Arial"/>
          <w:sz w:val="24"/>
          <w:szCs w:val="24"/>
        </w:rPr>
        <w:t xml:space="preserve"> el Ejecutivo del Estado, después de analizar los expedientes de cada uno de los candidatos, determinó nombrar a los C.C</w:t>
      </w:r>
      <w:r w:rsidRPr="00F31EC6">
        <w:rPr>
          <w:rFonts w:cs="Arial"/>
          <w:sz w:val="24"/>
          <w:szCs w:val="24"/>
          <w:lang w:val="es-ES_tradnl"/>
        </w:rPr>
        <w:t xml:space="preserve">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Tello, Manuel Alberto Flores Hernández,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r w:rsidRPr="00F31EC6">
        <w:rPr>
          <w:rFonts w:cs="Arial"/>
          <w:sz w:val="24"/>
          <w:szCs w:val="24"/>
        </w:rPr>
        <w:t>, como Magistrados Numerarios del Tribunal Superior de Justicia del Estado.</w:t>
      </w:r>
    </w:p>
    <w:p w:rsidR="00F31EC6" w:rsidRPr="00F31EC6" w:rsidRDefault="00F31EC6" w:rsidP="00F31EC6">
      <w:pPr>
        <w:spacing w:line="360" w:lineRule="auto"/>
        <w:rPr>
          <w:rFonts w:cs="Arial"/>
          <w:bCs/>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sz w:val="24"/>
          <w:szCs w:val="24"/>
        </w:rPr>
      </w:pPr>
      <w:r w:rsidRPr="00F31EC6">
        <w:rPr>
          <w:rFonts w:cs="Arial"/>
          <w:b/>
          <w:bCs/>
          <w:sz w:val="24"/>
          <w:szCs w:val="24"/>
        </w:rPr>
        <w:t xml:space="preserve">DÉCIMO </w:t>
      </w:r>
      <w:proofErr w:type="gramStart"/>
      <w:r w:rsidRPr="00F31EC6">
        <w:rPr>
          <w:rFonts w:cs="Arial"/>
          <w:b/>
          <w:bCs/>
          <w:sz w:val="24"/>
          <w:szCs w:val="24"/>
        </w:rPr>
        <w:t>PRIMERO.-</w:t>
      </w:r>
      <w:proofErr w:type="gramEnd"/>
      <w:r w:rsidRPr="00F31EC6">
        <w:rPr>
          <w:rFonts w:cs="Arial"/>
          <w:bCs/>
          <w:sz w:val="24"/>
          <w:szCs w:val="24"/>
        </w:rPr>
        <w:t xml:space="preserve"> Que el Ejecutivo del Estado remitió a este H. Congreso los oficios identificados con los números CJ/COE/281/2019 y CJ/CEO/282/2019 mediante los cuales somete a la aprobación de esta asamblea legislativa las referidas designaciones.</w:t>
      </w:r>
    </w:p>
    <w:p w:rsidR="00F31EC6" w:rsidRPr="00F31EC6" w:rsidRDefault="00F31EC6" w:rsidP="00F31EC6">
      <w:pPr>
        <w:rPr>
          <w:rFonts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bCs/>
          <w:sz w:val="24"/>
          <w:szCs w:val="24"/>
        </w:rPr>
      </w:pPr>
      <w:r w:rsidRPr="00F31EC6">
        <w:rPr>
          <w:rFonts w:cs="Arial"/>
          <w:b/>
          <w:bCs/>
          <w:sz w:val="24"/>
          <w:szCs w:val="24"/>
        </w:rPr>
        <w:t xml:space="preserve">DÉCIMO </w:t>
      </w:r>
      <w:proofErr w:type="gramStart"/>
      <w:r w:rsidRPr="00F31EC6">
        <w:rPr>
          <w:rFonts w:cs="Arial"/>
          <w:b/>
          <w:bCs/>
          <w:sz w:val="24"/>
          <w:szCs w:val="24"/>
        </w:rPr>
        <w:t>SEGUNDO.-</w:t>
      </w:r>
      <w:proofErr w:type="gramEnd"/>
      <w:r w:rsidRPr="00F31EC6">
        <w:rPr>
          <w:rFonts w:cs="Arial"/>
          <w:b/>
          <w:bCs/>
          <w:sz w:val="24"/>
          <w:szCs w:val="24"/>
        </w:rPr>
        <w:t xml:space="preserve"> </w:t>
      </w:r>
      <w:r w:rsidRPr="00F31EC6">
        <w:rPr>
          <w:rFonts w:cs="Arial"/>
          <w:bCs/>
          <w:sz w:val="24"/>
          <w:szCs w:val="24"/>
        </w:rPr>
        <w:t xml:space="preserve">Que anexo al nombramiento, el Ejecutivo del Estado, envió la documentación relativa a los Ciudadanos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Tello, Manuel Alberto Flores Hernández y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p>
    <w:p w:rsidR="00F31EC6" w:rsidRPr="00F31EC6" w:rsidRDefault="00F31EC6" w:rsidP="00F31EC6">
      <w:pPr>
        <w:rPr>
          <w:rFonts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bCs/>
          <w:sz w:val="24"/>
          <w:szCs w:val="24"/>
        </w:rPr>
      </w:pPr>
      <w:r w:rsidRPr="00F31EC6">
        <w:rPr>
          <w:rFonts w:cs="Arial"/>
          <w:b/>
          <w:bCs/>
          <w:sz w:val="24"/>
          <w:szCs w:val="24"/>
        </w:rPr>
        <w:t>DÉCIMO TERCERO.-</w:t>
      </w:r>
      <w:r w:rsidRPr="00F31EC6">
        <w:rPr>
          <w:rFonts w:cs="Arial"/>
          <w:bCs/>
          <w:sz w:val="24"/>
          <w:szCs w:val="24"/>
        </w:rPr>
        <w:t xml:space="preserve"> Que esta Comisión tuvo a bien analizar la documentación de los </w:t>
      </w:r>
      <w:proofErr w:type="spellStart"/>
      <w:r w:rsidRPr="00F31EC6">
        <w:rPr>
          <w:rFonts w:cs="Arial"/>
          <w:bCs/>
          <w:sz w:val="24"/>
          <w:szCs w:val="24"/>
        </w:rPr>
        <w:t>curriculums</w:t>
      </w:r>
      <w:proofErr w:type="spellEnd"/>
      <w:r w:rsidRPr="00F31EC6">
        <w:rPr>
          <w:rFonts w:cs="Arial"/>
          <w:bCs/>
          <w:sz w:val="24"/>
          <w:szCs w:val="24"/>
        </w:rPr>
        <w:t xml:space="preserve"> vitae de las personas designadas como Magistrados Numerarios del Tribunal Superior de Justicia del Estado, desprendiéndose de dichos expedientes, que todos ellos cuentan con una vasta experiencia en el campo profesional del derecho, y que durante su actividad tanto dentro del Poder Judicial como fuera de éste, han desarrollado una carrera profesional con probidad, eficacia y eficiencia, lo que garantiza que tienen la capacidad suficiente para ocupar los cargos que les han sido conferidos por el Ejecutivo del Estado.</w:t>
      </w: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sz w:val="24"/>
          <w:szCs w:val="24"/>
          <w:lang w:val="es-ES_tradnl"/>
        </w:rPr>
      </w:pPr>
      <w:r w:rsidRPr="00F31EC6">
        <w:rPr>
          <w:rFonts w:cs="Arial"/>
          <w:b/>
          <w:bCs/>
          <w:sz w:val="24"/>
          <w:szCs w:val="24"/>
        </w:rPr>
        <w:t xml:space="preserve">DÉCIMO </w:t>
      </w:r>
      <w:proofErr w:type="gramStart"/>
      <w:r w:rsidRPr="00F31EC6">
        <w:rPr>
          <w:rFonts w:cs="Arial"/>
          <w:b/>
          <w:bCs/>
          <w:sz w:val="24"/>
          <w:szCs w:val="24"/>
        </w:rPr>
        <w:t>CUARTO</w:t>
      </w:r>
      <w:r w:rsidRPr="00F31EC6">
        <w:rPr>
          <w:rFonts w:cs="Arial"/>
          <w:b/>
          <w:bCs/>
          <w:sz w:val="24"/>
          <w:szCs w:val="24"/>
          <w:lang w:val="es-ES_tradnl"/>
        </w:rPr>
        <w:t>.-</w:t>
      </w:r>
      <w:proofErr w:type="gramEnd"/>
      <w:r w:rsidRPr="00F31EC6">
        <w:rPr>
          <w:rFonts w:cs="Arial"/>
          <w:sz w:val="24"/>
          <w:szCs w:val="24"/>
          <w:lang w:val="es-ES_tradnl"/>
        </w:rPr>
        <w:t xml:space="preserve"> Que en base a la mencionada documentación, esta Comisión también ha confirmado que se encuentra plenamente demostrada la capacidad académica y profesional de quienes han sido nombrados como Magistrados Numerarios del Tribunal Superior de Justicia del Estado.</w:t>
      </w:r>
    </w:p>
    <w:p w:rsidR="00F31EC6" w:rsidRPr="00F31EC6" w:rsidRDefault="00F31EC6" w:rsidP="00F31EC6">
      <w:pPr>
        <w:rPr>
          <w:rFonts w:cs="Arial"/>
          <w:sz w:val="24"/>
          <w:szCs w:val="24"/>
          <w:lang w:val="es-ES_tradnl"/>
        </w:rPr>
      </w:pPr>
    </w:p>
    <w:p w:rsidR="00F31EC6" w:rsidRPr="00F31EC6" w:rsidRDefault="00F31EC6" w:rsidP="00F31EC6">
      <w:pPr>
        <w:jc w:val="left"/>
        <w:rPr>
          <w:rFonts w:eastAsia="Calibri" w:cs="Arial"/>
          <w:sz w:val="24"/>
          <w:szCs w:val="24"/>
          <w:lang w:val="es-ES_tradnl"/>
        </w:rPr>
      </w:pPr>
    </w:p>
    <w:p w:rsidR="00F31EC6" w:rsidRPr="00F31EC6" w:rsidRDefault="00F31EC6" w:rsidP="00F31EC6">
      <w:pPr>
        <w:spacing w:line="360" w:lineRule="auto"/>
        <w:rPr>
          <w:rFonts w:cs="Arial"/>
          <w:sz w:val="24"/>
          <w:szCs w:val="24"/>
        </w:rPr>
      </w:pPr>
      <w:r w:rsidRPr="00F31EC6">
        <w:rPr>
          <w:rFonts w:cs="Arial"/>
          <w:b/>
          <w:bCs/>
          <w:sz w:val="24"/>
          <w:szCs w:val="24"/>
        </w:rPr>
        <w:t xml:space="preserve">DÉCIMO </w:t>
      </w:r>
      <w:proofErr w:type="gramStart"/>
      <w:r w:rsidRPr="00F31EC6">
        <w:rPr>
          <w:rFonts w:cs="Arial"/>
          <w:b/>
          <w:bCs/>
          <w:sz w:val="24"/>
          <w:szCs w:val="24"/>
        </w:rPr>
        <w:t>QUINTO.-</w:t>
      </w:r>
      <w:proofErr w:type="gramEnd"/>
      <w:r w:rsidRPr="00F31EC6">
        <w:rPr>
          <w:rFonts w:cs="Arial"/>
          <w:b/>
          <w:bCs/>
          <w:sz w:val="24"/>
          <w:szCs w:val="24"/>
        </w:rPr>
        <w:t xml:space="preserve"> </w:t>
      </w:r>
      <w:r w:rsidRPr="00F31EC6">
        <w:rPr>
          <w:rFonts w:cs="Arial"/>
          <w:sz w:val="24"/>
          <w:szCs w:val="24"/>
        </w:rPr>
        <w:t>Que en virtud de lo antes señalado y habiéndose comprobado que los  profesionistas designados reúnen los requisitos constitucionales y legales para ocupar los cargos de Magistrados Numerarios del Tribunal Superior de Justicia del Estado, esta Comisión Dictaminadora considera procedente la aprobación de los nombramientos hechos por el Gobernador del Estado.</w:t>
      </w:r>
    </w:p>
    <w:p w:rsidR="00F31EC6" w:rsidRPr="00F31EC6" w:rsidRDefault="00F31EC6" w:rsidP="00F31EC6">
      <w:pPr>
        <w:rPr>
          <w:rFonts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sz w:val="24"/>
          <w:szCs w:val="24"/>
          <w:lang w:val="es-ES_tradnl"/>
        </w:rPr>
      </w:pPr>
      <w:r w:rsidRPr="00F31EC6">
        <w:rPr>
          <w:rFonts w:cs="Arial"/>
          <w:sz w:val="24"/>
          <w:szCs w:val="24"/>
          <w:lang w:val="es-ES_tradnl"/>
        </w:rPr>
        <w:t>Por lo anteriormente expuesto, esta Comisión somete a la consideración de este H. Congreso para su estudio, resolución, y en su caso, aprobación, el siguiente:</w:t>
      </w:r>
    </w:p>
    <w:p w:rsidR="00F31EC6" w:rsidRPr="00F31EC6" w:rsidRDefault="00F31EC6" w:rsidP="00F31EC6">
      <w:pPr>
        <w:rPr>
          <w:rFonts w:cs="Arial"/>
          <w:sz w:val="24"/>
          <w:szCs w:val="24"/>
          <w:lang w:val="es-ES_tradnl"/>
        </w:rPr>
      </w:pPr>
    </w:p>
    <w:p w:rsidR="00F31EC6" w:rsidRPr="00F31EC6" w:rsidRDefault="00F31EC6" w:rsidP="00F31EC6">
      <w:pPr>
        <w:rPr>
          <w:rFonts w:cs="Arial"/>
          <w:sz w:val="24"/>
          <w:szCs w:val="24"/>
          <w:lang w:val="es-ES_tradnl"/>
        </w:rPr>
      </w:pPr>
    </w:p>
    <w:p w:rsidR="00F31EC6" w:rsidRPr="00F31EC6" w:rsidRDefault="00F31EC6" w:rsidP="00F31EC6">
      <w:pPr>
        <w:spacing w:line="360" w:lineRule="auto"/>
        <w:jc w:val="center"/>
        <w:rPr>
          <w:rFonts w:cs="Arial"/>
          <w:b/>
          <w:bCs/>
          <w:sz w:val="24"/>
          <w:szCs w:val="24"/>
          <w:lang w:val="es-ES_tradnl"/>
        </w:rPr>
      </w:pPr>
      <w:r w:rsidRPr="00F31EC6">
        <w:rPr>
          <w:rFonts w:cs="Arial"/>
          <w:b/>
          <w:bCs/>
          <w:sz w:val="24"/>
          <w:szCs w:val="24"/>
          <w:lang w:val="es-ES_tradnl"/>
        </w:rPr>
        <w:t>P R O Y E C T O    D E    D E C R E T O</w:t>
      </w:r>
    </w:p>
    <w:p w:rsidR="00F31EC6" w:rsidRPr="00F31EC6" w:rsidRDefault="00F31EC6" w:rsidP="00F31EC6">
      <w:pPr>
        <w:spacing w:line="360" w:lineRule="auto"/>
        <w:jc w:val="center"/>
        <w:rPr>
          <w:rFonts w:cs="Arial"/>
          <w:b/>
          <w:bCs/>
          <w:sz w:val="24"/>
          <w:szCs w:val="24"/>
          <w:lang w:val="es-ES_tradnl"/>
        </w:rPr>
      </w:pPr>
    </w:p>
    <w:p w:rsidR="00F31EC6" w:rsidRPr="00F31EC6" w:rsidRDefault="00F31EC6" w:rsidP="00F31EC6">
      <w:pPr>
        <w:spacing w:line="360" w:lineRule="auto"/>
        <w:rPr>
          <w:rFonts w:cs="Arial"/>
          <w:sz w:val="24"/>
          <w:szCs w:val="24"/>
          <w:lang w:val="es-ES_tradnl"/>
        </w:rPr>
      </w:pPr>
      <w:r w:rsidRPr="00F31EC6">
        <w:rPr>
          <w:rFonts w:cs="Arial"/>
          <w:b/>
          <w:bCs/>
          <w:sz w:val="24"/>
          <w:szCs w:val="24"/>
          <w:lang w:val="es-ES_tradnl"/>
        </w:rPr>
        <w:t xml:space="preserve">ARTÍCULO </w:t>
      </w:r>
      <w:proofErr w:type="gramStart"/>
      <w:r w:rsidRPr="00F31EC6">
        <w:rPr>
          <w:rFonts w:cs="Arial"/>
          <w:b/>
          <w:bCs/>
          <w:sz w:val="24"/>
          <w:szCs w:val="24"/>
          <w:lang w:val="es-ES_tradnl"/>
        </w:rPr>
        <w:t>ÚNICO.-</w:t>
      </w:r>
      <w:proofErr w:type="gramEnd"/>
      <w:r w:rsidRPr="00F31EC6">
        <w:rPr>
          <w:rFonts w:cs="Arial"/>
          <w:b/>
          <w:bCs/>
          <w:sz w:val="24"/>
          <w:szCs w:val="24"/>
          <w:lang w:val="es-ES_tradnl"/>
        </w:rPr>
        <w:t xml:space="preserve"> </w:t>
      </w:r>
      <w:r w:rsidRPr="00F31EC6">
        <w:rPr>
          <w:rFonts w:cs="Arial"/>
          <w:sz w:val="24"/>
          <w:szCs w:val="24"/>
          <w:lang w:val="es-ES_tradnl"/>
        </w:rPr>
        <w:t xml:space="preserve">Se aprueba el nombramiento de </w:t>
      </w:r>
      <w:r w:rsidRPr="00F31EC6">
        <w:rPr>
          <w:rFonts w:cs="Arial"/>
          <w:sz w:val="24"/>
          <w:szCs w:val="24"/>
        </w:rPr>
        <w:t>los Licenciados,</w:t>
      </w:r>
      <w:r w:rsidRPr="00F31EC6">
        <w:rPr>
          <w:rFonts w:cs="Arial"/>
          <w:sz w:val="24"/>
          <w:szCs w:val="24"/>
          <w:lang w:val="es-ES_tradnl"/>
        </w:rPr>
        <w:t xml:space="preserve">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w:t>
      </w:r>
      <w:r w:rsidRPr="00F31EC6">
        <w:rPr>
          <w:rFonts w:cs="Arial"/>
          <w:bCs/>
          <w:sz w:val="24"/>
          <w:szCs w:val="24"/>
          <w:lang w:val="es-ES_tradnl"/>
        </w:rPr>
        <w:lastRenderedPageBreak/>
        <w:t xml:space="preserve">Tello, Manuel Alberto Flores Hernández y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r w:rsidRPr="00F31EC6">
        <w:rPr>
          <w:rFonts w:cs="Arial"/>
          <w:sz w:val="24"/>
          <w:szCs w:val="24"/>
          <w:lang w:val="es-ES_tradnl"/>
        </w:rPr>
        <w:t xml:space="preserve"> como Magistrados Numerarios del Tribunal Superior de Justicia del Estado de Coahuila de Zaragoza, por un período de quince años.</w:t>
      </w:r>
    </w:p>
    <w:p w:rsidR="00F31EC6" w:rsidRPr="00F31EC6" w:rsidRDefault="00F31EC6" w:rsidP="00F31EC6">
      <w:pPr>
        <w:spacing w:line="360" w:lineRule="auto"/>
        <w:rPr>
          <w:rFonts w:cs="Arial"/>
          <w:b/>
          <w:bCs/>
          <w:sz w:val="24"/>
          <w:szCs w:val="24"/>
          <w:lang w:val="es-ES_tradnl"/>
        </w:rPr>
      </w:pPr>
    </w:p>
    <w:p w:rsidR="00F31EC6" w:rsidRPr="00F31EC6" w:rsidRDefault="00F31EC6" w:rsidP="00F31EC6">
      <w:pPr>
        <w:keepNext/>
        <w:tabs>
          <w:tab w:val="left" w:pos="0"/>
        </w:tabs>
        <w:spacing w:line="360" w:lineRule="auto"/>
        <w:jc w:val="center"/>
        <w:outlineLvl w:val="1"/>
        <w:rPr>
          <w:rFonts w:cs="Arial"/>
          <w:b/>
          <w:sz w:val="24"/>
          <w:szCs w:val="24"/>
        </w:rPr>
      </w:pPr>
    </w:p>
    <w:p w:rsidR="00F31EC6" w:rsidRPr="00F31EC6" w:rsidRDefault="00F31EC6" w:rsidP="00F31EC6">
      <w:pPr>
        <w:keepNext/>
        <w:tabs>
          <w:tab w:val="left" w:pos="0"/>
        </w:tabs>
        <w:spacing w:line="360" w:lineRule="auto"/>
        <w:outlineLvl w:val="1"/>
        <w:rPr>
          <w:rFonts w:cs="Arial"/>
          <w:b/>
          <w:sz w:val="24"/>
          <w:szCs w:val="24"/>
        </w:rPr>
      </w:pPr>
    </w:p>
    <w:p w:rsidR="00F31EC6" w:rsidRPr="00F31EC6" w:rsidRDefault="00F31EC6" w:rsidP="00F31EC6">
      <w:pPr>
        <w:keepNext/>
        <w:tabs>
          <w:tab w:val="left" w:pos="0"/>
        </w:tabs>
        <w:spacing w:line="360" w:lineRule="auto"/>
        <w:jc w:val="center"/>
        <w:outlineLvl w:val="1"/>
        <w:rPr>
          <w:rFonts w:cs="Arial"/>
          <w:b/>
          <w:sz w:val="24"/>
          <w:szCs w:val="24"/>
          <w:lang w:val="en-US"/>
        </w:rPr>
      </w:pPr>
      <w:r w:rsidRPr="00F31EC6">
        <w:rPr>
          <w:rFonts w:cs="Arial"/>
          <w:b/>
          <w:sz w:val="24"/>
          <w:szCs w:val="24"/>
          <w:lang w:val="en-US"/>
        </w:rPr>
        <w:t xml:space="preserve">T R </w:t>
      </w:r>
      <w:proofErr w:type="gramStart"/>
      <w:r w:rsidRPr="00F31EC6">
        <w:rPr>
          <w:rFonts w:cs="Arial"/>
          <w:b/>
          <w:sz w:val="24"/>
          <w:szCs w:val="24"/>
          <w:lang w:val="en-US"/>
        </w:rPr>
        <w:t>A</w:t>
      </w:r>
      <w:proofErr w:type="gramEnd"/>
      <w:r w:rsidRPr="00F31EC6">
        <w:rPr>
          <w:rFonts w:cs="Arial"/>
          <w:b/>
          <w:sz w:val="24"/>
          <w:szCs w:val="24"/>
          <w:lang w:val="en-US"/>
        </w:rPr>
        <w:t xml:space="preserve"> N S I T O R I O S</w:t>
      </w:r>
    </w:p>
    <w:p w:rsidR="00F31EC6" w:rsidRPr="00F31EC6" w:rsidRDefault="00F31EC6" w:rsidP="00F31EC6">
      <w:pPr>
        <w:spacing w:line="360" w:lineRule="auto"/>
        <w:rPr>
          <w:rFonts w:cs="Arial"/>
          <w:sz w:val="24"/>
          <w:szCs w:val="24"/>
          <w:lang w:val="en-US"/>
        </w:rPr>
      </w:pPr>
    </w:p>
    <w:p w:rsidR="00F31EC6" w:rsidRPr="00F31EC6" w:rsidRDefault="00F31EC6" w:rsidP="00F31EC6">
      <w:pPr>
        <w:spacing w:line="360" w:lineRule="auto"/>
        <w:rPr>
          <w:rFonts w:cs="Arial"/>
          <w:bCs/>
          <w:sz w:val="24"/>
          <w:szCs w:val="24"/>
          <w:lang w:val="es-ES_tradnl"/>
        </w:rPr>
      </w:pPr>
      <w:proofErr w:type="gramStart"/>
      <w:r w:rsidRPr="00F31EC6">
        <w:rPr>
          <w:rFonts w:cs="Arial"/>
          <w:b/>
          <w:bCs/>
          <w:sz w:val="24"/>
          <w:szCs w:val="24"/>
          <w:lang w:val="es-ES_tradnl"/>
        </w:rPr>
        <w:t>PRIMERO.-</w:t>
      </w:r>
      <w:proofErr w:type="gramEnd"/>
      <w:r w:rsidRPr="00F31EC6">
        <w:rPr>
          <w:rFonts w:cs="Arial"/>
          <w:b/>
          <w:bCs/>
          <w:sz w:val="24"/>
          <w:szCs w:val="24"/>
          <w:lang w:val="es-ES_tradnl"/>
        </w:rPr>
        <w:t xml:space="preserve"> </w:t>
      </w:r>
      <w:r w:rsidRPr="00F31EC6">
        <w:rPr>
          <w:rFonts w:cs="Arial"/>
          <w:bCs/>
          <w:sz w:val="24"/>
          <w:szCs w:val="24"/>
          <w:lang w:val="es-ES_tradnl"/>
        </w:rPr>
        <w:t>Los Magistrados Numerarios del Tribunal Superior de Justicia del Estado de Coahuila de Zaragoza, que han sido designados, iniciarán sus funciones a partir del momento en el que rindan la protesta de ley.</w:t>
      </w:r>
    </w:p>
    <w:p w:rsidR="00F31EC6" w:rsidRPr="00F31EC6" w:rsidRDefault="00F31EC6" w:rsidP="00F31EC6">
      <w:pPr>
        <w:jc w:val="left"/>
        <w:rPr>
          <w:rFonts w:eastAsia="Calibri" w:cs="Arial"/>
          <w:sz w:val="24"/>
          <w:szCs w:val="24"/>
          <w:lang w:val="es-ES_tradnl" w:eastAsia="en-US"/>
        </w:rPr>
      </w:pPr>
    </w:p>
    <w:p w:rsidR="00F31EC6" w:rsidRPr="00F31EC6" w:rsidRDefault="00F31EC6" w:rsidP="00F31EC6">
      <w:pPr>
        <w:spacing w:line="360" w:lineRule="auto"/>
        <w:rPr>
          <w:rFonts w:cs="Arial"/>
          <w:bCs/>
          <w:sz w:val="24"/>
          <w:szCs w:val="24"/>
          <w:lang w:val="es-ES_tradnl"/>
        </w:rPr>
      </w:pPr>
    </w:p>
    <w:p w:rsidR="00F31EC6" w:rsidRPr="00F31EC6" w:rsidRDefault="00F31EC6" w:rsidP="00F31EC6">
      <w:pPr>
        <w:spacing w:line="360" w:lineRule="auto"/>
        <w:rPr>
          <w:rFonts w:cs="Arial"/>
          <w:sz w:val="24"/>
          <w:szCs w:val="24"/>
          <w:lang w:val="es-ES_tradnl"/>
        </w:rPr>
      </w:pPr>
      <w:proofErr w:type="gramStart"/>
      <w:r w:rsidRPr="00F31EC6">
        <w:rPr>
          <w:rFonts w:cs="Arial"/>
          <w:b/>
          <w:bCs/>
          <w:sz w:val="24"/>
          <w:szCs w:val="24"/>
          <w:lang w:val="es-ES_tradnl"/>
        </w:rPr>
        <w:t>SEGUNDO.-</w:t>
      </w:r>
      <w:proofErr w:type="gramEnd"/>
      <w:r w:rsidRPr="00F31EC6">
        <w:rPr>
          <w:rFonts w:cs="Arial"/>
          <w:b/>
          <w:bCs/>
          <w:sz w:val="24"/>
          <w:szCs w:val="24"/>
          <w:lang w:val="es-ES_tradnl"/>
        </w:rPr>
        <w:t xml:space="preserve"> </w:t>
      </w:r>
      <w:r w:rsidRPr="00F31EC6">
        <w:rPr>
          <w:rFonts w:cs="Arial"/>
          <w:sz w:val="24"/>
          <w:szCs w:val="24"/>
          <w:lang w:val="es-ES_tradnl"/>
        </w:rPr>
        <w:t>Publíquese el presente Decreto en el Periódico Oficial del Gobierno del Estado.</w:t>
      </w:r>
    </w:p>
    <w:p w:rsidR="00F31EC6" w:rsidRPr="00F31EC6" w:rsidRDefault="00F31EC6" w:rsidP="00F31EC6">
      <w:pPr>
        <w:spacing w:line="360" w:lineRule="auto"/>
        <w:rPr>
          <w:rFonts w:cs="Arial"/>
          <w:sz w:val="24"/>
          <w:szCs w:val="24"/>
          <w:lang w:val="es-ES_tradnl"/>
        </w:rPr>
      </w:pPr>
    </w:p>
    <w:p w:rsidR="00F31EC6" w:rsidRPr="00F31EC6" w:rsidRDefault="00F31EC6" w:rsidP="00F31EC6">
      <w:pPr>
        <w:spacing w:line="360" w:lineRule="auto"/>
        <w:rPr>
          <w:rFonts w:cs="Arial"/>
          <w:sz w:val="24"/>
          <w:szCs w:val="24"/>
          <w:lang w:val="es-ES_tradnl"/>
        </w:rPr>
      </w:pPr>
      <w:proofErr w:type="gramStart"/>
      <w:r w:rsidRPr="00F31EC6">
        <w:rPr>
          <w:rFonts w:cs="Arial"/>
          <w:b/>
          <w:bCs/>
          <w:sz w:val="24"/>
          <w:szCs w:val="24"/>
          <w:lang w:val="es-ES_tradnl"/>
        </w:rPr>
        <w:t>TERCERO.-</w:t>
      </w:r>
      <w:proofErr w:type="gramEnd"/>
      <w:r w:rsidRPr="00F31EC6">
        <w:rPr>
          <w:rFonts w:cs="Arial"/>
          <w:b/>
          <w:bCs/>
          <w:sz w:val="24"/>
          <w:szCs w:val="24"/>
          <w:lang w:val="es-ES_tradnl"/>
        </w:rPr>
        <w:t xml:space="preserve"> </w:t>
      </w:r>
      <w:r w:rsidRPr="00F31EC6">
        <w:rPr>
          <w:rFonts w:cs="Arial"/>
          <w:sz w:val="24"/>
          <w:szCs w:val="24"/>
          <w:lang w:val="es-ES_tradnl"/>
        </w:rPr>
        <w:t>Comuníquese este Decreto a los Titulares de los Poderes Ejecutivo y Judicial del Estado, para su conocimiento y los efectos legales procedentes.</w:t>
      </w:r>
    </w:p>
    <w:p w:rsidR="00F31EC6" w:rsidRPr="00F31EC6" w:rsidRDefault="00F31EC6" w:rsidP="00F31EC6">
      <w:pPr>
        <w:spacing w:line="360" w:lineRule="auto"/>
        <w:rPr>
          <w:rFonts w:cs="Arial"/>
          <w:sz w:val="24"/>
          <w:szCs w:val="24"/>
          <w:lang w:val="es-ES_tradnl"/>
        </w:rPr>
      </w:pPr>
    </w:p>
    <w:p w:rsidR="00F31EC6" w:rsidRPr="00F31EC6" w:rsidRDefault="00F31EC6" w:rsidP="00F31EC6">
      <w:pPr>
        <w:spacing w:line="360" w:lineRule="auto"/>
        <w:rPr>
          <w:rFonts w:cs="Arial"/>
          <w:sz w:val="24"/>
          <w:szCs w:val="24"/>
          <w:lang w:val="es-ES_tradnl"/>
        </w:rPr>
      </w:pPr>
    </w:p>
    <w:p w:rsidR="00F31EC6" w:rsidRPr="00F31EC6" w:rsidRDefault="00F31EC6" w:rsidP="00F31EC6">
      <w:pPr>
        <w:ind w:right="-142"/>
        <w:rPr>
          <w:rFonts w:cs="Arial"/>
          <w:b/>
          <w:sz w:val="24"/>
          <w:szCs w:val="24"/>
        </w:rPr>
      </w:pPr>
    </w:p>
    <w:p w:rsidR="00F31EC6" w:rsidRPr="00F31EC6" w:rsidRDefault="00F31EC6" w:rsidP="00F31EC6">
      <w:pPr>
        <w:autoSpaceDE w:val="0"/>
        <w:autoSpaceDN w:val="0"/>
        <w:adjustRightInd w:val="0"/>
        <w:spacing w:line="360" w:lineRule="auto"/>
        <w:rPr>
          <w:rFonts w:eastAsia="Calibri" w:cs="Arial"/>
          <w:color w:val="000000"/>
          <w:sz w:val="24"/>
          <w:szCs w:val="24"/>
        </w:rPr>
      </w:pPr>
      <w:r w:rsidRPr="00F31EC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31EC6">
        <w:rPr>
          <w:rFonts w:eastAsia="Calibri" w:cs="Arial"/>
          <w:color w:val="000000"/>
          <w:sz w:val="24"/>
          <w:szCs w:val="24"/>
        </w:rPr>
        <w:t>Dip</w:t>
      </w:r>
      <w:proofErr w:type="spellEnd"/>
      <w:r w:rsidRPr="00F31EC6">
        <w:rPr>
          <w:rFonts w:eastAsia="Calibri" w:cs="Arial"/>
          <w:color w:val="000000"/>
          <w:sz w:val="24"/>
          <w:szCs w:val="24"/>
        </w:rPr>
        <w:t xml:space="preserve">. </w:t>
      </w:r>
      <w:r w:rsidRPr="00F31EC6">
        <w:rPr>
          <w:rFonts w:eastAsia="Calibri" w:cs="Arial"/>
          <w:color w:val="000000"/>
          <w:sz w:val="24"/>
          <w:szCs w:val="24"/>
          <w:lang w:val="es-ES"/>
        </w:rPr>
        <w:t>Jaime Bueno Zertuche</w:t>
      </w:r>
      <w:r w:rsidRPr="00F31EC6">
        <w:rPr>
          <w:rFonts w:eastAsia="Calibri" w:cs="Arial"/>
          <w:color w:val="000000"/>
          <w:sz w:val="24"/>
          <w:szCs w:val="24"/>
        </w:rPr>
        <w:t xml:space="preserve">, (Coordinador), </w:t>
      </w:r>
      <w:proofErr w:type="spellStart"/>
      <w:r w:rsidRPr="00F31EC6">
        <w:rPr>
          <w:rFonts w:eastAsia="Calibri" w:cs="Arial"/>
          <w:color w:val="000000"/>
          <w:sz w:val="24"/>
          <w:szCs w:val="24"/>
        </w:rPr>
        <w:t>Dip</w:t>
      </w:r>
      <w:proofErr w:type="spellEnd"/>
      <w:r w:rsidRPr="00F31EC6">
        <w:rPr>
          <w:rFonts w:eastAsia="Calibri" w:cs="Arial"/>
          <w:color w:val="000000"/>
          <w:sz w:val="24"/>
          <w:szCs w:val="24"/>
        </w:rPr>
        <w:t xml:space="preserve">. </w:t>
      </w:r>
      <w:r w:rsidRPr="00F31EC6">
        <w:rPr>
          <w:rFonts w:eastAsia="Calibri" w:cs="Arial"/>
          <w:color w:val="000000"/>
          <w:sz w:val="24"/>
          <w:szCs w:val="24"/>
          <w:lang w:val="es-ES"/>
        </w:rPr>
        <w:t xml:space="preserve">Marcelo de Jesús Torres </w:t>
      </w:r>
      <w:proofErr w:type="spellStart"/>
      <w:r w:rsidRPr="00F31EC6">
        <w:rPr>
          <w:rFonts w:eastAsia="Calibri" w:cs="Arial"/>
          <w:color w:val="000000"/>
          <w:sz w:val="24"/>
          <w:szCs w:val="24"/>
          <w:lang w:val="es-ES"/>
        </w:rPr>
        <w:t>Cofiño</w:t>
      </w:r>
      <w:proofErr w:type="spellEnd"/>
      <w:r w:rsidRPr="00F31EC6">
        <w:rPr>
          <w:rFonts w:eastAsia="Calibri" w:cs="Arial"/>
          <w:color w:val="000000"/>
          <w:sz w:val="24"/>
          <w:szCs w:val="24"/>
          <w:lang w:val="es-ES"/>
        </w:rPr>
        <w:t xml:space="preserve"> </w:t>
      </w:r>
      <w:r w:rsidRPr="00F31EC6">
        <w:rPr>
          <w:rFonts w:eastAsia="Calibri" w:cs="Arial"/>
          <w:color w:val="000000"/>
          <w:sz w:val="24"/>
          <w:szCs w:val="24"/>
        </w:rPr>
        <w:t xml:space="preserve">(Secretario),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Lucía Azucena Ramos </w:t>
      </w:r>
      <w:proofErr w:type="spellStart"/>
      <w:r w:rsidRPr="00F31EC6">
        <w:rPr>
          <w:rFonts w:eastAsia="Calibri" w:cs="Arial"/>
          <w:color w:val="000000"/>
          <w:sz w:val="24"/>
          <w:szCs w:val="24"/>
          <w:lang w:val="es-ES"/>
        </w:rPr>
        <w:t>Ramos</w:t>
      </w:r>
      <w:proofErr w:type="spellEnd"/>
      <w:r w:rsidRPr="00F31EC6">
        <w:rPr>
          <w:rFonts w:eastAsia="Calibri" w:cs="Arial"/>
          <w:color w:val="000000"/>
          <w:sz w:val="24"/>
          <w:szCs w:val="24"/>
          <w:lang w:val="es-ES"/>
        </w:rPr>
        <w:t xml:space="preserve">,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Gerardo Abraham Aguado Gómez,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Emilio Alejandro de Hoyos Montemayor,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José Benito Ramírez Rosas,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Claudia Isela Ramírez Pineda y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Edgar Gerardo Sánchez Garza</w:t>
      </w:r>
      <w:r w:rsidRPr="00F31EC6">
        <w:rPr>
          <w:rFonts w:eastAsia="Calibri" w:cs="Arial"/>
          <w:color w:val="000000"/>
          <w:sz w:val="24"/>
          <w:szCs w:val="24"/>
        </w:rPr>
        <w:t>.</w:t>
      </w:r>
      <w:r w:rsidRPr="00F31EC6">
        <w:rPr>
          <w:rFonts w:eastAsia="Calibri" w:cs="Arial"/>
          <w:b/>
          <w:color w:val="000000"/>
          <w:sz w:val="24"/>
          <w:szCs w:val="24"/>
        </w:rPr>
        <w:t xml:space="preserve"> </w:t>
      </w:r>
      <w:r w:rsidRPr="00F31EC6">
        <w:rPr>
          <w:rFonts w:eastAsia="Calibri" w:cs="Arial"/>
          <w:color w:val="000000"/>
          <w:sz w:val="24"/>
          <w:szCs w:val="24"/>
        </w:rPr>
        <w:t>En la Ciudad de Saltillo, Coahuila de Zaragoza, a 31 de octubre de 2019.</w:t>
      </w:r>
    </w:p>
    <w:p w:rsidR="00F31EC6" w:rsidRPr="00F31EC6" w:rsidRDefault="00F31EC6" w:rsidP="00F31EC6">
      <w:pPr>
        <w:autoSpaceDE w:val="0"/>
        <w:autoSpaceDN w:val="0"/>
        <w:adjustRightInd w:val="0"/>
        <w:spacing w:line="360" w:lineRule="auto"/>
        <w:rPr>
          <w:rFonts w:eastAsia="Calibri" w:cs="Arial"/>
          <w:color w:val="000000"/>
          <w:sz w:val="24"/>
          <w:szCs w:val="24"/>
        </w:rPr>
      </w:pPr>
    </w:p>
    <w:p w:rsidR="00F31EC6" w:rsidRPr="00F31EC6" w:rsidRDefault="00F31EC6" w:rsidP="00F31EC6">
      <w:pPr>
        <w:autoSpaceDE w:val="0"/>
        <w:autoSpaceDN w:val="0"/>
        <w:adjustRightInd w:val="0"/>
        <w:spacing w:line="360" w:lineRule="auto"/>
        <w:rPr>
          <w:rFonts w:eastAsia="Calibri" w:cs="Arial"/>
          <w:color w:val="000000"/>
          <w:sz w:val="24"/>
          <w:szCs w:val="24"/>
        </w:rPr>
      </w:pPr>
    </w:p>
    <w:p w:rsidR="00F31EC6" w:rsidRPr="00F31EC6" w:rsidRDefault="00F31EC6" w:rsidP="00F31EC6">
      <w:pPr>
        <w:spacing w:line="360" w:lineRule="auto"/>
        <w:jc w:val="center"/>
        <w:rPr>
          <w:rFonts w:cs="Arial"/>
          <w:b/>
          <w:sz w:val="24"/>
          <w:szCs w:val="24"/>
        </w:rPr>
      </w:pPr>
      <w:r w:rsidRPr="00F31EC6">
        <w:rPr>
          <w:rFonts w:cs="Arial"/>
          <w:b/>
          <w:sz w:val="24"/>
          <w:szCs w:val="24"/>
        </w:rPr>
        <w:t>COMISIÓN DE GOBERNACIÓN, PUNTOS CONSTITUCIONALES Y JUSTICIA</w:t>
      </w:r>
    </w:p>
    <w:p w:rsidR="00F31EC6" w:rsidRPr="00F31EC6" w:rsidRDefault="00F31EC6" w:rsidP="00F31EC6">
      <w:pPr>
        <w:jc w:val="left"/>
        <w:rPr>
          <w:rFonts w:eastAsia="Calibri" w:cs="Arial"/>
          <w:sz w:val="24"/>
          <w:szCs w:val="24"/>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31EC6" w:rsidRPr="00F31EC6" w:rsidTr="001D7352">
        <w:trPr>
          <w:jc w:val="center"/>
        </w:trPr>
        <w:tc>
          <w:tcPr>
            <w:tcW w:w="3231" w:type="dxa"/>
            <w:shd w:val="clear" w:color="auto" w:fill="auto"/>
            <w:vAlign w:val="center"/>
          </w:tcPr>
          <w:p w:rsidR="00F31EC6" w:rsidRPr="00F31EC6" w:rsidRDefault="00F31EC6" w:rsidP="00F31EC6">
            <w:pPr>
              <w:spacing w:line="360" w:lineRule="auto"/>
              <w:jc w:val="center"/>
              <w:rPr>
                <w:rFonts w:eastAsia="Calibri" w:cs="Arial"/>
                <w:b/>
                <w:sz w:val="24"/>
                <w:szCs w:val="24"/>
              </w:rPr>
            </w:pPr>
            <w:r w:rsidRPr="00F31EC6">
              <w:rPr>
                <w:rFonts w:eastAsia="Calibri" w:cs="Arial"/>
                <w:b/>
                <w:sz w:val="24"/>
                <w:szCs w:val="24"/>
              </w:rPr>
              <w:t>NOMBRE Y FIRMA</w:t>
            </w:r>
          </w:p>
        </w:tc>
        <w:tc>
          <w:tcPr>
            <w:tcW w:w="0" w:type="auto"/>
            <w:gridSpan w:val="3"/>
            <w:shd w:val="clear" w:color="auto" w:fill="auto"/>
            <w:vAlign w:val="center"/>
          </w:tcPr>
          <w:p w:rsidR="00F31EC6" w:rsidRPr="00F31EC6" w:rsidRDefault="00F31EC6" w:rsidP="00F31EC6">
            <w:pPr>
              <w:spacing w:line="360" w:lineRule="auto"/>
              <w:jc w:val="center"/>
              <w:rPr>
                <w:rFonts w:eastAsia="Calibri" w:cs="Arial"/>
                <w:b/>
                <w:sz w:val="24"/>
                <w:szCs w:val="24"/>
              </w:rPr>
            </w:pPr>
            <w:r w:rsidRPr="00F31EC6">
              <w:rPr>
                <w:rFonts w:eastAsia="Calibri" w:cs="Arial"/>
                <w:b/>
                <w:sz w:val="24"/>
                <w:szCs w:val="24"/>
              </w:rPr>
              <w:t>VOTO</w:t>
            </w:r>
          </w:p>
        </w:tc>
        <w:tc>
          <w:tcPr>
            <w:tcW w:w="0" w:type="auto"/>
            <w:gridSpan w:val="2"/>
            <w:shd w:val="clear" w:color="auto" w:fill="auto"/>
            <w:vAlign w:val="center"/>
          </w:tcPr>
          <w:p w:rsidR="00F31EC6" w:rsidRPr="00F31EC6" w:rsidRDefault="00F31EC6" w:rsidP="00F31EC6">
            <w:pPr>
              <w:spacing w:line="360" w:lineRule="auto"/>
              <w:jc w:val="center"/>
              <w:rPr>
                <w:rFonts w:eastAsia="Calibri" w:cs="Arial"/>
                <w:b/>
                <w:sz w:val="24"/>
                <w:szCs w:val="24"/>
              </w:rPr>
            </w:pPr>
            <w:r w:rsidRPr="00F31EC6">
              <w:rPr>
                <w:rFonts w:eastAsia="Calibri" w:cs="Arial"/>
                <w:b/>
                <w:sz w:val="24"/>
                <w:szCs w:val="24"/>
              </w:rPr>
              <w:t>RESERVA DE ARTÍCULOS</w:t>
            </w:r>
          </w:p>
        </w:tc>
      </w:tr>
      <w:tr w:rsidR="00F31EC6" w:rsidRPr="00F31EC6" w:rsidTr="001D7352">
        <w:trPr>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JAIME BUENO ZERTUCHE</w:t>
            </w:r>
          </w:p>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(COORDINADOR)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MARCELO DE JESÚS TORRES COFIÑO</w:t>
            </w:r>
          </w:p>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(SECRETARIO)</w:t>
            </w:r>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 xml:space="preserve">LUCÍA AZUCENA RAMOS </w:t>
            </w:r>
            <w:proofErr w:type="spellStart"/>
            <w:r w:rsidRPr="00F31EC6">
              <w:rPr>
                <w:rFonts w:eastAsia="Calibri" w:cs="Arial"/>
                <w:b/>
                <w:sz w:val="24"/>
                <w:szCs w:val="24"/>
                <w:lang w:val="es-ES" w:eastAsia="en-US"/>
              </w:rPr>
              <w:t>RAMOS</w:t>
            </w:r>
            <w:proofErr w:type="spellEnd"/>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GERARDO ABRAHAM AGUADO GÓMEZ</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EMILIO ALEJANDRO DE HOYOS MONTEMAYOR</w:t>
            </w:r>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lastRenderedPageBreak/>
              <w:t xml:space="preserve">DIP. </w:t>
            </w:r>
            <w:r w:rsidRPr="00F31EC6">
              <w:rPr>
                <w:rFonts w:eastAsia="Calibri" w:cs="Arial"/>
                <w:b/>
                <w:sz w:val="24"/>
                <w:szCs w:val="24"/>
                <w:lang w:val="es-ES" w:eastAsia="en-US"/>
              </w:rPr>
              <w:t>JOSÉ BENITO RAMÍREZ ROSAS</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CLAUDIA ISELA RAMÍREZ PINEDA</w:t>
            </w:r>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EDGAR GERARDO SÁNCHEZ GARZA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bl>
    <w:p w:rsidR="00F31EC6" w:rsidRPr="00F31EC6" w:rsidRDefault="00F31EC6" w:rsidP="00F31EC6">
      <w:pPr>
        <w:spacing w:line="360" w:lineRule="auto"/>
        <w:rPr>
          <w:rFonts w:cs="Arial"/>
          <w:sz w:val="24"/>
          <w:szCs w:val="24"/>
        </w:rPr>
      </w:pPr>
    </w:p>
    <w:p w:rsidR="00E27822" w:rsidRDefault="00E27822" w:rsidP="00F10469">
      <w:pPr>
        <w:widowControl w:val="0"/>
        <w:rPr>
          <w:rFonts w:ascii="Arial Narrow" w:eastAsiaTheme="minorHAnsi" w:hAnsi="Arial Narrow" w:cs="Arial"/>
          <w:b/>
          <w:snapToGrid w:val="0"/>
          <w:sz w:val="22"/>
          <w:lang w:eastAsia="en-US"/>
        </w:rPr>
      </w:pPr>
      <w:bookmarkStart w:id="0" w:name="_GoBack"/>
      <w:bookmarkEnd w:id="0"/>
    </w:p>
    <w:sectPr w:rsidR="00E27822" w:rsidSect="009A50B4">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24" w:rsidRDefault="007C0024">
      <w:r>
        <w:separator/>
      </w:r>
    </w:p>
  </w:endnote>
  <w:endnote w:type="continuationSeparator" w:id="0">
    <w:p w:rsidR="007C0024" w:rsidRDefault="007C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24" w:rsidRDefault="007C0024">
      <w:r>
        <w:separator/>
      </w:r>
    </w:p>
  </w:footnote>
  <w:footnote w:type="continuationSeparator" w:id="0">
    <w:p w:rsidR="007C0024" w:rsidRDefault="007C0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A72B2" w:rsidRPr="00D775E4" w:rsidTr="004836C4">
      <w:trPr>
        <w:jc w:val="center"/>
      </w:trPr>
      <w:tc>
        <w:tcPr>
          <w:tcW w:w="1253" w:type="dxa"/>
        </w:tcPr>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tc>
      <w:tc>
        <w:tcPr>
          <w:tcW w:w="8623" w:type="dxa"/>
        </w:tcPr>
        <w:p w:rsidR="004836C4" w:rsidRPr="00815938" w:rsidRDefault="00A0256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004836C4">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C4" w:rsidRPr="002E1219" w:rsidRDefault="004836C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36C4" w:rsidRDefault="004836C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36C4" w:rsidRPr="00530EA8" w:rsidRDefault="004836C4" w:rsidP="00A02564">
          <w:pPr>
            <w:pStyle w:val="Encabezado"/>
            <w:tabs>
              <w:tab w:val="clear" w:pos="4252"/>
              <w:tab w:val="left" w:pos="-1528"/>
              <w:tab w:val="center" w:pos="-1386"/>
            </w:tabs>
            <w:jc w:val="center"/>
            <w:rPr>
              <w:rFonts w:cs="Arial"/>
              <w:bCs/>
              <w:smallCaps/>
              <w:spacing w:val="20"/>
              <w:sz w:val="16"/>
              <w:szCs w:val="32"/>
            </w:rPr>
          </w:pPr>
        </w:p>
        <w:p w:rsidR="004836C4" w:rsidRPr="00D775B7" w:rsidRDefault="004836C4"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4836C4" w:rsidRPr="00D775E4" w:rsidRDefault="004836C4" w:rsidP="00C62362">
          <w:pPr>
            <w:ind w:left="-434" w:right="-672"/>
            <w:jc w:val="center"/>
            <w:rPr>
              <w:b/>
              <w:bCs/>
              <w:sz w:val="12"/>
            </w:rPr>
          </w:pPr>
        </w:p>
      </w:tc>
      <w:tc>
        <w:tcPr>
          <w:tcW w:w="1181" w:type="dxa"/>
        </w:tcPr>
        <w:p w:rsidR="004836C4" w:rsidRDefault="004836C4" w:rsidP="00C62362">
          <w:pPr>
            <w:jc w:val="center"/>
            <w:rPr>
              <w:b/>
              <w:bCs/>
              <w:sz w:val="12"/>
            </w:rPr>
          </w:pPr>
        </w:p>
        <w:p w:rsidR="004836C4" w:rsidRDefault="004836C4" w:rsidP="00C62362">
          <w:pPr>
            <w:jc w:val="center"/>
            <w:rPr>
              <w:b/>
              <w:bCs/>
              <w:sz w:val="12"/>
            </w:rPr>
          </w:pPr>
        </w:p>
        <w:p w:rsidR="004836C4" w:rsidRPr="00D775E4" w:rsidRDefault="004836C4" w:rsidP="00C62362">
          <w:pPr>
            <w:jc w:val="center"/>
            <w:rPr>
              <w:b/>
              <w:bCs/>
              <w:sz w:val="12"/>
            </w:rPr>
          </w:pPr>
        </w:p>
      </w:tc>
    </w:tr>
  </w:tbl>
  <w:p w:rsidR="00A02564" w:rsidRPr="00030032" w:rsidRDefault="00A0256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3"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1"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
  </w:num>
  <w:num w:numId="6">
    <w:abstractNumId w:val="6"/>
  </w:num>
  <w:num w:numId="7">
    <w:abstractNumId w:val="20"/>
  </w:num>
  <w:num w:numId="8">
    <w:abstractNumId w:val="18"/>
  </w:num>
  <w:num w:numId="9">
    <w:abstractNumId w:val="27"/>
  </w:num>
  <w:num w:numId="10">
    <w:abstractNumId w:val="34"/>
  </w:num>
  <w:num w:numId="11">
    <w:abstractNumId w:val="11"/>
  </w:num>
  <w:num w:numId="12">
    <w:abstractNumId w:val="9"/>
  </w:num>
  <w:num w:numId="13">
    <w:abstractNumId w:val="14"/>
  </w:num>
  <w:num w:numId="14">
    <w:abstractNumId w:val="24"/>
  </w:num>
  <w:num w:numId="15">
    <w:abstractNumId w:val="28"/>
  </w:num>
  <w:num w:numId="16">
    <w:abstractNumId w:val="23"/>
  </w:num>
  <w:num w:numId="17">
    <w:abstractNumId w:val="16"/>
  </w:num>
  <w:num w:numId="18">
    <w:abstractNumId w:val="32"/>
  </w:num>
  <w:num w:numId="19">
    <w:abstractNumId w:val="29"/>
  </w:num>
  <w:num w:numId="20">
    <w:abstractNumId w:val="13"/>
  </w:num>
  <w:num w:numId="21">
    <w:abstractNumId w:val="33"/>
  </w:num>
  <w:num w:numId="22">
    <w:abstractNumId w:val="31"/>
  </w:num>
  <w:num w:numId="23">
    <w:abstractNumId w:val="30"/>
  </w:num>
  <w:num w:numId="24">
    <w:abstractNumId w:val="19"/>
  </w:num>
  <w:num w:numId="25">
    <w:abstractNumId w:val="15"/>
  </w:num>
  <w:num w:numId="26">
    <w:abstractNumId w:val="8"/>
  </w:num>
  <w:num w:numId="27">
    <w:abstractNumId w:val="5"/>
  </w:num>
  <w:num w:numId="28">
    <w:abstractNumId w:val="36"/>
  </w:num>
  <w:num w:numId="29">
    <w:abstractNumId w:val="26"/>
  </w:num>
  <w:num w:numId="30">
    <w:abstractNumId w:val="22"/>
  </w:num>
  <w:num w:numId="31">
    <w:abstractNumId w:val="17"/>
  </w:num>
  <w:num w:numId="32">
    <w:abstractNumId w:val="25"/>
  </w:num>
  <w:num w:numId="33">
    <w:abstractNumId w:val="21"/>
  </w:num>
  <w:num w:numId="34">
    <w:abstractNumId w:val="2"/>
  </w:num>
  <w:num w:numId="35">
    <w:abstractNumId w:val="35"/>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016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5FEA"/>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631E"/>
    <w:rsid w:val="000C7EC0"/>
    <w:rsid w:val="000D0B0A"/>
    <w:rsid w:val="000D1DD6"/>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3A98"/>
    <w:rsid w:val="00184619"/>
    <w:rsid w:val="00186366"/>
    <w:rsid w:val="00186D0F"/>
    <w:rsid w:val="0018760D"/>
    <w:rsid w:val="00187AAA"/>
    <w:rsid w:val="0019114E"/>
    <w:rsid w:val="00191A00"/>
    <w:rsid w:val="00193BF9"/>
    <w:rsid w:val="00194B67"/>
    <w:rsid w:val="00195478"/>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4BE8"/>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25A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3C7F"/>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444"/>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59F3"/>
    <w:rsid w:val="006364F7"/>
    <w:rsid w:val="00636AB1"/>
    <w:rsid w:val="00640B5C"/>
    <w:rsid w:val="00640DFB"/>
    <w:rsid w:val="0064215C"/>
    <w:rsid w:val="00642473"/>
    <w:rsid w:val="00643E23"/>
    <w:rsid w:val="00643E8B"/>
    <w:rsid w:val="00644F48"/>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A6B0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A48"/>
    <w:rsid w:val="00750FAA"/>
    <w:rsid w:val="00752DDD"/>
    <w:rsid w:val="007538A7"/>
    <w:rsid w:val="00754861"/>
    <w:rsid w:val="007576AD"/>
    <w:rsid w:val="007636C8"/>
    <w:rsid w:val="007646C7"/>
    <w:rsid w:val="0077041A"/>
    <w:rsid w:val="00770B14"/>
    <w:rsid w:val="00771245"/>
    <w:rsid w:val="00771C7C"/>
    <w:rsid w:val="00773A08"/>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57C9"/>
    <w:rsid w:val="007B63A7"/>
    <w:rsid w:val="007B6C9F"/>
    <w:rsid w:val="007C0024"/>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95F12"/>
    <w:rsid w:val="00895F16"/>
    <w:rsid w:val="00896045"/>
    <w:rsid w:val="008973F4"/>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573"/>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052"/>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76FE"/>
    <w:rsid w:val="00A905E3"/>
    <w:rsid w:val="00A91050"/>
    <w:rsid w:val="00A91595"/>
    <w:rsid w:val="00A928F7"/>
    <w:rsid w:val="00A93BBD"/>
    <w:rsid w:val="00A94215"/>
    <w:rsid w:val="00A967FB"/>
    <w:rsid w:val="00AA1C74"/>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01"/>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836"/>
    <w:rsid w:val="00C22727"/>
    <w:rsid w:val="00C26667"/>
    <w:rsid w:val="00C26CBA"/>
    <w:rsid w:val="00C30484"/>
    <w:rsid w:val="00C31069"/>
    <w:rsid w:val="00C31A3E"/>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6BE9"/>
    <w:rsid w:val="00D7126E"/>
    <w:rsid w:val="00D7288D"/>
    <w:rsid w:val="00D72A67"/>
    <w:rsid w:val="00D73E3D"/>
    <w:rsid w:val="00D7575C"/>
    <w:rsid w:val="00D769B6"/>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822"/>
    <w:rsid w:val="00E27EA5"/>
    <w:rsid w:val="00E301CE"/>
    <w:rsid w:val="00E3154A"/>
    <w:rsid w:val="00E31E04"/>
    <w:rsid w:val="00E3246F"/>
    <w:rsid w:val="00E33CD7"/>
    <w:rsid w:val="00E34803"/>
    <w:rsid w:val="00E34F5C"/>
    <w:rsid w:val="00E36914"/>
    <w:rsid w:val="00E374AB"/>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0A67"/>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E034D"/>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10469"/>
    <w:rsid w:val="00F1199E"/>
    <w:rsid w:val="00F11E47"/>
    <w:rsid w:val="00F12635"/>
    <w:rsid w:val="00F136C7"/>
    <w:rsid w:val="00F136D7"/>
    <w:rsid w:val="00F1516F"/>
    <w:rsid w:val="00F1604D"/>
    <w:rsid w:val="00F17D39"/>
    <w:rsid w:val="00F25AB5"/>
    <w:rsid w:val="00F27204"/>
    <w:rsid w:val="00F279EC"/>
    <w:rsid w:val="00F303C4"/>
    <w:rsid w:val="00F31A7B"/>
    <w:rsid w:val="00F31EC6"/>
    <w:rsid w:val="00F3347A"/>
    <w:rsid w:val="00F34A43"/>
    <w:rsid w:val="00F40023"/>
    <w:rsid w:val="00F40A2C"/>
    <w:rsid w:val="00F41743"/>
    <w:rsid w:val="00F4263E"/>
    <w:rsid w:val="00F440C3"/>
    <w:rsid w:val="00F46FE0"/>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60BF"/>
    <w:rsid w:val="00FA6FC3"/>
    <w:rsid w:val="00FA7762"/>
    <w:rsid w:val="00FA7C67"/>
    <w:rsid w:val="00FB0D93"/>
    <w:rsid w:val="00FB27D0"/>
    <w:rsid w:val="00FB281E"/>
    <w:rsid w:val="00FB287E"/>
    <w:rsid w:val="00FB2BF8"/>
    <w:rsid w:val="00FB3187"/>
    <w:rsid w:val="00FB3930"/>
    <w:rsid w:val="00FB3F30"/>
    <w:rsid w:val="00FB5D12"/>
    <w:rsid w:val="00FB63F6"/>
    <w:rsid w:val="00FC01BD"/>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8D64-C89E-4DD0-A2AD-7EA9E504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2019-10-29T21:40:00Z</cp:lastPrinted>
  <dcterms:created xsi:type="dcterms:W3CDTF">2019-10-31T16:06:00Z</dcterms:created>
  <dcterms:modified xsi:type="dcterms:W3CDTF">2019-10-31T16:06:00Z</dcterms:modified>
</cp:coreProperties>
</file>