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F9" w:rsidRDefault="002C09F9" w:rsidP="00D44535">
      <w:pPr>
        <w:rPr>
          <w:rFonts w:ascii="Arial Narrow" w:hAnsi="Arial Narrow" w:cs="Arial"/>
          <w:sz w:val="28"/>
          <w:szCs w:val="28"/>
        </w:rPr>
      </w:pPr>
    </w:p>
    <w:p w:rsidR="00D227F7" w:rsidRDefault="00D227F7" w:rsidP="00D44535">
      <w:pPr>
        <w:rPr>
          <w:rFonts w:ascii="Arial Narrow" w:hAnsi="Arial Narrow" w:cs="Arial"/>
          <w:sz w:val="28"/>
          <w:szCs w:val="28"/>
        </w:rPr>
      </w:pPr>
    </w:p>
    <w:p w:rsidR="00D44535" w:rsidRDefault="00D44535" w:rsidP="00D44535">
      <w:pPr>
        <w:rPr>
          <w:rFonts w:ascii="Arial Narrow" w:hAnsi="Arial Narrow" w:cs="Arial"/>
          <w:sz w:val="28"/>
          <w:szCs w:val="28"/>
        </w:rPr>
      </w:pPr>
    </w:p>
    <w:p w:rsidR="007C2C2C" w:rsidRPr="007C2C2C" w:rsidRDefault="00D44535" w:rsidP="007C2C2C">
      <w:pPr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7C2C2C">
        <w:rPr>
          <w:rFonts w:ascii="Arial Narrow" w:hAnsi="Arial Narrow" w:cs="Arial"/>
          <w:sz w:val="28"/>
          <w:szCs w:val="28"/>
        </w:rPr>
        <w:t xml:space="preserve">Iniciativa popular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mediante la cual se c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rea el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p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árrafo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t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ercero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del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Artículo 39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y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c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rea el Artículo 39 Bis.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d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el </w:t>
      </w:r>
      <w:r w:rsidR="007C2C2C" w:rsidRPr="007C2C2C">
        <w:rPr>
          <w:rFonts w:ascii="Arial Narrow" w:hAnsi="Arial Narrow" w:cs="Arial"/>
          <w:b/>
          <w:snapToGrid w:val="0"/>
          <w:sz w:val="28"/>
          <w:szCs w:val="28"/>
        </w:rPr>
        <w:t>Código</w:t>
      </w:r>
      <w:r w:rsidR="007C2C2C" w:rsidRPr="007C2C2C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 Financiero para los Municipios del Estado de Coahuila de Zaragoza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;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y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c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rea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un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n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uevo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p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árrafo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c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uarto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recorriendo el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actual al </w:t>
      </w:r>
      <w:r w:rsidR="007C2C2C" w:rsidRPr="007C2C2C">
        <w:rPr>
          <w:rFonts w:ascii="Arial Narrow" w:hAnsi="Arial Narrow" w:cs="Arial"/>
          <w:snapToGrid w:val="0"/>
          <w:sz w:val="28"/>
          <w:szCs w:val="28"/>
        </w:rPr>
        <w:t>q</w:t>
      </w:r>
      <w:proofErr w:type="spellStart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>uinto</w:t>
      </w:r>
      <w:proofErr w:type="spellEnd"/>
      <w:r w:rsidR="007C2C2C" w:rsidRPr="007C2C2C">
        <w:rPr>
          <w:rFonts w:ascii="Arial Narrow" w:hAnsi="Arial Narrow" w:cs="Arial"/>
          <w:snapToGrid w:val="0"/>
          <w:sz w:val="28"/>
          <w:szCs w:val="28"/>
          <w:lang w:val="es-ES_tradnl"/>
        </w:rPr>
        <w:t xml:space="preserve"> del Artículo 99 de la </w:t>
      </w:r>
      <w:r w:rsidR="007C2C2C" w:rsidRPr="007C2C2C">
        <w:rPr>
          <w:rFonts w:ascii="Arial Narrow" w:eastAsia="Calibri" w:hAnsi="Arial Narrow" w:cs="Arial"/>
          <w:b/>
          <w:sz w:val="28"/>
          <w:szCs w:val="28"/>
          <w:lang w:eastAsia="en-US"/>
        </w:rPr>
        <w:t>Ley de Hacienda para el Estado de Coahuila de Zaragoza.</w:t>
      </w:r>
    </w:p>
    <w:p w:rsidR="002C09F9" w:rsidRPr="007C2C2C" w:rsidRDefault="002C09F9" w:rsidP="00D44535">
      <w:pPr>
        <w:rPr>
          <w:rFonts w:ascii="Arial Narrow" w:hAnsi="Arial Narrow" w:cs="Arial"/>
          <w:sz w:val="28"/>
          <w:szCs w:val="28"/>
        </w:rPr>
      </w:pPr>
    </w:p>
    <w:p w:rsidR="002C09F9" w:rsidRPr="00B03821" w:rsidRDefault="002C09F9" w:rsidP="002C09F9">
      <w:pPr>
        <w:rPr>
          <w:rFonts w:ascii="Arial Narrow" w:hAnsi="Arial Narrow" w:cs="Arial"/>
          <w:b/>
          <w:sz w:val="28"/>
          <w:szCs w:val="28"/>
        </w:rPr>
      </w:pPr>
      <w:r w:rsidRPr="00606219">
        <w:rPr>
          <w:rFonts w:ascii="Arial Narrow" w:hAnsi="Arial Narrow" w:cs="Arial"/>
          <w:sz w:val="28"/>
          <w:szCs w:val="28"/>
        </w:rPr>
        <w:t xml:space="preserve">Planteada </w:t>
      </w:r>
      <w:r w:rsidRPr="00962270">
        <w:rPr>
          <w:rFonts w:ascii="Arial Narrow" w:hAnsi="Arial Narrow" w:cs="Arial"/>
          <w:sz w:val="28"/>
          <w:szCs w:val="28"/>
        </w:rPr>
        <w:t xml:space="preserve">por </w:t>
      </w:r>
      <w:r>
        <w:rPr>
          <w:rFonts w:ascii="Arial Narrow" w:hAnsi="Arial Narrow" w:cs="Arial"/>
          <w:sz w:val="28"/>
          <w:szCs w:val="28"/>
        </w:rPr>
        <w:t xml:space="preserve">el </w:t>
      </w:r>
      <w:r w:rsidRPr="006165E8">
        <w:rPr>
          <w:rFonts w:ascii="Arial Narrow" w:hAnsi="Arial Narrow" w:cs="Arial"/>
          <w:b/>
          <w:sz w:val="28"/>
          <w:szCs w:val="28"/>
        </w:rPr>
        <w:t xml:space="preserve">C. </w:t>
      </w:r>
      <w:r w:rsidRPr="00B03821">
        <w:rPr>
          <w:rFonts w:ascii="Arial Narrow" w:hAnsi="Arial Narrow" w:cs="Arial"/>
          <w:b/>
          <w:sz w:val="28"/>
          <w:szCs w:val="28"/>
        </w:rPr>
        <w:t>Ingeniero Erick Rodrigo Valdez Rangel.</w:t>
      </w:r>
    </w:p>
    <w:p w:rsidR="002C09F9" w:rsidRDefault="002C09F9" w:rsidP="002C09F9">
      <w:pPr>
        <w:rPr>
          <w:rFonts w:ascii="Arial Narrow" w:hAnsi="Arial Narrow" w:cs="Arial"/>
          <w:sz w:val="28"/>
          <w:szCs w:val="28"/>
        </w:rPr>
      </w:pPr>
    </w:p>
    <w:p w:rsidR="002C09F9" w:rsidRPr="00237EDB" w:rsidRDefault="002C09F9" w:rsidP="002C09F9">
      <w:pPr>
        <w:rPr>
          <w:rFonts w:ascii="Arial Narrow" w:hAnsi="Arial Narrow" w:cs="Arial"/>
          <w:b/>
          <w:sz w:val="28"/>
          <w:szCs w:val="28"/>
        </w:rPr>
      </w:pPr>
      <w:r w:rsidRPr="00237EDB">
        <w:rPr>
          <w:rFonts w:ascii="Arial Narrow" w:hAnsi="Arial Narrow" w:cs="Arial"/>
          <w:sz w:val="28"/>
          <w:szCs w:val="28"/>
        </w:rPr>
        <w:t>Informe en correspondencia:</w:t>
      </w:r>
      <w:r w:rsidR="00D44535">
        <w:rPr>
          <w:rFonts w:ascii="Arial Narrow" w:hAnsi="Arial Narrow" w:cs="Arial"/>
          <w:b/>
          <w:sz w:val="28"/>
          <w:szCs w:val="28"/>
        </w:rPr>
        <w:t xml:space="preserve"> </w:t>
      </w:r>
      <w:r w:rsidR="009D5856">
        <w:rPr>
          <w:rFonts w:ascii="Arial Narrow" w:hAnsi="Arial Narrow" w:cs="Arial"/>
          <w:b/>
          <w:sz w:val="28"/>
          <w:szCs w:val="28"/>
        </w:rPr>
        <w:t>12</w:t>
      </w:r>
      <w:r w:rsidRPr="00237EDB">
        <w:rPr>
          <w:rFonts w:ascii="Arial Narrow" w:hAnsi="Arial Narrow" w:cs="Arial"/>
          <w:b/>
          <w:sz w:val="28"/>
          <w:szCs w:val="28"/>
        </w:rPr>
        <w:t xml:space="preserve"> de </w:t>
      </w:r>
      <w:r w:rsidR="009D5856">
        <w:rPr>
          <w:rFonts w:ascii="Arial Narrow" w:hAnsi="Arial Narrow" w:cs="Arial"/>
          <w:b/>
          <w:sz w:val="28"/>
          <w:szCs w:val="28"/>
        </w:rPr>
        <w:t>Febrero</w:t>
      </w:r>
      <w:r w:rsidR="007676FA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237EDB">
        <w:rPr>
          <w:rFonts w:ascii="Arial Narrow" w:hAnsi="Arial Narrow" w:cs="Arial"/>
          <w:b/>
          <w:sz w:val="28"/>
          <w:szCs w:val="28"/>
        </w:rPr>
        <w:t>20</w:t>
      </w:r>
      <w:r w:rsidR="007676FA">
        <w:rPr>
          <w:rFonts w:ascii="Arial Narrow" w:hAnsi="Arial Narrow" w:cs="Arial"/>
          <w:b/>
          <w:sz w:val="28"/>
          <w:szCs w:val="28"/>
        </w:rPr>
        <w:t>20</w:t>
      </w:r>
      <w:r w:rsidRPr="00237EDB">
        <w:rPr>
          <w:rFonts w:ascii="Arial Narrow" w:hAnsi="Arial Narrow" w:cs="Arial"/>
          <w:b/>
          <w:sz w:val="28"/>
          <w:szCs w:val="28"/>
        </w:rPr>
        <w:t>.</w:t>
      </w:r>
    </w:p>
    <w:p w:rsidR="002C09F9" w:rsidRPr="00237EDB" w:rsidRDefault="002C09F9" w:rsidP="002C09F9">
      <w:pPr>
        <w:rPr>
          <w:rFonts w:ascii="Arial Narrow" w:hAnsi="Arial Narrow" w:cs="Arial"/>
          <w:sz w:val="28"/>
          <w:szCs w:val="28"/>
        </w:rPr>
      </w:pPr>
    </w:p>
    <w:p w:rsidR="002C09F9" w:rsidRDefault="002C09F9" w:rsidP="002C09F9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Turnada a la Comisión de </w:t>
      </w:r>
      <w:r w:rsidRPr="00606219">
        <w:rPr>
          <w:rFonts w:ascii="Arial Narrow" w:hAnsi="Arial Narrow" w:cs="Arial"/>
          <w:b/>
          <w:sz w:val="28"/>
          <w:szCs w:val="28"/>
        </w:rPr>
        <w:t>Gobernación, Puntos Constitucionales y Justicia para los efectos de lo que se dispone en el artículo 43 de la Ley de Participación Ciudadana para el Estado de Coahuila de Zaragoza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2C09F9" w:rsidRDefault="002C09F9" w:rsidP="002C09F9">
      <w:pPr>
        <w:rPr>
          <w:rFonts w:ascii="Arial Narrow" w:hAnsi="Arial Narrow" w:cs="Arial"/>
          <w:b/>
          <w:sz w:val="28"/>
          <w:szCs w:val="28"/>
        </w:rPr>
      </w:pPr>
    </w:p>
    <w:p w:rsidR="004E67F2" w:rsidRPr="00C92836" w:rsidRDefault="004E67F2" w:rsidP="004E67F2">
      <w:pPr>
        <w:jc w:val="center"/>
        <w:rPr>
          <w:rFonts w:ascii="Arial Narrow" w:hAnsi="Arial Narrow" w:cs="Arial"/>
          <w:b/>
          <w:sz w:val="28"/>
          <w:szCs w:val="28"/>
        </w:rPr>
      </w:pPr>
      <w:r w:rsidRPr="00C92836">
        <w:rPr>
          <w:rFonts w:ascii="Arial Narrow" w:hAnsi="Arial Narrow" w:cs="Arial"/>
          <w:b/>
          <w:sz w:val="28"/>
          <w:szCs w:val="28"/>
        </w:rPr>
        <w:t>Acuerdo de Comisión</w:t>
      </w:r>
    </w:p>
    <w:p w:rsidR="004E67F2" w:rsidRPr="00C92836" w:rsidRDefault="004E67F2" w:rsidP="004E67F2">
      <w:pPr>
        <w:widowControl w:val="0"/>
        <w:jc w:val="center"/>
        <w:rPr>
          <w:rFonts w:ascii="Arial Narrow" w:hAnsi="Arial Narrow" w:cs="Arial"/>
          <w:b/>
          <w:snapToGrid w:val="0"/>
          <w:sz w:val="28"/>
          <w:szCs w:val="28"/>
        </w:rPr>
      </w:pPr>
      <w:r w:rsidRPr="00C92836">
        <w:rPr>
          <w:rFonts w:ascii="Arial Narrow" w:hAnsi="Arial Narrow" w:cs="Arial"/>
          <w:b/>
          <w:snapToGrid w:val="0"/>
          <w:sz w:val="28"/>
          <w:szCs w:val="28"/>
        </w:rPr>
        <w:t>0</w:t>
      </w:r>
      <w:r>
        <w:rPr>
          <w:rFonts w:ascii="Arial Narrow" w:hAnsi="Arial Narrow" w:cs="Arial"/>
          <w:b/>
          <w:snapToGrid w:val="0"/>
          <w:sz w:val="28"/>
          <w:szCs w:val="28"/>
        </w:rPr>
        <w:t>3</w:t>
      </w:r>
      <w:r w:rsidRPr="00C92836">
        <w:rPr>
          <w:rFonts w:ascii="Arial Narrow" w:hAnsi="Arial Narrow" w:cs="Arial"/>
          <w:b/>
          <w:snapToGrid w:val="0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"/>
          <w:b/>
          <w:snapToGrid w:val="0"/>
          <w:sz w:val="28"/>
          <w:szCs w:val="28"/>
        </w:rPr>
        <w:t>Junio</w:t>
      </w:r>
      <w:proofErr w:type="gramEnd"/>
      <w:r>
        <w:rPr>
          <w:rFonts w:ascii="Arial Narrow" w:hAnsi="Arial Narrow" w:cs="Arial"/>
          <w:b/>
          <w:snapToGrid w:val="0"/>
          <w:sz w:val="28"/>
          <w:szCs w:val="28"/>
        </w:rPr>
        <w:t xml:space="preserve"> de 2020</w:t>
      </w:r>
    </w:p>
    <w:p w:rsidR="004E67F2" w:rsidRDefault="004E67F2" w:rsidP="004E67F2">
      <w:pPr>
        <w:rPr>
          <w:rFonts w:ascii="Arial Narrow" w:hAnsi="Arial Narrow" w:cs="Arial"/>
          <w:b/>
          <w:sz w:val="28"/>
          <w:szCs w:val="28"/>
        </w:rPr>
      </w:pPr>
      <w:r w:rsidRPr="00C92836">
        <w:rPr>
          <w:rFonts w:ascii="Arial Narrow" w:hAnsi="Arial Narrow" w:cs="Arial"/>
          <w:b/>
          <w:sz w:val="28"/>
          <w:szCs w:val="28"/>
        </w:rPr>
        <w:t xml:space="preserve">Se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C92836">
        <w:rPr>
          <w:rFonts w:ascii="Arial Narrow" w:hAnsi="Arial Narrow" w:cs="Arial"/>
          <w:b/>
          <w:sz w:val="28"/>
          <w:szCs w:val="28"/>
        </w:rPr>
        <w:t>eclara procedente para continuar su trám</w:t>
      </w: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</w:rPr>
        <w:t>ite legislativo y se turna a la</w:t>
      </w:r>
      <w:r w:rsidR="005603CB">
        <w:rPr>
          <w:rFonts w:ascii="Arial Narrow" w:hAnsi="Arial Narrow" w:cs="Arial"/>
          <w:b/>
          <w:sz w:val="28"/>
          <w:szCs w:val="28"/>
        </w:rPr>
        <w:t xml:space="preserve"> </w:t>
      </w:r>
      <w:r w:rsidRPr="004E67F2">
        <w:rPr>
          <w:rFonts w:ascii="Arial Narrow" w:hAnsi="Arial Narrow" w:cs="Arial"/>
          <w:b/>
          <w:sz w:val="28"/>
          <w:szCs w:val="28"/>
        </w:rPr>
        <w:t>Comisi</w:t>
      </w:r>
      <w:r w:rsidR="005603CB">
        <w:rPr>
          <w:rFonts w:ascii="Arial Narrow" w:hAnsi="Arial Narrow" w:cs="Arial"/>
          <w:b/>
          <w:sz w:val="28"/>
          <w:szCs w:val="28"/>
        </w:rPr>
        <w:t xml:space="preserve">ón </w:t>
      </w:r>
      <w:r w:rsidRPr="004E67F2">
        <w:rPr>
          <w:rFonts w:ascii="Arial Narrow" w:hAnsi="Arial Narrow" w:cs="Arial"/>
          <w:b/>
          <w:sz w:val="28"/>
          <w:szCs w:val="28"/>
        </w:rPr>
        <w:t>de Hacienda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4E67F2" w:rsidRDefault="004E67F2" w:rsidP="002C09F9">
      <w:pPr>
        <w:rPr>
          <w:rFonts w:ascii="Arial Narrow" w:hAnsi="Arial Narrow" w:cs="Arial"/>
          <w:b/>
          <w:sz w:val="28"/>
          <w:szCs w:val="28"/>
        </w:rPr>
      </w:pPr>
    </w:p>
    <w:p w:rsidR="002C09F9" w:rsidRPr="00E92263" w:rsidRDefault="002C09F9" w:rsidP="002C09F9">
      <w:pPr>
        <w:rPr>
          <w:rFonts w:ascii="Arial Narrow" w:hAnsi="Arial Narrow"/>
          <w:b/>
          <w:color w:val="000000"/>
          <w:sz w:val="28"/>
          <w:szCs w:val="28"/>
        </w:rPr>
      </w:pPr>
      <w:r w:rsidRPr="00E92263">
        <w:rPr>
          <w:rFonts w:ascii="Arial Narrow" w:hAnsi="Arial Narrow"/>
          <w:b/>
          <w:color w:val="000000"/>
          <w:sz w:val="28"/>
          <w:szCs w:val="28"/>
        </w:rPr>
        <w:t xml:space="preserve">Lectura del Dictamen: </w:t>
      </w:r>
    </w:p>
    <w:p w:rsidR="002C09F9" w:rsidRDefault="002C09F9" w:rsidP="002C09F9">
      <w:pPr>
        <w:rPr>
          <w:rFonts w:ascii="Arial Narrow" w:hAnsi="Arial Narrow"/>
          <w:color w:val="000000"/>
          <w:sz w:val="28"/>
          <w:szCs w:val="28"/>
        </w:rPr>
      </w:pPr>
    </w:p>
    <w:p w:rsidR="002C09F9" w:rsidRDefault="002C09F9" w:rsidP="002C09F9">
      <w:pPr>
        <w:rPr>
          <w:rFonts w:ascii="Arial Narrow" w:hAnsi="Arial Narrow" w:cs="Arial"/>
          <w:b/>
          <w:color w:val="000000"/>
          <w:sz w:val="28"/>
        </w:rPr>
      </w:pPr>
      <w:r w:rsidRPr="00D961D9">
        <w:rPr>
          <w:rFonts w:ascii="Arial Narrow" w:hAnsi="Arial Narrow" w:cs="Arial"/>
          <w:b/>
          <w:color w:val="000000"/>
          <w:sz w:val="28"/>
        </w:rPr>
        <w:t xml:space="preserve">Decreto No. </w:t>
      </w:r>
    </w:p>
    <w:p w:rsidR="002C09F9" w:rsidRDefault="002C09F9" w:rsidP="002C09F9">
      <w:pPr>
        <w:rPr>
          <w:rFonts w:ascii="Arial Narrow" w:hAnsi="Arial Narrow" w:cs="Arial"/>
          <w:color w:val="000000"/>
          <w:sz w:val="28"/>
        </w:rPr>
      </w:pPr>
    </w:p>
    <w:p w:rsidR="002C09F9" w:rsidRPr="00D0336F" w:rsidRDefault="002C09F9" w:rsidP="002C09F9">
      <w:pPr>
        <w:rPr>
          <w:rFonts w:ascii="Arial Narrow" w:hAnsi="Arial Narrow" w:cs="Arial"/>
          <w:b/>
          <w:color w:val="000000"/>
          <w:sz w:val="28"/>
        </w:rPr>
      </w:pPr>
      <w:r w:rsidRPr="00D0336F">
        <w:rPr>
          <w:rFonts w:ascii="Arial Narrow" w:hAnsi="Arial Narrow" w:cs="Arial"/>
          <w:color w:val="000000"/>
          <w:sz w:val="28"/>
        </w:rPr>
        <w:t>Publicación en el Periódico Oficial del Gobierno del Estado:</w:t>
      </w:r>
      <w:r>
        <w:rPr>
          <w:rFonts w:ascii="Arial Narrow" w:hAnsi="Arial Narrow" w:cs="Arial"/>
          <w:b/>
          <w:color w:val="000000"/>
          <w:sz w:val="28"/>
        </w:rPr>
        <w:t xml:space="preserve"> </w:t>
      </w:r>
    </w:p>
    <w:p w:rsidR="002C09F9" w:rsidRDefault="002C09F9" w:rsidP="002C09F9">
      <w:pPr>
        <w:rPr>
          <w:rFonts w:ascii="Arial Narrow" w:hAnsi="Arial Narrow" w:cs="Arial"/>
          <w:color w:val="000000"/>
          <w:sz w:val="28"/>
        </w:rPr>
      </w:pPr>
    </w:p>
    <w:p w:rsidR="002C09F9" w:rsidRPr="001C2E86" w:rsidRDefault="002C09F9" w:rsidP="002C09F9"/>
    <w:p w:rsidR="00035C57" w:rsidRDefault="00035C57" w:rsidP="002C09F9">
      <w:pPr>
        <w:sectPr w:rsidR="00035C57" w:rsidSect="00A05194">
          <w:headerReference w:type="default" r:id="rId6"/>
          <w:pgSz w:w="12242" w:h="15842" w:code="1"/>
          <w:pgMar w:top="1418" w:right="1418" w:bottom="1418" w:left="1418" w:header="567" w:footer="567" w:gutter="0"/>
          <w:cols w:space="720"/>
          <w:noEndnote/>
        </w:sect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lastRenderedPageBreak/>
        <w:t>Saltillo, Coahuila a 4 de Febrero del 2020</w:t>
      </w: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C. Diputado Jaime Bueno Zertuche.</w:t>
      </w: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Pdte. De la Mesa Directiva del H. Congreso del Estado de Coahuila de Zaragoza.</w:t>
      </w: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Permítame saludarle cordialmente esperando que se encuentren bien.</w:t>
      </w: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Seguido, el suscrito, Erick Rodrigo Valdez Rangel, en mi calidad de ciudadano y en uso de mi propio</w:t>
      </w:r>
      <w:r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derecho, señalando como domicilio para oír y recibir notificaciones el ubicado en </w:t>
      </w:r>
      <w:proofErr w:type="spellStart"/>
      <w:r w:rsidRPr="00035C57">
        <w:rPr>
          <w:rFonts w:ascii="Arial Narrow" w:hAnsi="Arial Narrow" w:cs="ArialNarrow"/>
          <w:sz w:val="26"/>
          <w:szCs w:val="26"/>
          <w:lang w:eastAsia="es-MX"/>
        </w:rPr>
        <w:t>Blvd</w:t>
      </w:r>
      <w:proofErr w:type="spellEnd"/>
      <w:r w:rsidRPr="00035C57">
        <w:rPr>
          <w:rFonts w:ascii="Arial Narrow" w:hAnsi="Arial Narrow" w:cs="ArialNarrow"/>
          <w:sz w:val="26"/>
          <w:szCs w:val="26"/>
          <w:lang w:eastAsia="es-MX"/>
        </w:rPr>
        <w:t>. Morelos</w:t>
      </w:r>
      <w:r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#1827, en el </w:t>
      </w:r>
      <w:proofErr w:type="spellStart"/>
      <w:r w:rsidRPr="00035C57">
        <w:rPr>
          <w:rFonts w:ascii="Arial Narrow" w:hAnsi="Arial Narrow" w:cs="ArialNarrow"/>
          <w:sz w:val="26"/>
          <w:szCs w:val="26"/>
          <w:lang w:eastAsia="es-MX"/>
        </w:rPr>
        <w:t>Fracc</w:t>
      </w:r>
      <w:proofErr w:type="spellEnd"/>
      <w:r w:rsidRPr="00035C57">
        <w:rPr>
          <w:rFonts w:ascii="Arial Narrow" w:hAnsi="Arial Narrow" w:cs="ArialNarrow"/>
          <w:sz w:val="26"/>
          <w:szCs w:val="26"/>
          <w:lang w:eastAsia="es-MX"/>
        </w:rPr>
        <w:t>. Morelos, en la ciudad de Saltillo, Coahuila de Zaragoza, México; Con</w:t>
      </w:r>
      <w:r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fundamento en los artículos 8 y 35 fracción VI de la Constitución Política de los Estados Unidos</w:t>
      </w:r>
      <w:r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Mexicanos, artículo 59 fracción VI de la constitución política del Estado de Coahuila de Zaragoza;</w:t>
      </w:r>
      <w:r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Artículos 152 Apartado VI, 155 y 156 de la Ley Orgánica del Congreso del Estado Independiente,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Libre y Soberano de Coahuila de Zaragoza; Y los artículos 4 fracción III, 39, 40, 42, 43 y demás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relativos de la Ley de Participación Ciudadana para el Estado de Coahuila de Zaragoza, me permito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presentar de la manera más atenta y respetuosa a este H. Congreso del Estado de Coahuila de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Zaragoza, la siguiente iniciativa Popular con proyecto de decreto que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Crea el Párrafo Tercero del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Artículo 39 Y Crea el Artículo 39 Bis. Del CÓDIGO FINANCIERO PARA LOS MUNICIPIOS DEL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ESTADO DE COAHUILA DE ZARAGOZA; Y Crea un Nuevo Párrafo Cuarto recorriendo 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actual al Quinto del Artículo 99 de la LEY DE HACIENDA PARA EL ESTADO DE COAHUILA DE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ZARAGOZA.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Para quedar de la siguiente forma: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1.- ARTÍCULO 39.-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E13ED3" w:rsidRDefault="00035C57" w:rsidP="00BE2C85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LOS CONTRIBUYENTES QUE HAYAN SIDO VÍCTIMAS DEL DELITO DE ROBO A CASA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HABITACIÓN Y HAYAN PRESENTADO LA DENUNCIA CORRESPONDIENTE, EN TIEMPO Y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FORMA ANTE LA DIRECCIÓN GENERAL DE AVERIGUACIONES PREVIAS DE LA FISCALÍA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GENERAL DEL ESTADO DE COAHUILA, SERÁN BENEFICIARIOS A LA CONDONACIÓN DEL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100% DEL IMPUESTO PREDIAL CORRESPONDIENTE AL AÑO EN EL QUE SE SUSCITE 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lastRenderedPageBreak/>
        <w:t>AGRAVIO, O EN EL CASO QUE YA SE HAYA CUBIERTO EL IMPORTE, LA CONDONACIÓN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SERÁ EFECTIVA EN EL AÑO SIGUIENTE.</w:t>
      </w:r>
    </w:p>
    <w:p w:rsidR="00BE2C85" w:rsidRPr="00035C57" w:rsidRDefault="00BE2C85" w:rsidP="00035C57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2.-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ARTÍCULO 39 BIS.- LOS GOBIERNOS MUNICIPALES DENTRO DE SU COMPETENCIA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GEOGRÁFICA HARÁN ACREEDORES DE UNA PÓLIZA DE SEGURO A LOS PROPIETARIOS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QUE TENIENDO UNO O MÁS BIENES INMUEBLES, CON USO DE VIVIENDA, HAYAN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CONTRIBUIDO OPORTUNAMENTE CON EL PAGO DEL IMPUESTO PREDIAL DENTRO DE LOS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PRIMEROS 30 DÍAS DEL AÑO. ADEMÁS, DICHOS PROPIETARIOS DEBERÁN CONTAR CON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SUS PREDIOS LIBRES DE GRAVAMEN Y SIN ADEUDOS CON LA DEPENDENCIA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RECAUDADORA.</w:t>
      </w:r>
    </w:p>
    <w:p w:rsidR="00BE2C85" w:rsidRPr="00035C57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EL SEGURO DE CASA HABITACIÓN DEBERÁ CUBRIR LA REPARACIÓN DE LOS DAÑOS EN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LA VIVIENDA, ASÍ COMO LOS MUEBLES, ELECTRÓNICOS, VIDRIOS Y ARTÍCULOS DE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VALOR QUE SE ENCUENTREN EN ELLA. EL SEGURO DEBERÁ INCLUIR INCENDIO, ROBO,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TERREMOTO, DAÑOS HIDROMETEOROLÓGICOS, ADEMÁS DE RESPONSABILIDAD CIVIL.</w:t>
      </w:r>
    </w:p>
    <w:p w:rsidR="00BE2C85" w:rsidRPr="00035C57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SERA OBLIGACIÓN DE LOS GOBIERNOS MUNICIPALES A TRAVÉS DE SUS TESORERÍAS,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ADMINISTRAR LA EXPEDICIÓN DE DICHAS PÓLIZAS DE SEGURO DE ACUERDO CON SU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REGULACIÓN.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3.- ARTÍCULO 99.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LOS CONTRIBUYENTES QUE SE ENCUENTREN AL CORRIENTE DE SUS CONTRIBUCIONES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Y QUE HAYAN SIDO VÍCTIMAS DEL DELITO DE ROBO TOTAL O PARCIAL DE VEHÍCULOS,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SERÁN ACREEDORES A LA CONDONACIÓN DEL 100% RESPECTO AL PAGO DE LOS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lastRenderedPageBreak/>
        <w:t>DERECHOS QUE APLIQUEN DE ACUERDO A LAS FRACCIONES I AL XI DEL ARTÍCULO 96,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SIEMPRE Y CUANDO SE PRESENTE LA DENUNCIA EN TIEMPO Y FORMA ANTE 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MINISTERIO PÚBLICO CORRESPONDIENTE.</w:t>
      </w:r>
    </w:p>
    <w:p w:rsidR="00BE2C85" w:rsidRPr="00035C57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035C57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…</w:t>
      </w:r>
    </w:p>
    <w:p w:rsidR="00035C57" w:rsidRPr="00035C57" w:rsidRDefault="00035C57" w:rsidP="00035C57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tbl>
      <w:tblPr>
        <w:tblStyle w:val="Tablaconcuadrcula126"/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6"/>
        <w:gridCol w:w="4701"/>
      </w:tblGrid>
      <w:tr w:rsidR="004015CB" w:rsidRPr="004015CB" w:rsidTr="00772DB2">
        <w:trPr>
          <w:jc w:val="center"/>
        </w:trPr>
        <w:tc>
          <w:tcPr>
            <w:tcW w:w="4695" w:type="dxa"/>
            <w:gridSpan w:val="2"/>
          </w:tcPr>
          <w:p w:rsidR="004015CB" w:rsidRPr="004015CB" w:rsidRDefault="004015CB" w:rsidP="0040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  <w:lang w:eastAsia="es-MX"/>
              </w:rPr>
            </w:pPr>
            <w:r w:rsidRPr="004015CB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PROYECTO ORIGINAL.</w:t>
            </w:r>
          </w:p>
        </w:tc>
        <w:tc>
          <w:tcPr>
            <w:tcW w:w="4701" w:type="dxa"/>
          </w:tcPr>
          <w:p w:rsidR="004015CB" w:rsidRPr="004015CB" w:rsidRDefault="004015CB" w:rsidP="0040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  <w:lang w:eastAsia="es-MX"/>
              </w:rPr>
            </w:pPr>
            <w:r w:rsidRPr="004015CB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PROYECTO REFORMADO.</w:t>
            </w:r>
          </w:p>
        </w:tc>
      </w:tr>
      <w:tr w:rsidR="004015CB" w:rsidRPr="004015CB" w:rsidTr="00772DB2">
        <w:trPr>
          <w:jc w:val="center"/>
        </w:trPr>
        <w:tc>
          <w:tcPr>
            <w:tcW w:w="9396" w:type="dxa"/>
            <w:gridSpan w:val="3"/>
          </w:tcPr>
          <w:p w:rsidR="004015CB" w:rsidRPr="004015CB" w:rsidRDefault="004015CB" w:rsidP="0040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3"/>
                <w:szCs w:val="23"/>
                <w:lang w:eastAsia="es-MX"/>
              </w:rPr>
            </w:pPr>
            <w:r w:rsidRPr="004015CB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CÓDIGO FINANCIERO PARA LOS MUNICIPIOS DEL ESTADO DE COAHUILA DE ZARAGOZA.</w:t>
            </w:r>
          </w:p>
        </w:tc>
      </w:tr>
      <w:tr w:rsidR="004015CB" w:rsidRPr="004015CB" w:rsidTr="00772DB2">
        <w:trPr>
          <w:jc w:val="center"/>
        </w:trPr>
        <w:tc>
          <w:tcPr>
            <w:tcW w:w="4689" w:type="dxa"/>
          </w:tcPr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1.- ARTÍCULO 39.- Este impuesto es anual y se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pagará bimestralmente; los pagos deberán hacerse dentro de los primeros quince días de cada bimestre en las oficinas recaudadoras que determine la autoridad fiscal.</w:t>
            </w: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Para los efectos del párrafo anterior los bimestres serán los siguientes: Enero-Febrero; Marzo-Abril; Mayo-Junio; Julio-Agosto; Septiembre-Octubre; y Noviembre-Diciembre.</w:t>
            </w:r>
          </w:p>
        </w:tc>
        <w:tc>
          <w:tcPr>
            <w:tcW w:w="4707" w:type="dxa"/>
            <w:gridSpan w:val="2"/>
          </w:tcPr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1.- ARTÍCULO 39.- Este impuesto es anual y se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pagará bimestralmente; los pagos deberán hacerse dentro de los primeros quince días de cada bimestre en las oficinas recaudadoras que determine la autoridad fiscal.</w:t>
            </w: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4015CB" w:rsidRPr="004015CB" w:rsidRDefault="004015CB" w:rsidP="00401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,Bold"/>
                <w:b/>
                <w:bCs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Para los efectos del párrafo anterior los bimestres serán los siguientes: Enero-Febrero; Marzo-Abril; Mayo-Junio; Julio-Agosto; Septiembre-Octubre; y Noviembre-Diciembre.</w:t>
            </w:r>
          </w:p>
          <w:p w:rsidR="004015CB" w:rsidRPr="004015CB" w:rsidRDefault="004015CB" w:rsidP="004015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,Bold"/>
                <w:b/>
                <w:bCs/>
                <w:lang w:eastAsia="es-MX"/>
              </w:rPr>
            </w:pP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,Bold"/>
                <w:b/>
                <w:bCs/>
                <w:lang w:eastAsia="es-MX"/>
              </w:rPr>
            </w:pP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LOS CONTRIBUYENTES QUE HAYAN SIDO VÍCTIMAS DEL DELITO DE ROBO A CASA HABITACIÓN Y HAYAN PRESENTADO LA DENUNCIA CORRESPONDIENTE, EN TIEMPO Y FORMA ANTE LA DIRECCIÓN GENERAL DE AVERIGUACIONES PREVIAS DE LA FISCALÍA GENERAL DEL ESTADO DE COAHUILA, SERÁN BENEFICIARIOS A LA CONDONACIÓN DEL 100% DEL IMPUESTO PREDIAL CORRESPONDIENTE AL AÑO EN EL QUE SE SUSCITE EL AGRAVIO, O EN EL CASO QUE YA SE HAYA CUBIERTO EL IMPORTE, LA CONDONACIÓN SERÁ EFECTIVA EN EL AÑO SIGUIENTE.</w:t>
            </w:r>
          </w:p>
        </w:tc>
      </w:tr>
      <w:tr w:rsidR="004015CB" w:rsidRPr="004015CB" w:rsidTr="00772DB2">
        <w:trPr>
          <w:jc w:val="center"/>
        </w:trPr>
        <w:tc>
          <w:tcPr>
            <w:tcW w:w="4689" w:type="dxa"/>
          </w:tcPr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lastRenderedPageBreak/>
              <w:t>2.- No Existe.</w:t>
            </w:r>
          </w:p>
        </w:tc>
        <w:tc>
          <w:tcPr>
            <w:tcW w:w="4707" w:type="dxa"/>
            <w:gridSpan w:val="2"/>
          </w:tcPr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 xml:space="preserve">2.-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ARTÍCULO 39 BIS.- LOS GOBIERNOS MUNICIPALES DENTRO DE SU COMPETENCIA GEOGRÁFICA HARÁN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ACREEDORES DE UNA PÓLIZA DE SEGURO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A LOS PROPIETARIOS QUE TENIENDO UNO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O MÁS BIENES INMUEBLES, CON USO DE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VIVIENDA, HAYAN CONTRIBUIDO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OPORTUNAMENTE CON EL PAGO DEL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IMPUESTO PREDIAL DENTRO DE LOS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PRIMEROS 30 DÍAS DEL AÑO. ADEMÁS,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DICHOS PROPIETARIOS DEBERÁN CONTAR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CON SUS PREDIOS LIBRES DE GRAVAMEN Y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SIN ADEUDOS CON LA DEPENDENCIA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RECAUDADORA.</w:t>
            </w:r>
          </w:p>
          <w:p w:rsid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</w:p>
          <w:p w:rsid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EL SEGURO DE CASA HABITACIÓN DEBERÁ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CUBRIR LA REPARACIÓN DE LOS DAÑOS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EN LA VIVIENDA, ASÍ COMO LOS MUEBLES,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ELECTRÓNICOS, VIDRIOS Y ARTÍCULOS DE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VALOR QUE SE ENCUENTREN EN ELLA. EL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SEGURO DEBERÁ INCLUIR INCENDIO,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ROBO, TERREMOTO, DAÑOS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HIDROMETEOROLÓGICOS, ADEMÁS DE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RESPONSABILIDAD CIVIL.</w:t>
            </w: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SERA OBLIGACIÓN DE LOS GOBIERNOS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MUNICIPALES A TRAVÉS DE SUS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TESORERÍAS, ADMINISTRAR LA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EXPEDICIÓN DE DICHAS PÓLIZAS DE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SEGURO DE ACUERDO CON SU</w:t>
            </w:r>
            <w:r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REGULACIÓN.</w:t>
            </w:r>
          </w:p>
        </w:tc>
      </w:tr>
    </w:tbl>
    <w:p w:rsidR="004015CB" w:rsidRDefault="004015CB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4015CB" w:rsidTr="004015CB">
        <w:tc>
          <w:tcPr>
            <w:tcW w:w="9438" w:type="dxa"/>
          </w:tcPr>
          <w:p w:rsidR="004015CB" w:rsidRDefault="004015CB" w:rsidP="004015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5CB">
              <w:rPr>
                <w:rFonts w:ascii="Arial Narrow" w:hAnsi="Arial Narrow"/>
                <w:b/>
                <w:sz w:val="26"/>
                <w:szCs w:val="26"/>
                <w:lang w:eastAsia="es-MX"/>
              </w:rPr>
              <w:t>LEY DE HACIENDA PARA EL ESTADO DE COAHUILA DE ZARAGOZA.</w:t>
            </w:r>
          </w:p>
        </w:tc>
      </w:tr>
    </w:tbl>
    <w:p w:rsidR="004015CB" w:rsidRDefault="004015CB"/>
    <w:tbl>
      <w:tblPr>
        <w:tblStyle w:val="Tablaconcuadrcula126"/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4707"/>
      </w:tblGrid>
      <w:tr w:rsidR="004015CB" w:rsidRPr="004015CB" w:rsidTr="004015CB">
        <w:trPr>
          <w:jc w:val="center"/>
        </w:trPr>
        <w:tc>
          <w:tcPr>
            <w:tcW w:w="4689" w:type="dxa"/>
          </w:tcPr>
          <w:p w:rsidR="004015CB" w:rsidRDefault="004015CB" w:rsidP="006216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3.- ARTÍCULO 99. El pago de estos derechos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deberá hacerse en las Instituciones de Crédito o</w:t>
            </w:r>
            <w:r w:rsidR="006216C6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establecimientos autorizados, conforme a las</w:t>
            </w:r>
            <w:r w:rsidR="006216C6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tarifas que establece esta ley.</w:t>
            </w:r>
          </w:p>
          <w:p w:rsidR="0012516D" w:rsidRPr="004015CB" w:rsidRDefault="0012516D" w:rsidP="006216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4015CB" w:rsidRPr="004015CB" w:rsidRDefault="004015CB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lastRenderedPageBreak/>
              <w:t>La adquisición de placas, tarjeta de circulación y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 xml:space="preserve">engomado con número </w:t>
            </w:r>
            <w:proofErr w:type="spellStart"/>
            <w:r w:rsidRPr="004015CB">
              <w:rPr>
                <w:rFonts w:ascii="Arial Narrow" w:hAnsi="Arial Narrow" w:cs="ArialNarrow"/>
                <w:lang w:eastAsia="es-MX"/>
              </w:rPr>
              <w:t>identificatorio</w:t>
            </w:r>
            <w:proofErr w:type="spellEnd"/>
            <w:r w:rsidRPr="004015CB">
              <w:rPr>
                <w:rFonts w:ascii="Arial Narrow" w:hAnsi="Arial Narrow" w:cs="ArialNarrow"/>
                <w:lang w:eastAsia="es-MX"/>
              </w:rPr>
              <w:t>, deberá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realizarse dentro de los primeros tres meses del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año siguiente al en que venza su vigencia. Las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personas físicas o morales que adquieran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vehículos nuevos o usados que no cuenten con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placas, deberán hacerlo dentro de los quince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días siguientes a la fecha de adquisición.</w:t>
            </w:r>
          </w:p>
          <w:p w:rsidR="0012516D" w:rsidRDefault="0012516D" w:rsidP="004015C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Narrow"/>
                <w:lang w:eastAsia="es-MX"/>
              </w:rPr>
            </w:pPr>
          </w:p>
          <w:p w:rsidR="004015CB" w:rsidRDefault="004015CB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El refrendo anual correspondiente a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la</w:t>
            </w:r>
            <w:r w:rsidRPr="004015CB">
              <w:rPr>
                <w:rFonts w:ascii="Arial Narrow" w:hAnsi="Arial Narrow" w:cs="ArialNarrow"/>
                <w:lang w:eastAsia="es-MX"/>
              </w:rPr>
              <w:t>s placas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metálicas, deberá pagarse dentro de los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primeros tres meses de cada año.</w:t>
            </w:r>
          </w:p>
          <w:p w:rsidR="0012516D" w:rsidRPr="004015CB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4015CB" w:rsidRPr="004015CB" w:rsidRDefault="004015CB" w:rsidP="001251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Los demás derechos regulados en esta Sección,</w:t>
            </w:r>
            <w:r w:rsidR="0012516D"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se pagarán en el momento en que se soliciten.</w:t>
            </w:r>
          </w:p>
        </w:tc>
        <w:tc>
          <w:tcPr>
            <w:tcW w:w="4707" w:type="dxa"/>
          </w:tcPr>
          <w:p w:rsidR="0012516D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lastRenderedPageBreak/>
              <w:t>3.- ARTÍCULO 99. El pago de estos derechos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deberá hacerse en las Instituciones de Crédito o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establecimientos autorizados, conforme a las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tarifas que establece esta ley.</w:t>
            </w:r>
          </w:p>
          <w:p w:rsidR="0012516D" w:rsidRPr="004015CB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12516D" w:rsidRPr="004015CB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lastRenderedPageBreak/>
              <w:t>La adquisición de placas, tarjeta de circulación y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 xml:space="preserve">engomado con número </w:t>
            </w:r>
            <w:proofErr w:type="spellStart"/>
            <w:r w:rsidRPr="004015CB">
              <w:rPr>
                <w:rFonts w:ascii="Arial Narrow" w:hAnsi="Arial Narrow" w:cs="ArialNarrow"/>
                <w:lang w:eastAsia="es-MX"/>
              </w:rPr>
              <w:t>identificatorio</w:t>
            </w:r>
            <w:proofErr w:type="spellEnd"/>
            <w:r w:rsidRPr="004015CB">
              <w:rPr>
                <w:rFonts w:ascii="Arial Narrow" w:hAnsi="Arial Narrow" w:cs="ArialNarrow"/>
                <w:lang w:eastAsia="es-MX"/>
              </w:rPr>
              <w:t>, deberá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realizarse dentro de los primeros tres meses del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año siguiente al en que venza su vigencia. Las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personas físicas o morales que adquieran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vehículos nuevos o usados que no cuenten con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placas, deberán hacerlo dentro de los quince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días siguientes a la fecha de adquisición.</w:t>
            </w:r>
          </w:p>
          <w:p w:rsidR="0012516D" w:rsidRDefault="0012516D" w:rsidP="001251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 Narrow" w:hAnsi="Arial Narrow" w:cs="ArialNarrow"/>
                <w:lang w:eastAsia="es-MX"/>
              </w:rPr>
            </w:pPr>
          </w:p>
          <w:p w:rsidR="0012516D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El refrendo anual correspondiente a</w:t>
            </w:r>
            <w:r>
              <w:rPr>
                <w:rFonts w:ascii="Arial Narrow" w:hAnsi="Arial Narrow" w:cs="ArialNarrow"/>
                <w:lang w:eastAsia="es-MX"/>
              </w:rPr>
              <w:t xml:space="preserve"> la</w:t>
            </w:r>
            <w:r w:rsidRPr="004015CB">
              <w:rPr>
                <w:rFonts w:ascii="Arial Narrow" w:hAnsi="Arial Narrow" w:cs="ArialNarrow"/>
                <w:lang w:eastAsia="es-MX"/>
              </w:rPr>
              <w:t>s placas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metálicas, deberá pagarse dentro de los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primeros tres meses de cada año.</w:t>
            </w:r>
          </w:p>
          <w:p w:rsidR="004015CB" w:rsidRPr="004015CB" w:rsidRDefault="004015CB" w:rsidP="004015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</w:p>
          <w:p w:rsidR="004015CB" w:rsidRDefault="004015CB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LOS CONTRIBUYENTES QUE SE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ENCUENTREN AL CORRIENTE DE SUS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CONTRIBUCIONES Y QUE HAYAN SIDO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VÍCTIMAS DEL DELITO DE ROBO TOTAL O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PARCIAL DE VEHÍCULOS, SERÁN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ACREEDORES A LA CONDONACIÓN DEL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100% RESPECTO AL PAGO DE LOS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DERECHOS QUE APLIQUEN DE ACUERDO A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LAS FRACCIONES I AL XI DEL ARTÍCULO 96,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SIEMPRE Y CUANDO SE PRESENTE LA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DENUNCIA EN TIEMPO Y FORMA ANTE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EL MINISTERIO PÚBLICO</w:t>
            </w:r>
            <w:r w:rsidR="0012516D">
              <w:rPr>
                <w:rFonts w:ascii="Arial Narrow" w:hAnsi="Arial Narrow" w:cs="ArialNarrow-Bold"/>
                <w:b/>
                <w:bCs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-Bold"/>
                <w:b/>
                <w:bCs/>
                <w:lang w:eastAsia="es-MX"/>
              </w:rPr>
              <w:t>CORRESPONDIENTE.</w:t>
            </w:r>
          </w:p>
          <w:p w:rsidR="0012516D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-Bold"/>
                <w:b/>
                <w:bCs/>
                <w:lang w:eastAsia="es-MX"/>
              </w:rPr>
            </w:pPr>
          </w:p>
          <w:p w:rsidR="0012516D" w:rsidRPr="004015CB" w:rsidRDefault="0012516D" w:rsidP="001251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Narrow"/>
                <w:lang w:eastAsia="es-MX"/>
              </w:rPr>
            </w:pPr>
            <w:r w:rsidRPr="004015CB">
              <w:rPr>
                <w:rFonts w:ascii="Arial Narrow" w:hAnsi="Arial Narrow" w:cs="ArialNarrow"/>
                <w:lang w:eastAsia="es-MX"/>
              </w:rPr>
              <w:t>Los demás derechos regulados en esta Sección,</w:t>
            </w:r>
            <w:r>
              <w:rPr>
                <w:rFonts w:ascii="Arial Narrow" w:hAnsi="Arial Narrow" w:cs="ArialNarrow"/>
                <w:lang w:eastAsia="es-MX"/>
              </w:rPr>
              <w:t xml:space="preserve"> </w:t>
            </w:r>
            <w:r w:rsidRPr="004015CB">
              <w:rPr>
                <w:rFonts w:ascii="Arial Narrow" w:hAnsi="Arial Narrow" w:cs="ArialNarrow"/>
                <w:lang w:eastAsia="es-MX"/>
              </w:rPr>
              <w:t>se pagarán en el momento en que se soliciten.</w:t>
            </w:r>
          </w:p>
        </w:tc>
      </w:tr>
    </w:tbl>
    <w:p w:rsidR="00035C57" w:rsidRPr="00035C57" w:rsidRDefault="00035C57" w:rsidP="00035C57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BE2C8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-Bold"/>
          <w:b/>
          <w:bCs/>
          <w:sz w:val="26"/>
          <w:szCs w:val="26"/>
          <w:lang w:val="en-US"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val="en-US" w:eastAsia="es-MX"/>
        </w:rPr>
        <w:t>T R A N S I T O R I O S</w:t>
      </w:r>
    </w:p>
    <w:p w:rsidR="00BE2C85" w:rsidRPr="005D2461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val="en-US"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PRIMERO.- EL DECRETO QUE CREA EL PÁRRAFO TERCERO DEL ARTÍCULO 39 DEL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CÓDIGO FINANCIERO PARA LOS MUNICIPIOS DEL ESTADO DE COAHUILA DE ZARAGOZA,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Y EL QUE CREA UN NUEVO PÁRRAFO CUARTO DEL ARTÍCULO 99 DE LA LEY DE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HACIENDA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lastRenderedPageBreak/>
        <w:t>PARA EL ESTADO DE COAHUILA DE ZARAGOZA, ENTRARÁN EN VIGOR AL DÍA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SIGUIENTE DE SU PUBLICACIÓN EN EL PERIÓDICO OFICIAL DEL ESTADO.</w:t>
      </w:r>
    </w:p>
    <w:p w:rsidR="00BE2C85" w:rsidRPr="00035C57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SEGUNDO.- EL DECRETO QUE CREA EL ARTÍCULO 39 BIS. ENTRARÁ EN VIGOR A LOS 90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DÍAS DE SU PUBLICACIÓN EN EL PERIÓDICO OFICIAL DEL ESTADO.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BE2C85">
      <w:pPr>
        <w:autoSpaceDE w:val="0"/>
        <w:autoSpaceDN w:val="0"/>
        <w:adjustRightInd w:val="0"/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TERCERO.- LOS MUNICIPIOS TENDRÁN HASTA 90 DÍAS HÁBILES DESPUÉS DE LA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PUBLICACIÓN EN EL PERIÓDICO OFICIAL DEL ESTADO DEL DECRETO QUE CREA EL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ARTÍCULO 39 BIS., PARA ELABORAR LAS REGLAS DE OPERACIÓN DEL SEGURO PARA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LAS VIVIENDAS, ASÍ COMO ESTIPULAR EL MONTO MÁXIMO MONETARIO DE APLICACIÓN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DEL SEGURO, Y ESTIPULAR EL DEDUCIBLE QUE DEBERÁ COBRARSE A LOS AFECTADOS,</w:t>
      </w:r>
      <w:r w:rsidR="00BE2C85">
        <w:rPr>
          <w:rFonts w:ascii="Arial Narrow" w:hAnsi="Arial Narrow" w:cs="ArialNarrow-Bold"/>
          <w:b/>
          <w:b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DICHO DEDUCIBLE NO SERÁ MAYOR AL 3% DEL MONTO DE APLICACIÓN.</w:t>
      </w:r>
    </w:p>
    <w:p w:rsidR="00035C57" w:rsidRPr="00035C57" w:rsidRDefault="00035C57" w:rsidP="00035C57">
      <w:pPr>
        <w:spacing w:line="360" w:lineRule="auto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</w:p>
    <w:p w:rsidR="00035C57" w:rsidRPr="00035C57" w:rsidRDefault="00035C57" w:rsidP="00BE2C8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-Bold"/>
          <w:b/>
          <w:bCs/>
          <w:sz w:val="26"/>
          <w:szCs w:val="26"/>
          <w:lang w:eastAsia="es-MX"/>
        </w:rPr>
      </w:pPr>
      <w:r w:rsidRPr="00035C57">
        <w:rPr>
          <w:rFonts w:ascii="Arial Narrow" w:hAnsi="Arial Narrow" w:cs="ArialNarrow-Bold"/>
          <w:b/>
          <w:bCs/>
          <w:sz w:val="26"/>
          <w:szCs w:val="26"/>
          <w:lang w:eastAsia="es-MX"/>
        </w:rPr>
        <w:t>EXPOSICION DE MOTIVOS.-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El brindar una seguridad pública efectiva es uno de los elementos fundamentales para que una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población viva en armonía, bienestar y tranquilidad. La calidad en su impartición es un indicador de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un sólido estado de derecho.</w:t>
      </w:r>
    </w:p>
    <w:p w:rsidR="00BE2C85" w:rsidRDefault="00BE2C85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Desafortunadamente, hoy en día se vive una gran crisis de inseguridad, no solo en Coahuila, si no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en la mayoría de la República Mexicana, donde mes tras mes los índices delictivos se encuentran a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la alza. Prueba de esto es el estudio anual realizado por el Observatorio Nacional Ciudadano de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Seguridad, Justicia y Legalidad (ONC), respecto a la incidencia de los delitos de alto impacto en</w:t>
      </w:r>
      <w:r w:rsidR="00BE2C85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México en el 2016, en donde lamentablemente, lo que se pudo constatar es que sin lugar a dudas</w:t>
      </w:r>
      <w:r w:rsidR="00DE73E8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las condiciones de seguridad se han ido deteriorado significativamente desde 2015. Esto se logra</w:t>
      </w:r>
      <w:r w:rsidR="00DE73E8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apreciar a partir del análisis de la información estadística oficial, que es generada en 2016 de todas</w:t>
      </w:r>
      <w:r w:rsidR="00DE73E8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las carpetas de investigación reportadas por las procuradurías y fiscalías generales de las entidades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federativas que han sido publicadas por el Secretariado Ejecutivo del Sistema Nacional de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Seguridad Pública (SESNSP).</w:t>
      </w:r>
    </w:p>
    <w:p w:rsidR="001928A3" w:rsidRPr="00035C57" w:rsidRDefault="001928A3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A pesar de que las autoridades Federales, Estatales y Municipales realizan un esfuerzo día a día en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el fortalecimiento de la seguridad pública, el panorama es cada vez peor en el tema de seguridad en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nuestra entidad.</w:t>
      </w:r>
    </w:p>
    <w:p w:rsidR="001928A3" w:rsidRDefault="001928A3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Según las autoridades en materia de seguridad, en nuestro estado el robo a casa habitación ha ido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disminuyendo en comparación con la meda nacional de mes tras mes, en todo el 2019, sin embargo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en números locales, hay meses que presentan aumentos en la comparativa realizada sobre los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robos a casa habitación del 2018 al 2019, por ejemplo, hay meses como febrero y julio, donde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presentan aumentos al dicho delito en un 10% y 5% respectivamente.</w:t>
      </w:r>
    </w:p>
    <w:p w:rsidR="001928A3" w:rsidRPr="00035C57" w:rsidRDefault="001928A3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1928A3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Para el caso de robo a vehículos, nuestro estado, de igual manera, ha ido disminuyendo esta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problemática, en comparación con la media nacional de mes tras mes, en todo el 2019 obtuvo en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promedio, una disminución del 21% y en comparación del 2018 con el 2019 de este delito, se obtuvo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en promedio una disminución del 9%. Es importante señalar que a pesar de que el 2019 fue un buen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año en combate al robo de vehículos, hay años como el 2017, donde se registraron más de 1000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robos a vehículos, es responsabilidad del estado y sus municipios el salvaguardar el bien y la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integridad de las personas y sus pertenencias.</w:t>
      </w:r>
    </w:p>
    <w:p w:rsidR="00035C57" w:rsidRPr="00035C57" w:rsidRDefault="00035C57" w:rsidP="00035C57">
      <w:pPr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Es innegable que el Estado enfrenta un reto en el combate de la violencia, si se analizan los datos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oficiales, entre 2015, 2016, 2017, 2018 y 2019, aumentaron y disminuyeron diversos delitos entre los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cuales destaca el robo total con violencia y el robo de vehículo, delito que por mucho tiempo vio una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disminución sostenida.</w:t>
      </w:r>
    </w:p>
    <w:p w:rsidR="001928A3" w:rsidRDefault="001928A3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En las gráficas posteriores podemos observar los índices delictivos en el Estado respecto a los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delitos de Robo de Vehículo y Robo a Casa Habitación, y los números son alarmantes para todos los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ciudadanos que vivimos en la entidad, porque aunque algunos son tendentes hacia la baja, se</w:t>
      </w:r>
      <w:r w:rsidR="001928A3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siguen presentando estos delitos por encima de 600 y 1000 casos, respectivamente.</w:t>
      </w:r>
    </w:p>
    <w:p w:rsidR="001928A3" w:rsidRPr="00035C57" w:rsidRDefault="001928A3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lastRenderedPageBreak/>
        <w:t>Aunado a esto, tenemos que la percepción ciudadana es altamente negativa, respecto a la confianza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que se tiene a nuestras Autoridades Judiciales encargadas de las investigaciones y persecución de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delitos en el Estado, es por ello que el porcentaje de denuncias que se presentan por delito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consumado es mínimo, resultando que la principal, por no señalar que la Única razón por la cual los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ciudadanos presentan las denuncias ante la autoridad es simplemente para efectos de cumplir con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los tramites antes las aseguradoras.</w:t>
      </w:r>
    </w:p>
    <w:p w:rsidR="009E1B0B" w:rsidRPr="00035C57" w:rsidRDefault="009E1B0B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Sin embargo, no todos los ciudadanos tienen la posibilidad de asegurar las casas habitación o los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vehículos contra robos, esto lo podemos sumar a que no es por falta de interés del ciudadano por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asegurar sus bienes, sino que los costos son altos, los cuales no se pueden solventar debido a la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gran carga de contribuciones que hoy en día tienen los ciudadanos, ejemplo de ello lo son el predial,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pago de impuesto por use vehículos (refrendo, placas, licencia de manejo, etc.).</w:t>
      </w:r>
    </w:p>
    <w:p w:rsidR="009E1B0B" w:rsidRPr="00035C57" w:rsidRDefault="009E1B0B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Si bien es cierto, los ciudadanos tenemos derechos y obligaciones, dentro de las obligaciones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podemos señalar lo establecido por el artículo 31 de la Constitución Política de los Estados Unidos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Mexicanos, que se refiere a contribuir al gasto público.</w:t>
      </w:r>
    </w:p>
    <w:p w:rsidR="009E1B0B" w:rsidRPr="00035C57" w:rsidRDefault="009E1B0B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Italic"/>
          <w:i/>
          <w:iCs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Por otro lado, podemos citar el párrafo nueve del artículo 21 de la Constitución Política de los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Estados Unidos Mexicanos, donde señala que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"La seguridad pública es una función a cargo de la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Federación, las entidades federativas y los Municipios, que comprende la prevención de los delitos;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la investigación y persecución para hacerla efectiva, así como la sanción de las infracciones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administrativas, en los términos de la ley, en las respectivas competencias que esta Constitución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señala. La actuación de las instituciones de seguridad pública se regirá por los principios de legalidad, objetividad, eficiencia, profesionalismo, honradez y respeto a los derechos humanos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reconocidos en esta Constitución."</w:t>
      </w:r>
    </w:p>
    <w:p w:rsidR="009E1B0B" w:rsidRDefault="009E1B0B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Además, en el artículo 115 Fracción III de la Constitución Política de los Estados Unidos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Mexicanos, se establecen las funciones y servicios públicos que los Municipios deben brindar, de</w:t>
      </w:r>
      <w:r w:rsidR="009E1B0B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los cuales, uno de los más importantes es la Seguridad Pública.</w:t>
      </w:r>
    </w:p>
    <w:p w:rsidR="009E1B0B" w:rsidRPr="00035C57" w:rsidRDefault="009E1B0B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El artículo 2 de la Ley General Nacional de Seguridad Publica mandata lo siguiente:</w:t>
      </w:r>
    </w:p>
    <w:p w:rsidR="009E1B0B" w:rsidRPr="00035C57" w:rsidRDefault="009E1B0B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Italic"/>
          <w:i/>
          <w:iCs/>
          <w:sz w:val="26"/>
          <w:szCs w:val="26"/>
          <w:lang w:eastAsia="es-MX"/>
        </w:rPr>
      </w:pP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"La seguridad pública es una función a cargo de la Federación, los Estados y los Municipios, que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tiene como fines salvaguardar la integridad y derechos de las personas, así como preservar las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libertades, el orden y la paz pública y comprende la prevención especial y general de los delitos, la</w:t>
      </w:r>
      <w:r w:rsidR="009E1B0B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investigación para hacerla efectiva, la sanción de las infracciones administrativas, así como la</w:t>
      </w:r>
      <w:r w:rsidR="00141D76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investigación y la persecución de los delitos y la reinserción social del individuo, en términos de esta</w:t>
      </w:r>
      <w:r w:rsidR="00141D76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Ley, en las respectivas competencias establecidas en la Constitución Política de los Estados Unidos</w:t>
      </w:r>
      <w:r w:rsidR="00141D76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Mexicanos. El Estado desarrollara políticas en materia de prevención social del delito con carácter</w:t>
      </w:r>
      <w:r w:rsidR="00141D76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integral, sobre las causas que generan la comisión de delitos y conductas antisociales, así como</w:t>
      </w:r>
      <w:r w:rsidR="00141D76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programas y acciones para fomentar en la sociedad valores culturales y cívicos, que induzcan el</w:t>
      </w:r>
      <w:r w:rsidR="00141D76">
        <w:rPr>
          <w:rFonts w:ascii="Arial Narrow" w:hAnsi="Arial Narrow" w:cs="ArialNarrow-Italic"/>
          <w:i/>
          <w:iCs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-Italic"/>
          <w:i/>
          <w:iCs/>
          <w:sz w:val="26"/>
          <w:szCs w:val="26"/>
          <w:lang w:eastAsia="es-MX"/>
        </w:rPr>
        <w:t>respeto a la legalidad y a la protección de las víctimas."</w:t>
      </w:r>
    </w:p>
    <w:p w:rsidR="00141D76" w:rsidRPr="00035C57" w:rsidRDefault="00141D76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-Italic"/>
          <w:i/>
          <w:iCs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Ahora bien, es el caso, si los ciudadanos cumplen cabalmente con las obligaciones que se tienen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hacia el Estado, y la Autoridades no cumplen con una de las obligaciones básicas que consiste en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otorgar la seguridad pública; es obligación del Estado resarcir los daños ocasionados, es por lo que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se propone que las autoridades municipales y estatales condonen impuestos como el predial y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aquellos que se derivan del use de vehículos a los contribuyentes que se encuentren al corriente de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sus pagos en estos conceptos, los cuales hayan sido víctimas de robo a casa habitación, robo total o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parcial de vehículos, que presenten la denuncia correspondiente en tiempo y forma ante el Ministerio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Público correspondiente.</w:t>
      </w:r>
    </w:p>
    <w:p w:rsidR="00141D76" w:rsidRDefault="00141D76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El conocer y comprender los verdaderos problemas que nos afectan a la sociedad, da las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herramientas necesarias para establecer las leyes que los ciudadanos merecen.</w:t>
      </w:r>
    </w:p>
    <w:p w:rsidR="00141D76" w:rsidRDefault="00141D76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141D76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Para los ciudadanos es importante proteger nuestro patrimonio, pues nos ha costado con el sudor de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nuestra frente y nuestro trabajo diario, el miedo a que se cometa allanamiento o robo en nuestro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hogar es una preocupación permanente en nuestro Estado.</w:t>
      </w:r>
    </w:p>
    <w:p w:rsidR="00035C57" w:rsidRPr="00035C57" w:rsidRDefault="00035C57" w:rsidP="00035C57">
      <w:pPr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En Coahuila, los gobiernos municipales son los encargados de la recolección del impuesto predial.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Estos cuentan con diversos programas o incentivos con el fin de que los ciudadanos paguemos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dicho impuesto. Algunos otorgan ciertos porcentajes al pagar en una fecha determinada, otros,</w:t>
      </w:r>
      <w:r w:rsidR="00141D76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realizan sorteos de casas habitación o de autos,</w:t>
      </w:r>
    </w:p>
    <w:p w:rsidR="00ED6D12" w:rsidRPr="00035C57" w:rsidRDefault="00ED6D12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Pero un incentivo que realmente aumentaría la recaudación del impuesto predial está el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otorgamiento de pólizas de seguro para nuestras viviendas. Este incentivo seria uno de los más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atractivos para la ciudadanía, ya que el seguro duraría todo el año, reconfortaría la seguridad en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nuestros hogares, además del contar con una herramienta segura y confiable ante los eventos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inesperados como lo son incendios, inundaciones o robos, es primordial para la sociedad.</w:t>
      </w:r>
    </w:p>
    <w:p w:rsidR="00ED6D12" w:rsidRPr="00035C57" w:rsidRDefault="00ED6D12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Es bien sabido que lo recaudado del impuesto predial es de los mayores ingresos de los municipios,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y es de ese mismo ingreso que se podría retribuirle al ciudadano un seguro a su vivienda; con esta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reforma no se plantea obligar al municipio a que los rubros que comprenda la póliza de seguro sean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los mismos o específicos, si no que se le da la libertad de elegir </w:t>
      </w:r>
      <w:proofErr w:type="spellStart"/>
      <w:r w:rsidRPr="00035C57">
        <w:rPr>
          <w:rFonts w:ascii="Arial Narrow" w:hAnsi="Arial Narrow" w:cs="ArialNarrow"/>
          <w:sz w:val="26"/>
          <w:szCs w:val="26"/>
          <w:lang w:eastAsia="es-MX"/>
        </w:rPr>
        <w:t>cuales</w:t>
      </w:r>
      <w:proofErr w:type="spellEnd"/>
      <w:r w:rsidRPr="00035C57">
        <w:rPr>
          <w:rFonts w:ascii="Arial Narrow" w:hAnsi="Arial Narrow" w:cs="ArialNarrow"/>
          <w:sz w:val="26"/>
          <w:szCs w:val="26"/>
          <w:lang w:eastAsia="es-MX"/>
        </w:rPr>
        <w:t xml:space="preserve"> serán los incidentes que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abarquen los seguros, de acuerdo con el presupuesto de egresos de cada municipio.</w:t>
      </w:r>
    </w:p>
    <w:p w:rsidR="00ED6D12" w:rsidRPr="00035C57" w:rsidRDefault="00ED6D12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Default="00035C57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Una casa es una de las inversiones más importantes que realizamos a lo largo de nuestras vidas y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contar con un seguro es la manera más inteligente de proteger nuestro inmueble ante un accidente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que pueda estar fuera de nuestro control.</w:t>
      </w:r>
    </w:p>
    <w:p w:rsidR="00ED6D12" w:rsidRPr="00035C57" w:rsidRDefault="00ED6D12" w:rsidP="00035C57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035C57" w:rsidRDefault="00035C57" w:rsidP="00ED6D1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035C57">
        <w:rPr>
          <w:rFonts w:ascii="Arial Narrow" w:hAnsi="Arial Narrow" w:cs="ArialNarrow"/>
          <w:sz w:val="26"/>
          <w:szCs w:val="26"/>
          <w:lang w:eastAsia="es-MX"/>
        </w:rPr>
        <w:t>Por ello, es imprescindible que el estado y/o sus municipios puedan remediar o reparar el daño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ocasionado a sus ciudadanos cumplidores, es decir, aquellos ciudadanos que pagan sus impuestos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y que en dado caso de algún incidente como los anteriormente señalados, o por algún desastre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natural, etc… y denuncien, exista un seguro que cubra cierta cantidad de dinero para los daños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ocasionados a los hogares y pertenencias, y de igual manera existan ciertos beneficios para los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ciudadanos que presenten algún robo a su vehículo y estos afectados ya hayan cubierto sus</w:t>
      </w:r>
      <w:r w:rsidR="00ED6D12">
        <w:rPr>
          <w:rFonts w:ascii="Arial Narrow" w:hAnsi="Arial Narrow" w:cs="ArialNarrow"/>
          <w:sz w:val="26"/>
          <w:szCs w:val="26"/>
          <w:lang w:eastAsia="es-MX"/>
        </w:rPr>
        <w:t xml:space="preserve"> </w:t>
      </w:r>
      <w:r w:rsidRPr="00035C57">
        <w:rPr>
          <w:rFonts w:ascii="Arial Narrow" w:hAnsi="Arial Narrow" w:cs="ArialNarrow"/>
          <w:sz w:val="26"/>
          <w:szCs w:val="26"/>
          <w:lang w:eastAsia="es-MX"/>
        </w:rPr>
        <w:t>derechos de control vehicular y hayan interpuesto su denuncia a la autoridad correspondiente.</w:t>
      </w:r>
    </w:p>
    <w:p w:rsidR="00035C57" w:rsidRPr="00035C57" w:rsidRDefault="00035C57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535482" w:rsidRP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Agradezco su tiempo, comprensión y dedicación a esta propuesta, de igual manera quedo a su</w:t>
      </w:r>
    </w:p>
    <w:p w:rsid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disposición y en espera de retroalimentación.</w:t>
      </w:r>
    </w:p>
    <w:p w:rsidR="00535482" w:rsidRP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Muchas gracias!</w:t>
      </w:r>
    </w:p>
    <w:p w:rsidR="00535482" w:rsidRP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A T E N T A M E N T E.</w:t>
      </w:r>
    </w:p>
    <w:p w:rsid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535482" w:rsidRPr="00535482" w:rsidRDefault="00535482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535482" w:rsidRPr="00535482" w:rsidRDefault="00535482" w:rsidP="0053548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______________________________________</w:t>
      </w:r>
    </w:p>
    <w:p w:rsidR="00535482" w:rsidRPr="00535482" w:rsidRDefault="00535482" w:rsidP="0053548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C. Erick Rodrigo Valdez Rangel</w:t>
      </w:r>
    </w:p>
    <w:p w:rsidR="00035C57" w:rsidRPr="00535482" w:rsidRDefault="00535482" w:rsidP="0053548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Narrow"/>
          <w:sz w:val="26"/>
          <w:szCs w:val="26"/>
          <w:lang w:eastAsia="es-MX"/>
        </w:rPr>
      </w:pPr>
      <w:r w:rsidRPr="00535482">
        <w:rPr>
          <w:rFonts w:ascii="Arial Narrow" w:hAnsi="Arial Narrow" w:cs="ArialNarrow"/>
          <w:sz w:val="26"/>
          <w:szCs w:val="26"/>
          <w:lang w:eastAsia="es-MX"/>
        </w:rPr>
        <w:t>Hagámoslo Bien Por Coahuila</w:t>
      </w:r>
    </w:p>
    <w:p w:rsidR="00035C57" w:rsidRPr="00535482" w:rsidRDefault="00035C57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p w:rsidR="00035C57" w:rsidRPr="00535482" w:rsidRDefault="00035C57" w:rsidP="00535482">
      <w:pPr>
        <w:autoSpaceDE w:val="0"/>
        <w:autoSpaceDN w:val="0"/>
        <w:adjustRightInd w:val="0"/>
        <w:spacing w:line="360" w:lineRule="auto"/>
        <w:rPr>
          <w:rFonts w:ascii="Arial Narrow" w:hAnsi="Arial Narrow" w:cs="ArialNarrow"/>
          <w:sz w:val="26"/>
          <w:szCs w:val="26"/>
          <w:lang w:eastAsia="es-MX"/>
        </w:rPr>
      </w:pPr>
    </w:p>
    <w:sectPr w:rsidR="00035C57" w:rsidRPr="00535482" w:rsidSect="00A05194">
      <w:headerReference w:type="default" r:id="rId7"/>
      <w:pgSz w:w="12242" w:h="15842" w:code="1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73" w:rsidRDefault="00835173" w:rsidP="00CB400E">
      <w:r>
        <w:separator/>
      </w:r>
    </w:p>
  </w:endnote>
  <w:endnote w:type="continuationSeparator" w:id="0">
    <w:p w:rsidR="00835173" w:rsidRDefault="00835173" w:rsidP="00CB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73" w:rsidRDefault="00835173" w:rsidP="00CB400E">
      <w:r>
        <w:separator/>
      </w:r>
    </w:p>
  </w:footnote>
  <w:footnote w:type="continuationSeparator" w:id="0">
    <w:p w:rsidR="00835173" w:rsidRDefault="00835173" w:rsidP="00CB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92A3F" w:rsidRPr="00D775E4" w:rsidTr="00DC1C47">
      <w:trPr>
        <w:jc w:val="center"/>
      </w:trPr>
      <w:tc>
        <w:tcPr>
          <w:tcW w:w="1253" w:type="dxa"/>
        </w:tcPr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92A3F" w:rsidRPr="00815938" w:rsidRDefault="0002037E" w:rsidP="00392A3F">
          <w:pPr>
            <w:jc w:val="center"/>
            <w:rPr>
              <w:b/>
              <w:bCs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1100" cy="877570"/>
                <wp:effectExtent l="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2A3F" w:rsidRPr="002E1219" w:rsidRDefault="00392A3F" w:rsidP="00392A3F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92A3F" w:rsidRDefault="00392A3F" w:rsidP="00392A3F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92A3F" w:rsidRPr="00530EA8" w:rsidRDefault="00392A3F" w:rsidP="00392A3F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92A3F" w:rsidRPr="00D775E4" w:rsidRDefault="00392A3F" w:rsidP="007676FA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92A3F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</w:tc>
    </w:tr>
  </w:tbl>
  <w:p w:rsidR="00CB400E" w:rsidRDefault="00CB40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46" w:rsidRDefault="00DD14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4"/>
    <w:rsid w:val="0000693F"/>
    <w:rsid w:val="0002037E"/>
    <w:rsid w:val="000232A3"/>
    <w:rsid w:val="00034044"/>
    <w:rsid w:val="00035C57"/>
    <w:rsid w:val="00055993"/>
    <w:rsid w:val="000673EE"/>
    <w:rsid w:val="00075D65"/>
    <w:rsid w:val="00087B4F"/>
    <w:rsid w:val="000B3400"/>
    <w:rsid w:val="000B37DE"/>
    <w:rsid w:val="000D0348"/>
    <w:rsid w:val="000E0DFB"/>
    <w:rsid w:val="000E356B"/>
    <w:rsid w:val="000F3EA6"/>
    <w:rsid w:val="00105BD3"/>
    <w:rsid w:val="001179E6"/>
    <w:rsid w:val="0012516D"/>
    <w:rsid w:val="00136B0C"/>
    <w:rsid w:val="00136FE0"/>
    <w:rsid w:val="00141D76"/>
    <w:rsid w:val="00154404"/>
    <w:rsid w:val="0016076C"/>
    <w:rsid w:val="00184A5C"/>
    <w:rsid w:val="001928A3"/>
    <w:rsid w:val="0019608D"/>
    <w:rsid w:val="001A6BE9"/>
    <w:rsid w:val="001B5044"/>
    <w:rsid w:val="001D448E"/>
    <w:rsid w:val="001D5BBF"/>
    <w:rsid w:val="001E2A00"/>
    <w:rsid w:val="001E7C1D"/>
    <w:rsid w:val="001F46B7"/>
    <w:rsid w:val="001F6DB3"/>
    <w:rsid w:val="00201AC7"/>
    <w:rsid w:val="00211AB3"/>
    <w:rsid w:val="00221C19"/>
    <w:rsid w:val="0022416A"/>
    <w:rsid w:val="00225246"/>
    <w:rsid w:val="00231F2A"/>
    <w:rsid w:val="00251A44"/>
    <w:rsid w:val="002560F8"/>
    <w:rsid w:val="002605C4"/>
    <w:rsid w:val="00261A7D"/>
    <w:rsid w:val="0027515C"/>
    <w:rsid w:val="00276C91"/>
    <w:rsid w:val="0028246C"/>
    <w:rsid w:val="002B6C79"/>
    <w:rsid w:val="002C09F9"/>
    <w:rsid w:val="002C18D5"/>
    <w:rsid w:val="002D1657"/>
    <w:rsid w:val="0030434B"/>
    <w:rsid w:val="0031600E"/>
    <w:rsid w:val="00322BF4"/>
    <w:rsid w:val="00331FD5"/>
    <w:rsid w:val="00333F5A"/>
    <w:rsid w:val="00355B2A"/>
    <w:rsid w:val="0036270C"/>
    <w:rsid w:val="0036631A"/>
    <w:rsid w:val="003837E9"/>
    <w:rsid w:val="00385F19"/>
    <w:rsid w:val="00392A3F"/>
    <w:rsid w:val="003A37A4"/>
    <w:rsid w:val="003B1D94"/>
    <w:rsid w:val="003B698A"/>
    <w:rsid w:val="003D36DE"/>
    <w:rsid w:val="003E29CB"/>
    <w:rsid w:val="004015CB"/>
    <w:rsid w:val="0040786C"/>
    <w:rsid w:val="004127C7"/>
    <w:rsid w:val="004140D8"/>
    <w:rsid w:val="004153BA"/>
    <w:rsid w:val="00417B25"/>
    <w:rsid w:val="00422B3B"/>
    <w:rsid w:val="00424E2B"/>
    <w:rsid w:val="0043012E"/>
    <w:rsid w:val="0043758A"/>
    <w:rsid w:val="00440C07"/>
    <w:rsid w:val="00445018"/>
    <w:rsid w:val="0046434A"/>
    <w:rsid w:val="0046592D"/>
    <w:rsid w:val="004706A3"/>
    <w:rsid w:val="004708C6"/>
    <w:rsid w:val="004720A1"/>
    <w:rsid w:val="00490E91"/>
    <w:rsid w:val="004A5AF0"/>
    <w:rsid w:val="004C12E9"/>
    <w:rsid w:val="004C5096"/>
    <w:rsid w:val="004C5422"/>
    <w:rsid w:val="004D6466"/>
    <w:rsid w:val="004E67F2"/>
    <w:rsid w:val="00505584"/>
    <w:rsid w:val="00510C1A"/>
    <w:rsid w:val="005227F2"/>
    <w:rsid w:val="00531DE9"/>
    <w:rsid w:val="0053278E"/>
    <w:rsid w:val="00535482"/>
    <w:rsid w:val="00544D79"/>
    <w:rsid w:val="005603CB"/>
    <w:rsid w:val="00565523"/>
    <w:rsid w:val="00575B5A"/>
    <w:rsid w:val="005B07E5"/>
    <w:rsid w:val="005B0A24"/>
    <w:rsid w:val="005B22CC"/>
    <w:rsid w:val="005B64E4"/>
    <w:rsid w:val="005C185B"/>
    <w:rsid w:val="005D2461"/>
    <w:rsid w:val="005D7802"/>
    <w:rsid w:val="005E4DA0"/>
    <w:rsid w:val="005F1D2C"/>
    <w:rsid w:val="005F4472"/>
    <w:rsid w:val="0060097D"/>
    <w:rsid w:val="006133D3"/>
    <w:rsid w:val="00615BB4"/>
    <w:rsid w:val="006165E8"/>
    <w:rsid w:val="006212E6"/>
    <w:rsid w:val="006216C6"/>
    <w:rsid w:val="00632F70"/>
    <w:rsid w:val="006405B2"/>
    <w:rsid w:val="00653D35"/>
    <w:rsid w:val="00654343"/>
    <w:rsid w:val="006732C6"/>
    <w:rsid w:val="006735DE"/>
    <w:rsid w:val="00686F8D"/>
    <w:rsid w:val="0069181F"/>
    <w:rsid w:val="0069239A"/>
    <w:rsid w:val="0069413F"/>
    <w:rsid w:val="00695F59"/>
    <w:rsid w:val="006A2D24"/>
    <w:rsid w:val="006D1A04"/>
    <w:rsid w:val="006D5805"/>
    <w:rsid w:val="007234E2"/>
    <w:rsid w:val="007344A5"/>
    <w:rsid w:val="0075002F"/>
    <w:rsid w:val="007562EF"/>
    <w:rsid w:val="007610D4"/>
    <w:rsid w:val="0076303B"/>
    <w:rsid w:val="00763A3E"/>
    <w:rsid w:val="007676FA"/>
    <w:rsid w:val="0078236C"/>
    <w:rsid w:val="00782CA4"/>
    <w:rsid w:val="007907BC"/>
    <w:rsid w:val="007A11F5"/>
    <w:rsid w:val="007A3B25"/>
    <w:rsid w:val="007C2C2C"/>
    <w:rsid w:val="007C33BB"/>
    <w:rsid w:val="007C538E"/>
    <w:rsid w:val="007C5D39"/>
    <w:rsid w:val="007D1298"/>
    <w:rsid w:val="007E5B3E"/>
    <w:rsid w:val="007F6827"/>
    <w:rsid w:val="00805E75"/>
    <w:rsid w:val="00822028"/>
    <w:rsid w:val="00822152"/>
    <w:rsid w:val="00827816"/>
    <w:rsid w:val="00835173"/>
    <w:rsid w:val="008406D3"/>
    <w:rsid w:val="00841BA7"/>
    <w:rsid w:val="0085209A"/>
    <w:rsid w:val="00854B55"/>
    <w:rsid w:val="0086057F"/>
    <w:rsid w:val="0087163E"/>
    <w:rsid w:val="00881900"/>
    <w:rsid w:val="008866E0"/>
    <w:rsid w:val="008A36A3"/>
    <w:rsid w:val="008A516C"/>
    <w:rsid w:val="008B1700"/>
    <w:rsid w:val="008D2097"/>
    <w:rsid w:val="008E1876"/>
    <w:rsid w:val="00905411"/>
    <w:rsid w:val="00907968"/>
    <w:rsid w:val="00917E2C"/>
    <w:rsid w:val="009236BA"/>
    <w:rsid w:val="009248CC"/>
    <w:rsid w:val="009261AE"/>
    <w:rsid w:val="00953215"/>
    <w:rsid w:val="00957769"/>
    <w:rsid w:val="009773B1"/>
    <w:rsid w:val="009833EC"/>
    <w:rsid w:val="0098519A"/>
    <w:rsid w:val="00985CB6"/>
    <w:rsid w:val="009977CE"/>
    <w:rsid w:val="009A5A51"/>
    <w:rsid w:val="009D15CE"/>
    <w:rsid w:val="009D4D25"/>
    <w:rsid w:val="009D5856"/>
    <w:rsid w:val="009E1B0B"/>
    <w:rsid w:val="009F772A"/>
    <w:rsid w:val="00A02AE9"/>
    <w:rsid w:val="00A05194"/>
    <w:rsid w:val="00A15239"/>
    <w:rsid w:val="00A4532B"/>
    <w:rsid w:val="00A45814"/>
    <w:rsid w:val="00A55B93"/>
    <w:rsid w:val="00A577BE"/>
    <w:rsid w:val="00A631AE"/>
    <w:rsid w:val="00AA5602"/>
    <w:rsid w:val="00AA672F"/>
    <w:rsid w:val="00AB7453"/>
    <w:rsid w:val="00AC45E5"/>
    <w:rsid w:val="00AC49ED"/>
    <w:rsid w:val="00AC573B"/>
    <w:rsid w:val="00AD263C"/>
    <w:rsid w:val="00AD3DAB"/>
    <w:rsid w:val="00AD4330"/>
    <w:rsid w:val="00AD5ECD"/>
    <w:rsid w:val="00AE1F0E"/>
    <w:rsid w:val="00B01405"/>
    <w:rsid w:val="00B0372D"/>
    <w:rsid w:val="00B03821"/>
    <w:rsid w:val="00B07EBA"/>
    <w:rsid w:val="00B11B92"/>
    <w:rsid w:val="00B23715"/>
    <w:rsid w:val="00B265EF"/>
    <w:rsid w:val="00B37A77"/>
    <w:rsid w:val="00B4553A"/>
    <w:rsid w:val="00B46644"/>
    <w:rsid w:val="00B64E7E"/>
    <w:rsid w:val="00B7407F"/>
    <w:rsid w:val="00B76B89"/>
    <w:rsid w:val="00B87383"/>
    <w:rsid w:val="00BC53DB"/>
    <w:rsid w:val="00BD0122"/>
    <w:rsid w:val="00BD0376"/>
    <w:rsid w:val="00BD5BA7"/>
    <w:rsid w:val="00BE2236"/>
    <w:rsid w:val="00BE2C85"/>
    <w:rsid w:val="00BF332B"/>
    <w:rsid w:val="00BF68EB"/>
    <w:rsid w:val="00C1183C"/>
    <w:rsid w:val="00C27EF6"/>
    <w:rsid w:val="00C334FA"/>
    <w:rsid w:val="00C354A6"/>
    <w:rsid w:val="00C456F8"/>
    <w:rsid w:val="00C55CE6"/>
    <w:rsid w:val="00C73172"/>
    <w:rsid w:val="00C74037"/>
    <w:rsid w:val="00C83C32"/>
    <w:rsid w:val="00C8590F"/>
    <w:rsid w:val="00C951FB"/>
    <w:rsid w:val="00CA4484"/>
    <w:rsid w:val="00CA622B"/>
    <w:rsid w:val="00CB400E"/>
    <w:rsid w:val="00CB64FA"/>
    <w:rsid w:val="00CC175A"/>
    <w:rsid w:val="00CC2142"/>
    <w:rsid w:val="00CD0C71"/>
    <w:rsid w:val="00CD2981"/>
    <w:rsid w:val="00CD7BDF"/>
    <w:rsid w:val="00CF0E94"/>
    <w:rsid w:val="00D227F7"/>
    <w:rsid w:val="00D32A69"/>
    <w:rsid w:val="00D4215C"/>
    <w:rsid w:val="00D44535"/>
    <w:rsid w:val="00D745B1"/>
    <w:rsid w:val="00D8004A"/>
    <w:rsid w:val="00D96800"/>
    <w:rsid w:val="00DA1FFF"/>
    <w:rsid w:val="00DA4367"/>
    <w:rsid w:val="00DA7DA2"/>
    <w:rsid w:val="00DC1C47"/>
    <w:rsid w:val="00DC718D"/>
    <w:rsid w:val="00DD1446"/>
    <w:rsid w:val="00DD1B74"/>
    <w:rsid w:val="00DD5308"/>
    <w:rsid w:val="00DE004F"/>
    <w:rsid w:val="00DE4319"/>
    <w:rsid w:val="00DE73E8"/>
    <w:rsid w:val="00DE7959"/>
    <w:rsid w:val="00E00933"/>
    <w:rsid w:val="00E01B2C"/>
    <w:rsid w:val="00E13ED3"/>
    <w:rsid w:val="00E167EF"/>
    <w:rsid w:val="00E2211E"/>
    <w:rsid w:val="00E33515"/>
    <w:rsid w:val="00E415F6"/>
    <w:rsid w:val="00E43EC3"/>
    <w:rsid w:val="00E554A6"/>
    <w:rsid w:val="00E55EEE"/>
    <w:rsid w:val="00E66F53"/>
    <w:rsid w:val="00E7106C"/>
    <w:rsid w:val="00E7759E"/>
    <w:rsid w:val="00E80865"/>
    <w:rsid w:val="00E83B83"/>
    <w:rsid w:val="00E863D6"/>
    <w:rsid w:val="00E92263"/>
    <w:rsid w:val="00EC1658"/>
    <w:rsid w:val="00EC7457"/>
    <w:rsid w:val="00ED4B2A"/>
    <w:rsid w:val="00ED647D"/>
    <w:rsid w:val="00ED6D12"/>
    <w:rsid w:val="00F20C3C"/>
    <w:rsid w:val="00F22823"/>
    <w:rsid w:val="00F22FEE"/>
    <w:rsid w:val="00F314D5"/>
    <w:rsid w:val="00F405F1"/>
    <w:rsid w:val="00F429C5"/>
    <w:rsid w:val="00F54499"/>
    <w:rsid w:val="00F579DB"/>
    <w:rsid w:val="00F622E5"/>
    <w:rsid w:val="00F65D14"/>
    <w:rsid w:val="00F91EC9"/>
    <w:rsid w:val="00F93155"/>
    <w:rsid w:val="00FA0966"/>
    <w:rsid w:val="00FA1124"/>
    <w:rsid w:val="00FC1694"/>
    <w:rsid w:val="00FD574B"/>
    <w:rsid w:val="00FE4699"/>
    <w:rsid w:val="00FE7585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212B2"/>
  <w14:defaultImageDpi w14:val="0"/>
  <w15:chartTrackingRefBased/>
  <w15:docId w15:val="{A269596A-EC31-4576-9E5A-804F1CE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3F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2A3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92A3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92A3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92A3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92A3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92A3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92A3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92A3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92A3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2A3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392A3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2A3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92A3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92A3F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392A3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92A3F"/>
    <w:rPr>
      <w:rFonts w:ascii="Arial" w:hAnsi="Arial"/>
      <w:b/>
      <w:sz w:val="22"/>
      <w:lang w:eastAsia="es-ES"/>
    </w:rPr>
  </w:style>
  <w:style w:type="character" w:customStyle="1" w:styleId="Ttulo2Car">
    <w:name w:val="Título 2 Car"/>
    <w:link w:val="Ttulo2"/>
    <w:rsid w:val="00392A3F"/>
    <w:rPr>
      <w:rFonts w:ascii="Arial" w:hAnsi="Arial"/>
      <w:b/>
      <w:lang w:eastAsia="es-ES"/>
    </w:rPr>
  </w:style>
  <w:style w:type="character" w:customStyle="1" w:styleId="Ttulo3Car">
    <w:name w:val="Título 3 Car"/>
    <w:link w:val="Ttulo3"/>
    <w:rsid w:val="00392A3F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rsid w:val="00392A3F"/>
    <w:rPr>
      <w:rFonts w:ascii="Arial" w:hAnsi="Arial"/>
      <w:b/>
      <w:sz w:val="36"/>
      <w:lang w:eastAsia="es-ES"/>
    </w:rPr>
  </w:style>
  <w:style w:type="character" w:customStyle="1" w:styleId="Ttulo5Car">
    <w:name w:val="Título 5 Car"/>
    <w:link w:val="Ttulo5"/>
    <w:rsid w:val="00392A3F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92A3F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392A3F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392A3F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392A3F"/>
    <w:rPr>
      <w:rFonts w:ascii="Arial" w:hAnsi="Arial"/>
      <w:b/>
      <w:sz w:val="36"/>
      <w:lang w:eastAsia="es-ES"/>
    </w:rPr>
  </w:style>
  <w:style w:type="table" w:customStyle="1" w:styleId="Tablaconcuadrcula126">
    <w:name w:val="Tabla con cuadrícula126"/>
    <w:basedOn w:val="Tablanormal"/>
    <w:next w:val="Tablaconcuadrcula"/>
    <w:uiPriority w:val="39"/>
    <w:rsid w:val="004015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0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2963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cp:lastModifiedBy>Juan Lumbreras</cp:lastModifiedBy>
  <cp:revision>4</cp:revision>
  <cp:lastPrinted>2020-02-12T17:37:00Z</cp:lastPrinted>
  <dcterms:created xsi:type="dcterms:W3CDTF">2020-06-01T02:45:00Z</dcterms:created>
  <dcterms:modified xsi:type="dcterms:W3CDTF">2020-06-17T18:44:00Z</dcterms:modified>
</cp:coreProperties>
</file>