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0D8E" w14:textId="3F8E724C" w:rsidR="00770345" w:rsidRPr="00770345" w:rsidRDefault="00770345" w:rsidP="00770345">
      <w:pPr>
        <w:rPr>
          <w:rFonts w:ascii="Arial Narrow" w:hAnsi="Arial Narrow"/>
          <w:color w:val="000000"/>
          <w:sz w:val="28"/>
          <w:szCs w:val="28"/>
        </w:rPr>
      </w:pPr>
    </w:p>
    <w:p w14:paraId="56C3B0BD" w14:textId="2C60286A" w:rsidR="00770345" w:rsidRPr="00770345" w:rsidRDefault="00770345" w:rsidP="00770345">
      <w:pPr>
        <w:rPr>
          <w:rFonts w:ascii="Arial Narrow" w:hAnsi="Arial Narrow"/>
          <w:color w:val="000000"/>
          <w:sz w:val="28"/>
          <w:szCs w:val="28"/>
        </w:rPr>
      </w:pPr>
    </w:p>
    <w:p w14:paraId="7FFB379B" w14:textId="639131FD" w:rsidR="00770345" w:rsidRPr="00770345" w:rsidRDefault="00770345" w:rsidP="00770345">
      <w:pPr>
        <w:rPr>
          <w:rFonts w:ascii="Arial Narrow" w:hAnsi="Arial Narrow"/>
          <w:color w:val="000000"/>
          <w:sz w:val="28"/>
          <w:szCs w:val="28"/>
        </w:rPr>
      </w:pPr>
    </w:p>
    <w:p w14:paraId="54379A57" w14:textId="407554BA" w:rsidR="00770345" w:rsidRDefault="00770345" w:rsidP="00770345">
      <w:pPr>
        <w:rPr>
          <w:rFonts w:ascii="Arial Narrow" w:hAnsi="Arial Narrow"/>
          <w:b/>
          <w:color w:val="000000"/>
          <w:sz w:val="28"/>
          <w:szCs w:val="28"/>
        </w:rPr>
      </w:pPr>
      <w:r w:rsidRPr="009A406D">
        <w:rPr>
          <w:rFonts w:ascii="Arial Narrow" w:hAnsi="Arial Narrow"/>
          <w:color w:val="000000"/>
          <w:sz w:val="28"/>
          <w:szCs w:val="28"/>
        </w:rPr>
        <w:t xml:space="preserve">Iniciativa con Proyecto de Decreto </w:t>
      </w:r>
      <w:r w:rsidRPr="00770345">
        <w:rPr>
          <w:rFonts w:ascii="Arial Narrow" w:hAnsi="Arial Narrow"/>
          <w:color w:val="000000"/>
          <w:sz w:val="28"/>
          <w:szCs w:val="28"/>
        </w:rPr>
        <w:t xml:space="preserve">por la que  se  modifica el contenido del artículo 17 y el contenido de la fracción VI del Artículo 34, de la </w:t>
      </w:r>
      <w:r w:rsidRPr="00770345">
        <w:rPr>
          <w:rFonts w:ascii="Arial Narrow" w:hAnsi="Arial Narrow"/>
          <w:b/>
          <w:color w:val="000000"/>
          <w:sz w:val="28"/>
          <w:szCs w:val="28"/>
        </w:rPr>
        <w:t>Ley de Adquisiciones, Arrendamientos y Contratación de Servicios  para el Estado de Coahuila de Zaragoza</w:t>
      </w:r>
      <w:r>
        <w:rPr>
          <w:rFonts w:ascii="Arial Narrow" w:hAnsi="Arial Narrow"/>
          <w:b/>
          <w:color w:val="000000"/>
          <w:sz w:val="28"/>
          <w:szCs w:val="28"/>
        </w:rPr>
        <w:t>.</w:t>
      </w:r>
    </w:p>
    <w:p w14:paraId="70403324" w14:textId="69F6E888" w:rsidR="00770345" w:rsidRDefault="00770345" w:rsidP="00770345">
      <w:pPr>
        <w:rPr>
          <w:rFonts w:ascii="Arial Narrow" w:hAnsi="Arial Narrow"/>
          <w:b/>
          <w:color w:val="000000"/>
          <w:sz w:val="28"/>
          <w:szCs w:val="28"/>
        </w:rPr>
      </w:pPr>
    </w:p>
    <w:p w14:paraId="10143995" w14:textId="4CE7ACC4" w:rsidR="00770345" w:rsidRPr="00770345" w:rsidRDefault="00770345" w:rsidP="00770345">
      <w:pPr>
        <w:numPr>
          <w:ilvl w:val="0"/>
          <w:numId w:val="6"/>
        </w:numPr>
        <w:rPr>
          <w:rFonts w:ascii="Arial Narrow" w:hAnsi="Arial Narrow"/>
          <w:b/>
          <w:color w:val="000000"/>
          <w:sz w:val="28"/>
          <w:szCs w:val="28"/>
        </w:rPr>
      </w:pPr>
      <w:r w:rsidRPr="00770345">
        <w:rPr>
          <w:rFonts w:ascii="Arial Narrow" w:hAnsi="Arial Narrow"/>
          <w:b/>
          <w:color w:val="000000"/>
          <w:sz w:val="28"/>
          <w:szCs w:val="28"/>
        </w:rPr>
        <w:t>Relativo a considerar preferencias en las contrataciones y adquisiciones a las empresas que empleen a personas con discapacidad y/o apliquen y practiquen  políticas de igualdad de género.</w:t>
      </w:r>
    </w:p>
    <w:p w14:paraId="40439E5F" w14:textId="77777777" w:rsidR="00770345" w:rsidRPr="00770345" w:rsidRDefault="00770345" w:rsidP="00770345">
      <w:pPr>
        <w:rPr>
          <w:rFonts w:ascii="Arial Narrow" w:hAnsi="Arial Narrow"/>
          <w:b/>
          <w:color w:val="000000"/>
          <w:sz w:val="28"/>
          <w:szCs w:val="28"/>
        </w:rPr>
      </w:pPr>
    </w:p>
    <w:p w14:paraId="5AAAD1E6" w14:textId="659D8C07" w:rsidR="00770345" w:rsidRDefault="00770345" w:rsidP="00770345">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la </w:t>
      </w:r>
      <w:r w:rsidRPr="00F347DA">
        <w:rPr>
          <w:rFonts w:ascii="Arial Narrow" w:hAnsi="Arial Narrow"/>
          <w:b/>
          <w:color w:val="000000"/>
          <w:sz w:val="28"/>
          <w:szCs w:val="28"/>
        </w:rPr>
        <w:t>Diputad</w:t>
      </w:r>
      <w:r>
        <w:rPr>
          <w:rFonts w:ascii="Arial Narrow" w:hAnsi="Arial Narrow"/>
          <w:b/>
          <w:color w:val="000000"/>
          <w:sz w:val="28"/>
          <w:szCs w:val="28"/>
        </w:rPr>
        <w:t>a</w:t>
      </w:r>
      <w:r w:rsidRPr="00F347DA">
        <w:rPr>
          <w:rFonts w:ascii="Arial Narrow" w:hAnsi="Arial Narrow"/>
          <w:b/>
          <w:color w:val="000000"/>
          <w:sz w:val="28"/>
          <w:szCs w:val="28"/>
        </w:rPr>
        <w:t xml:space="preserve"> </w:t>
      </w:r>
      <w:r w:rsidRPr="00770345">
        <w:rPr>
          <w:rFonts w:ascii="Arial Narrow" w:hAnsi="Arial Narrow"/>
          <w:b/>
          <w:color w:val="000000"/>
          <w:sz w:val="28"/>
          <w:szCs w:val="28"/>
        </w:rPr>
        <w:t xml:space="preserve">Blanca </w:t>
      </w:r>
      <w:proofErr w:type="spellStart"/>
      <w:r w:rsidRPr="00770345">
        <w:rPr>
          <w:rFonts w:ascii="Arial Narrow" w:hAnsi="Arial Narrow"/>
          <w:b/>
          <w:color w:val="000000"/>
          <w:sz w:val="28"/>
          <w:szCs w:val="28"/>
        </w:rPr>
        <w:t>Eppen</w:t>
      </w:r>
      <w:proofErr w:type="spellEnd"/>
      <w:r w:rsidRPr="00770345">
        <w:rPr>
          <w:rFonts w:ascii="Arial Narrow" w:hAnsi="Arial Narrow"/>
          <w:b/>
          <w:color w:val="000000"/>
          <w:sz w:val="28"/>
          <w:szCs w:val="28"/>
        </w:rPr>
        <w:t xml:space="preserve"> Canales</w:t>
      </w:r>
      <w:r>
        <w:rPr>
          <w:rFonts w:ascii="Arial Narrow" w:hAnsi="Arial Narrow"/>
          <w:b/>
          <w:color w:val="000000"/>
          <w:sz w:val="28"/>
          <w:szCs w:val="28"/>
        </w:rPr>
        <w:t>,</w:t>
      </w:r>
      <w:r w:rsidRPr="00B13779">
        <w:rPr>
          <w:rFonts w:ascii="Arial Narrow" w:hAnsi="Arial Narrow"/>
          <w:b/>
          <w:color w:val="000000"/>
          <w:sz w:val="28"/>
          <w:szCs w:val="28"/>
        </w:rPr>
        <w:t xml:space="preserve"> </w:t>
      </w:r>
      <w:r w:rsidRPr="00B13779">
        <w:rPr>
          <w:rFonts w:ascii="Arial Narrow" w:hAnsi="Arial Narrow"/>
          <w:color w:val="000000"/>
          <w:sz w:val="28"/>
          <w:szCs w:val="28"/>
        </w:rPr>
        <w:t>del Grupo</w:t>
      </w:r>
      <w:r w:rsidRPr="00EE6FB0">
        <w:rPr>
          <w:rFonts w:ascii="Arial Narrow" w:hAnsi="Arial Narrow"/>
          <w:color w:val="000000"/>
          <w:sz w:val="28"/>
          <w:szCs w:val="28"/>
        </w:rPr>
        <w:t xml:space="preserve"> Parlamentario “Del Partido Acción Nacional”, conjuntamente con las demás Diputadas y Diputados que la suscriben.</w:t>
      </w:r>
    </w:p>
    <w:p w14:paraId="66433879" w14:textId="77777777" w:rsidR="00770345" w:rsidRPr="00EE6FB0" w:rsidRDefault="00770345" w:rsidP="00770345">
      <w:pPr>
        <w:rPr>
          <w:rFonts w:ascii="Arial Narrow" w:hAnsi="Arial Narrow"/>
          <w:color w:val="000000"/>
          <w:sz w:val="28"/>
          <w:szCs w:val="28"/>
        </w:rPr>
      </w:pPr>
    </w:p>
    <w:p w14:paraId="3BDA6495" w14:textId="241EC458" w:rsidR="00770345" w:rsidRPr="00EE6FB0" w:rsidRDefault="00770345" w:rsidP="00770345">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04</w:t>
      </w:r>
      <w:r w:rsidRPr="00493510">
        <w:rPr>
          <w:rFonts w:ascii="Arial Narrow" w:hAnsi="Arial Narrow"/>
          <w:b/>
          <w:color w:val="000000"/>
          <w:sz w:val="28"/>
          <w:szCs w:val="28"/>
        </w:rPr>
        <w:t xml:space="preserve"> de </w:t>
      </w:r>
      <w:r>
        <w:rPr>
          <w:rFonts w:ascii="Arial Narrow" w:hAnsi="Arial Narrow"/>
          <w:b/>
          <w:color w:val="000000"/>
          <w:sz w:val="28"/>
          <w:szCs w:val="28"/>
        </w:rPr>
        <w:t xml:space="preserve">Diciembre </w:t>
      </w:r>
      <w:r w:rsidRPr="00493510">
        <w:rPr>
          <w:rFonts w:ascii="Arial Narrow" w:hAnsi="Arial Narrow"/>
          <w:b/>
          <w:color w:val="000000"/>
          <w:sz w:val="28"/>
          <w:szCs w:val="28"/>
        </w:rPr>
        <w:t>de 2018</w:t>
      </w:r>
      <w:r w:rsidRPr="00EE6FB0">
        <w:rPr>
          <w:rFonts w:ascii="Arial Narrow" w:hAnsi="Arial Narrow"/>
          <w:b/>
          <w:color w:val="000000"/>
          <w:sz w:val="28"/>
          <w:szCs w:val="28"/>
        </w:rPr>
        <w:t>.</w:t>
      </w:r>
    </w:p>
    <w:p w14:paraId="44516DD0" w14:textId="77777777" w:rsidR="00770345" w:rsidRPr="00EE6FB0" w:rsidRDefault="00770345" w:rsidP="00770345">
      <w:pPr>
        <w:rPr>
          <w:rFonts w:ascii="Arial Narrow" w:hAnsi="Arial Narrow" w:cs="Arial"/>
          <w:sz w:val="28"/>
          <w:szCs w:val="28"/>
        </w:rPr>
      </w:pPr>
    </w:p>
    <w:p w14:paraId="02EE9B8F" w14:textId="3FA5327B" w:rsidR="00770345" w:rsidRDefault="00770345" w:rsidP="00770345">
      <w:pPr>
        <w:widowControl w:val="0"/>
        <w:rPr>
          <w:rFonts w:ascii="Arial Narrow" w:hAnsi="Arial Narrow" w:cs="Arial"/>
          <w:b/>
          <w:snapToGrid w:val="0"/>
          <w:sz w:val="28"/>
        </w:rPr>
      </w:pPr>
      <w:r w:rsidRPr="00764594">
        <w:rPr>
          <w:rFonts w:ascii="Arial Narrow" w:hAnsi="Arial Narrow"/>
          <w:color w:val="000000"/>
          <w:sz w:val="28"/>
          <w:szCs w:val="28"/>
        </w:rPr>
        <w:t>Turnada a la</w:t>
      </w:r>
      <w:r>
        <w:rPr>
          <w:rFonts w:ascii="Arial Narrow" w:hAnsi="Arial Narrow"/>
          <w:color w:val="000000"/>
          <w:sz w:val="28"/>
          <w:szCs w:val="28"/>
        </w:rPr>
        <w:t xml:space="preserve"> </w:t>
      </w:r>
      <w:r w:rsidRPr="00F347DA">
        <w:rPr>
          <w:rFonts w:ascii="Arial Narrow" w:hAnsi="Arial Narrow" w:cs="Arial"/>
          <w:b/>
          <w:snapToGrid w:val="0"/>
          <w:sz w:val="28"/>
        </w:rPr>
        <w:t>Comis</w:t>
      </w:r>
      <w:r>
        <w:rPr>
          <w:rFonts w:ascii="Arial Narrow" w:hAnsi="Arial Narrow" w:cs="Arial"/>
          <w:b/>
          <w:snapToGrid w:val="0"/>
          <w:sz w:val="28"/>
        </w:rPr>
        <w:t xml:space="preserve">ión </w:t>
      </w:r>
      <w:r w:rsidRPr="00F347DA">
        <w:rPr>
          <w:rFonts w:ascii="Arial Narrow" w:hAnsi="Arial Narrow" w:cs="Arial"/>
          <w:b/>
          <w:snapToGrid w:val="0"/>
          <w:sz w:val="28"/>
        </w:rPr>
        <w:t xml:space="preserve">de </w:t>
      </w:r>
      <w:r>
        <w:rPr>
          <w:rFonts w:ascii="Arial Narrow" w:hAnsi="Arial Narrow" w:cs="Arial"/>
          <w:b/>
          <w:snapToGrid w:val="0"/>
          <w:sz w:val="28"/>
        </w:rPr>
        <w:t>Finanzas.</w:t>
      </w:r>
    </w:p>
    <w:p w14:paraId="16D26C02" w14:textId="77777777" w:rsidR="00770345" w:rsidRDefault="00770345" w:rsidP="00770345">
      <w:pPr>
        <w:rPr>
          <w:rFonts w:ascii="Arial Narrow" w:hAnsi="Arial Narrow"/>
          <w:color w:val="000000"/>
          <w:sz w:val="28"/>
          <w:szCs w:val="28"/>
        </w:rPr>
      </w:pPr>
    </w:p>
    <w:p w14:paraId="10C453C2" w14:textId="77777777" w:rsidR="00E66C43" w:rsidRPr="00F71E8A" w:rsidRDefault="00E66C43" w:rsidP="00E66C43">
      <w:pPr>
        <w:rPr>
          <w:rFonts w:ascii="Arial Narrow" w:hAnsi="Arial Narrow"/>
          <w:b/>
          <w:color w:val="000000"/>
          <w:sz w:val="28"/>
          <w:szCs w:val="28"/>
        </w:rPr>
      </w:pPr>
      <w:r w:rsidRPr="00F71E8A">
        <w:rPr>
          <w:rFonts w:ascii="Arial Narrow" w:hAnsi="Arial Narrow"/>
          <w:b/>
          <w:color w:val="000000"/>
          <w:sz w:val="28"/>
          <w:szCs w:val="28"/>
        </w:rPr>
        <w:t>Fecha del Dictamen:</w:t>
      </w:r>
      <w:r>
        <w:rPr>
          <w:rFonts w:ascii="Arial Narrow" w:hAnsi="Arial Narrow"/>
          <w:b/>
          <w:color w:val="000000"/>
          <w:sz w:val="28"/>
          <w:szCs w:val="28"/>
        </w:rPr>
        <w:t xml:space="preserve"> 23 de Diciembre de 2020.</w:t>
      </w:r>
    </w:p>
    <w:p w14:paraId="56CDE682" w14:textId="77777777" w:rsidR="00E66C43" w:rsidRPr="00F71E8A" w:rsidRDefault="00E66C43" w:rsidP="00E66C43">
      <w:pPr>
        <w:rPr>
          <w:rFonts w:ascii="Arial Narrow" w:hAnsi="Arial Narrow"/>
          <w:b/>
          <w:color w:val="000000"/>
          <w:sz w:val="28"/>
          <w:szCs w:val="28"/>
        </w:rPr>
      </w:pPr>
    </w:p>
    <w:p w14:paraId="3410E96F" w14:textId="77777777" w:rsidR="00E66C43" w:rsidRPr="00EE6FB0" w:rsidRDefault="00E66C43" w:rsidP="00E66C43">
      <w:pPr>
        <w:rPr>
          <w:rFonts w:ascii="Arial Narrow" w:hAnsi="Arial Narrow"/>
          <w:b/>
          <w:color w:val="000000"/>
          <w:sz w:val="28"/>
          <w:szCs w:val="28"/>
        </w:rPr>
      </w:pPr>
      <w:r w:rsidRPr="00EE6FB0">
        <w:rPr>
          <w:rFonts w:ascii="Arial Narrow" w:hAnsi="Arial Narrow"/>
          <w:b/>
          <w:color w:val="000000"/>
          <w:sz w:val="28"/>
          <w:szCs w:val="28"/>
        </w:rPr>
        <w:t xml:space="preserve">Decreto No. </w:t>
      </w:r>
      <w:r>
        <w:rPr>
          <w:rFonts w:ascii="Arial Narrow" w:hAnsi="Arial Narrow"/>
          <w:b/>
          <w:color w:val="000000"/>
          <w:sz w:val="28"/>
          <w:szCs w:val="28"/>
        </w:rPr>
        <w:t>910</w:t>
      </w:r>
    </w:p>
    <w:p w14:paraId="07D829DC" w14:textId="77777777" w:rsidR="00E66C43" w:rsidRPr="00EE6FB0" w:rsidRDefault="00E66C43" w:rsidP="00E66C43">
      <w:pPr>
        <w:rPr>
          <w:rFonts w:ascii="Arial Narrow" w:hAnsi="Arial Narrow"/>
          <w:b/>
          <w:color w:val="000000"/>
          <w:sz w:val="28"/>
          <w:szCs w:val="28"/>
        </w:rPr>
      </w:pPr>
    </w:p>
    <w:p w14:paraId="4B71A298" w14:textId="77777777" w:rsidR="00CD4973" w:rsidRPr="009419E0" w:rsidRDefault="00CD4973" w:rsidP="00CD4973">
      <w:pPr>
        <w:rPr>
          <w:rFonts w:ascii="Arial Narrow" w:hAnsi="Arial Narrow" w:cs="Arial"/>
          <w:b/>
          <w:color w:val="000000"/>
          <w:sz w:val="26"/>
          <w:szCs w:val="26"/>
        </w:rPr>
      </w:pPr>
      <w:r w:rsidRPr="009419E0">
        <w:rPr>
          <w:rFonts w:ascii="Arial Narrow" w:hAnsi="Arial Narrow"/>
          <w:color w:val="000000"/>
          <w:sz w:val="26"/>
          <w:szCs w:val="26"/>
        </w:rPr>
        <w:t>Publicación en el Periódico Oficial del Gobierno del Estado:</w:t>
      </w:r>
      <w:r w:rsidRPr="00F0604E">
        <w:rPr>
          <w:rFonts w:ascii="Arial Narrow" w:hAnsi="Arial Narrow"/>
          <w:b/>
          <w:color w:val="000000"/>
          <w:sz w:val="26"/>
          <w:szCs w:val="26"/>
        </w:rPr>
        <w:t xml:space="preserve"> </w:t>
      </w:r>
      <w:r w:rsidRPr="009419E0">
        <w:rPr>
          <w:rFonts w:ascii="Arial Narrow" w:hAnsi="Arial Narrow" w:cs="Arial"/>
          <w:b/>
          <w:color w:val="000000"/>
          <w:sz w:val="26"/>
          <w:szCs w:val="26"/>
        </w:rPr>
        <w:t xml:space="preserve">P.O. </w:t>
      </w:r>
      <w:r>
        <w:rPr>
          <w:rFonts w:ascii="Arial Narrow" w:hAnsi="Arial Narrow" w:cs="Arial"/>
          <w:b/>
          <w:color w:val="000000"/>
          <w:sz w:val="26"/>
          <w:szCs w:val="26"/>
        </w:rPr>
        <w:t>13</w:t>
      </w:r>
      <w:r w:rsidRPr="009419E0">
        <w:rPr>
          <w:rFonts w:ascii="Arial Narrow" w:hAnsi="Arial Narrow" w:cs="Arial"/>
          <w:b/>
          <w:color w:val="000000"/>
          <w:sz w:val="26"/>
          <w:szCs w:val="26"/>
        </w:rPr>
        <w:t xml:space="preserve"> - </w:t>
      </w:r>
      <w:r>
        <w:rPr>
          <w:rFonts w:ascii="Arial Narrow" w:hAnsi="Arial Narrow" w:cs="Arial"/>
          <w:b/>
          <w:color w:val="000000"/>
          <w:sz w:val="26"/>
          <w:szCs w:val="26"/>
        </w:rPr>
        <w:t>12</w:t>
      </w:r>
      <w:r w:rsidRPr="009419E0">
        <w:rPr>
          <w:rFonts w:ascii="Arial Narrow" w:hAnsi="Arial Narrow" w:cs="Arial"/>
          <w:b/>
          <w:color w:val="000000"/>
          <w:sz w:val="26"/>
          <w:szCs w:val="26"/>
        </w:rPr>
        <w:t xml:space="preserve"> de </w:t>
      </w:r>
      <w:r>
        <w:rPr>
          <w:rFonts w:ascii="Arial Narrow" w:hAnsi="Arial Narrow" w:cs="Arial"/>
          <w:b/>
          <w:color w:val="000000"/>
          <w:sz w:val="26"/>
          <w:szCs w:val="26"/>
        </w:rPr>
        <w:t>Febrero</w:t>
      </w:r>
      <w:r w:rsidRPr="009419E0">
        <w:rPr>
          <w:rFonts w:ascii="Arial Narrow" w:hAnsi="Arial Narrow" w:cs="Arial"/>
          <w:b/>
          <w:color w:val="000000"/>
          <w:sz w:val="26"/>
          <w:szCs w:val="26"/>
        </w:rPr>
        <w:t xml:space="preserve"> de 2021</w:t>
      </w:r>
      <w:r>
        <w:rPr>
          <w:rFonts w:ascii="Arial Narrow" w:hAnsi="Arial Narrow"/>
          <w:b/>
          <w:color w:val="000000"/>
          <w:sz w:val="26"/>
          <w:szCs w:val="26"/>
        </w:rPr>
        <w:t>.</w:t>
      </w:r>
    </w:p>
    <w:p w14:paraId="2A91DE01" w14:textId="77777777" w:rsidR="00770345" w:rsidRDefault="00770345" w:rsidP="00E65920">
      <w:pPr>
        <w:spacing w:before="120" w:after="120" w:line="360" w:lineRule="auto"/>
        <w:rPr>
          <w:rFonts w:cstheme="minorHAnsi"/>
          <w:b/>
          <w:sz w:val="26"/>
          <w:szCs w:val="26"/>
        </w:rPr>
      </w:pPr>
      <w:bookmarkStart w:id="0" w:name="_GoBack"/>
      <w:bookmarkEnd w:id="0"/>
    </w:p>
    <w:p w14:paraId="17A05F97" w14:textId="77777777" w:rsidR="00770345" w:rsidRDefault="00770345" w:rsidP="00E65920">
      <w:pPr>
        <w:spacing w:before="120" w:after="120" w:line="360" w:lineRule="auto"/>
        <w:rPr>
          <w:rFonts w:cstheme="minorHAnsi"/>
          <w:b/>
          <w:sz w:val="26"/>
          <w:szCs w:val="26"/>
        </w:rPr>
      </w:pPr>
    </w:p>
    <w:p w14:paraId="09A2A77C" w14:textId="77777777" w:rsidR="00770345" w:rsidRDefault="00770345" w:rsidP="00E65920">
      <w:pPr>
        <w:spacing w:before="120" w:after="120" w:line="360" w:lineRule="auto"/>
        <w:rPr>
          <w:rFonts w:cstheme="minorHAnsi"/>
          <w:b/>
          <w:sz w:val="26"/>
          <w:szCs w:val="26"/>
        </w:rPr>
      </w:pPr>
    </w:p>
    <w:p w14:paraId="5AC09B3F" w14:textId="77777777" w:rsidR="00770345" w:rsidRDefault="00770345" w:rsidP="00E65920">
      <w:pPr>
        <w:spacing w:before="120" w:after="120" w:line="360" w:lineRule="auto"/>
        <w:rPr>
          <w:rFonts w:cstheme="minorHAnsi"/>
          <w:b/>
          <w:sz w:val="26"/>
          <w:szCs w:val="26"/>
        </w:rPr>
      </w:pPr>
    </w:p>
    <w:p w14:paraId="599B899A" w14:textId="77777777" w:rsidR="00770345" w:rsidRDefault="00770345">
      <w:pPr>
        <w:spacing w:after="200" w:line="276" w:lineRule="auto"/>
        <w:jc w:val="left"/>
        <w:rPr>
          <w:rFonts w:cstheme="minorHAnsi"/>
          <w:b/>
          <w:sz w:val="26"/>
          <w:szCs w:val="26"/>
        </w:rPr>
      </w:pPr>
      <w:r>
        <w:rPr>
          <w:rFonts w:cstheme="minorHAnsi"/>
          <w:b/>
          <w:sz w:val="26"/>
          <w:szCs w:val="26"/>
        </w:rPr>
        <w:br w:type="page"/>
      </w:r>
    </w:p>
    <w:p w14:paraId="11533269" w14:textId="2A1097C7" w:rsidR="00D962DD" w:rsidRPr="009F33D1" w:rsidRDefault="00D962DD" w:rsidP="00E65920">
      <w:pPr>
        <w:spacing w:before="120" w:after="120" w:line="360" w:lineRule="auto"/>
        <w:rPr>
          <w:rFonts w:cstheme="minorHAnsi"/>
          <w:b/>
          <w:sz w:val="26"/>
          <w:szCs w:val="26"/>
        </w:rPr>
      </w:pPr>
      <w:r w:rsidRPr="009F33D1">
        <w:rPr>
          <w:rFonts w:cstheme="minorHAnsi"/>
          <w:b/>
          <w:sz w:val="26"/>
          <w:szCs w:val="26"/>
        </w:rPr>
        <w:lastRenderedPageBreak/>
        <w:t xml:space="preserve">H.  PLENO DEL CONGRESO DEL ESTADO </w:t>
      </w:r>
    </w:p>
    <w:p w14:paraId="3FC1AFF3" w14:textId="77777777" w:rsidR="00D962DD" w:rsidRPr="009F33D1" w:rsidRDefault="00D962DD" w:rsidP="00E65920">
      <w:pPr>
        <w:spacing w:before="120" w:after="120" w:line="360" w:lineRule="auto"/>
        <w:rPr>
          <w:rFonts w:cstheme="minorHAnsi"/>
          <w:b/>
          <w:sz w:val="26"/>
          <w:szCs w:val="26"/>
        </w:rPr>
      </w:pPr>
      <w:r w:rsidRPr="009F33D1">
        <w:rPr>
          <w:rFonts w:cstheme="minorHAnsi"/>
          <w:b/>
          <w:sz w:val="26"/>
          <w:szCs w:val="26"/>
        </w:rPr>
        <w:t>DE COAHUILA DE ZARAGOZA.</w:t>
      </w:r>
    </w:p>
    <w:p w14:paraId="0487D3E6" w14:textId="77777777" w:rsidR="00D962DD" w:rsidRPr="009F33D1" w:rsidRDefault="00D962DD" w:rsidP="00E65920">
      <w:pPr>
        <w:spacing w:before="120" w:after="120" w:line="360" w:lineRule="auto"/>
        <w:rPr>
          <w:rFonts w:cstheme="minorHAnsi"/>
          <w:b/>
          <w:sz w:val="26"/>
          <w:szCs w:val="26"/>
        </w:rPr>
      </w:pPr>
      <w:r w:rsidRPr="009F33D1">
        <w:rPr>
          <w:rFonts w:cstheme="minorHAnsi"/>
          <w:b/>
          <w:sz w:val="26"/>
          <w:szCs w:val="26"/>
        </w:rPr>
        <w:t xml:space="preserve">PRESENTE. </w:t>
      </w:r>
      <w:r w:rsidR="00C90F61" w:rsidRPr="009F33D1">
        <w:rPr>
          <w:rFonts w:cstheme="minorHAnsi"/>
          <w:b/>
          <w:sz w:val="26"/>
          <w:szCs w:val="26"/>
        </w:rPr>
        <w:t>–</w:t>
      </w:r>
      <w:r w:rsidRPr="009F33D1">
        <w:rPr>
          <w:rFonts w:cstheme="minorHAnsi"/>
          <w:b/>
          <w:sz w:val="26"/>
          <w:szCs w:val="26"/>
        </w:rPr>
        <w:t xml:space="preserve"> </w:t>
      </w:r>
    </w:p>
    <w:p w14:paraId="69D8D121" w14:textId="77777777" w:rsidR="00C90F61" w:rsidRPr="009F33D1" w:rsidRDefault="00C90F61" w:rsidP="00E659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rPr>
          <w:rFonts w:cstheme="minorHAnsi"/>
          <w:b/>
          <w:sz w:val="26"/>
          <w:szCs w:val="26"/>
        </w:rPr>
      </w:pPr>
    </w:p>
    <w:p w14:paraId="3DDBD021" w14:textId="0595559B" w:rsidR="00D962DD" w:rsidRPr="009F33D1" w:rsidRDefault="00E56E7C" w:rsidP="00E65920">
      <w:pPr>
        <w:spacing w:before="120" w:after="120" w:line="360" w:lineRule="auto"/>
        <w:rPr>
          <w:rFonts w:cstheme="minorHAnsi"/>
          <w:b/>
          <w:sz w:val="26"/>
          <w:szCs w:val="26"/>
        </w:rPr>
      </w:pPr>
      <w:r w:rsidRPr="009F33D1">
        <w:rPr>
          <w:rFonts w:cstheme="minorHAnsi"/>
          <w:b/>
          <w:sz w:val="26"/>
          <w:szCs w:val="26"/>
        </w:rPr>
        <w:t xml:space="preserve">Iniciativa que presenta la diputada Blanca </w:t>
      </w:r>
      <w:proofErr w:type="spellStart"/>
      <w:r w:rsidRPr="009F33D1">
        <w:rPr>
          <w:rFonts w:cstheme="minorHAnsi"/>
          <w:b/>
          <w:sz w:val="26"/>
          <w:szCs w:val="26"/>
        </w:rPr>
        <w:t>Eppen</w:t>
      </w:r>
      <w:proofErr w:type="spellEnd"/>
      <w:r w:rsidRPr="009F33D1">
        <w:rPr>
          <w:rFonts w:cstheme="minorHAnsi"/>
          <w:b/>
          <w:sz w:val="26"/>
          <w:szCs w:val="26"/>
        </w:rPr>
        <w:t xml:space="preserve"> Canales</w:t>
      </w:r>
      <w:r w:rsidR="00D962DD" w:rsidRPr="009F33D1">
        <w:rPr>
          <w:rFonts w:cstheme="minorHAnsi"/>
          <w:b/>
          <w:sz w:val="26"/>
          <w:szCs w:val="26"/>
        </w:rPr>
        <w:t>, conjuntamente con los diputados del Grupo Parlamentario “ Del Partido Acción Nacional”; en ejercicio de la facultad legislativa que nos co</w:t>
      </w:r>
      <w:r w:rsidR="00227AC3" w:rsidRPr="009F33D1">
        <w:rPr>
          <w:rFonts w:cstheme="minorHAnsi"/>
          <w:b/>
          <w:sz w:val="26"/>
          <w:szCs w:val="26"/>
        </w:rPr>
        <w:t>ncede</w:t>
      </w:r>
      <w:r w:rsidR="000811FD" w:rsidRPr="009F33D1">
        <w:rPr>
          <w:rFonts w:cstheme="minorHAnsi"/>
          <w:b/>
          <w:sz w:val="26"/>
          <w:szCs w:val="26"/>
        </w:rPr>
        <w:t>n los</w:t>
      </w:r>
      <w:r w:rsidR="00227AC3" w:rsidRPr="009F33D1">
        <w:rPr>
          <w:rFonts w:cstheme="minorHAnsi"/>
          <w:b/>
          <w:sz w:val="26"/>
          <w:szCs w:val="26"/>
        </w:rPr>
        <w:t xml:space="preserve"> artículo</w:t>
      </w:r>
      <w:r w:rsidR="000811FD" w:rsidRPr="009F33D1">
        <w:rPr>
          <w:rFonts w:cstheme="minorHAnsi"/>
          <w:b/>
          <w:sz w:val="26"/>
          <w:szCs w:val="26"/>
        </w:rPr>
        <w:t>s</w:t>
      </w:r>
      <w:r w:rsidR="00227AC3" w:rsidRPr="009F33D1">
        <w:rPr>
          <w:rFonts w:cstheme="minorHAnsi"/>
          <w:b/>
          <w:sz w:val="26"/>
          <w:szCs w:val="26"/>
        </w:rPr>
        <w:t xml:space="preserve"> 59 Fracción I y</w:t>
      </w:r>
      <w:r w:rsidR="00D962DD" w:rsidRPr="009F33D1">
        <w:rPr>
          <w:rFonts w:cstheme="minorHAnsi"/>
          <w:b/>
          <w:sz w:val="26"/>
          <w:szCs w:val="26"/>
        </w:rPr>
        <w:t xml:space="preserve"> 67 Fracción I de la Constitución Política del</w:t>
      </w:r>
      <w:r w:rsidR="00A26C68" w:rsidRPr="009F33D1">
        <w:rPr>
          <w:rFonts w:cstheme="minorHAnsi"/>
          <w:b/>
          <w:sz w:val="26"/>
          <w:szCs w:val="26"/>
        </w:rPr>
        <w:t xml:space="preserve"> Estado de Coahuila de Zaragoza</w:t>
      </w:r>
      <w:r w:rsidR="00D962DD" w:rsidRPr="009F33D1">
        <w:rPr>
          <w:rFonts w:cstheme="minorHAnsi"/>
          <w:b/>
          <w:sz w:val="26"/>
          <w:szCs w:val="26"/>
        </w:rPr>
        <w:t xml:space="preserve"> y con</w:t>
      </w:r>
      <w:r w:rsidR="005E5A2A" w:rsidRPr="009F33D1">
        <w:rPr>
          <w:rFonts w:cstheme="minorHAnsi"/>
          <w:b/>
          <w:sz w:val="26"/>
          <w:szCs w:val="26"/>
        </w:rPr>
        <w:t xml:space="preserve"> fundamento en</w:t>
      </w:r>
      <w:r w:rsidR="00A37966" w:rsidRPr="009F33D1">
        <w:rPr>
          <w:rFonts w:cstheme="minorHAnsi"/>
          <w:b/>
          <w:sz w:val="26"/>
          <w:szCs w:val="26"/>
        </w:rPr>
        <w:t xml:space="preserve"> lo</w:t>
      </w:r>
      <w:r w:rsidR="00607829" w:rsidRPr="009F33D1">
        <w:rPr>
          <w:rFonts w:cstheme="minorHAnsi"/>
          <w:b/>
          <w:sz w:val="26"/>
          <w:szCs w:val="26"/>
        </w:rPr>
        <w:t>s artículos 21 Fracción IV y 152</w:t>
      </w:r>
      <w:r w:rsidR="00A37966" w:rsidRPr="009F33D1">
        <w:rPr>
          <w:rFonts w:cstheme="minorHAnsi"/>
          <w:b/>
          <w:sz w:val="26"/>
          <w:szCs w:val="26"/>
        </w:rPr>
        <w:t xml:space="preserve"> fracción I</w:t>
      </w:r>
      <w:r w:rsidR="005E5A2A" w:rsidRPr="009F33D1">
        <w:rPr>
          <w:rFonts w:cstheme="minorHAnsi"/>
          <w:b/>
          <w:sz w:val="26"/>
          <w:szCs w:val="26"/>
        </w:rPr>
        <w:t xml:space="preserve"> </w:t>
      </w:r>
      <w:r w:rsidR="00D962DD" w:rsidRPr="009F33D1">
        <w:rPr>
          <w:rFonts w:cstheme="minorHAnsi"/>
          <w:b/>
          <w:sz w:val="26"/>
          <w:szCs w:val="26"/>
        </w:rPr>
        <w:t>de la</w:t>
      </w:r>
      <w:r w:rsidR="005E5A2A" w:rsidRPr="009F33D1">
        <w:rPr>
          <w:rFonts w:cstheme="minorHAnsi"/>
          <w:b/>
          <w:sz w:val="26"/>
          <w:szCs w:val="26"/>
        </w:rPr>
        <w:t xml:space="preserve"> Ley Orgánica del Congreso del Estado Independiente</w:t>
      </w:r>
      <w:r w:rsidR="00D962DD" w:rsidRPr="009F33D1">
        <w:rPr>
          <w:rFonts w:cstheme="minorHAnsi"/>
          <w:b/>
          <w:sz w:val="26"/>
          <w:szCs w:val="26"/>
        </w:rPr>
        <w:t xml:space="preserve">, </w:t>
      </w:r>
      <w:r w:rsidR="005E5A2A" w:rsidRPr="009F33D1">
        <w:rPr>
          <w:rFonts w:cstheme="minorHAnsi"/>
          <w:b/>
          <w:sz w:val="26"/>
          <w:szCs w:val="26"/>
        </w:rPr>
        <w:t xml:space="preserve">Libre y Soberano de Coahuila de Zaragoza, </w:t>
      </w:r>
      <w:r w:rsidR="00D962DD" w:rsidRPr="009F33D1">
        <w:rPr>
          <w:rFonts w:cstheme="minorHAnsi"/>
          <w:b/>
          <w:sz w:val="26"/>
          <w:szCs w:val="26"/>
        </w:rPr>
        <w:t xml:space="preserve">presentamos  INICIATIVA CON PROYECTO DE DECRETO  por la que </w:t>
      </w:r>
      <w:bookmarkStart w:id="1" w:name="_Hlk510431668"/>
      <w:r w:rsidR="00FE529B" w:rsidRPr="009F33D1">
        <w:rPr>
          <w:rFonts w:cstheme="minorHAnsi"/>
          <w:b/>
          <w:sz w:val="26"/>
          <w:szCs w:val="26"/>
        </w:rPr>
        <w:t xml:space="preserve"> se </w:t>
      </w:r>
      <w:r w:rsidR="0022595D" w:rsidRPr="009F33D1">
        <w:rPr>
          <w:rFonts w:cstheme="minorHAnsi"/>
          <w:b/>
          <w:sz w:val="26"/>
          <w:szCs w:val="26"/>
        </w:rPr>
        <w:t xml:space="preserve"> modifica el contenido del artículo 17</w:t>
      </w:r>
      <w:r w:rsidR="001A3EEB" w:rsidRPr="009F33D1">
        <w:rPr>
          <w:rFonts w:cstheme="minorHAnsi"/>
          <w:sz w:val="26"/>
          <w:szCs w:val="26"/>
        </w:rPr>
        <w:t xml:space="preserve"> </w:t>
      </w:r>
      <w:r w:rsidR="001A3EEB" w:rsidRPr="009F33D1">
        <w:rPr>
          <w:rFonts w:cstheme="minorHAnsi"/>
          <w:b/>
          <w:sz w:val="26"/>
          <w:szCs w:val="26"/>
        </w:rPr>
        <w:t>y el contenido de la fracción VI del Artículo 34,</w:t>
      </w:r>
      <w:r w:rsidR="00426DA0" w:rsidRPr="009F33D1">
        <w:rPr>
          <w:rFonts w:cstheme="minorHAnsi"/>
          <w:b/>
          <w:sz w:val="26"/>
          <w:szCs w:val="26"/>
        </w:rPr>
        <w:t xml:space="preserve"> de la Ley de Adquisiciones, Arrendamientos y Contratación de Servicios </w:t>
      </w:r>
      <w:r w:rsidR="0022595D" w:rsidRPr="009F33D1">
        <w:rPr>
          <w:rFonts w:cstheme="minorHAnsi"/>
          <w:b/>
          <w:sz w:val="26"/>
          <w:szCs w:val="26"/>
        </w:rPr>
        <w:t xml:space="preserve"> para el</w:t>
      </w:r>
      <w:r w:rsidR="00DA799A" w:rsidRPr="009F33D1">
        <w:rPr>
          <w:rFonts w:cstheme="minorHAnsi"/>
          <w:b/>
          <w:sz w:val="26"/>
          <w:szCs w:val="26"/>
        </w:rPr>
        <w:t xml:space="preserve"> Estado de Coahuila de Zaragoza, </w:t>
      </w:r>
      <w:r w:rsidR="00FA63A9" w:rsidRPr="009F33D1">
        <w:rPr>
          <w:rFonts w:cstheme="minorHAnsi"/>
          <w:b/>
          <w:sz w:val="26"/>
          <w:szCs w:val="26"/>
        </w:rPr>
        <w:t xml:space="preserve"> al tenor de lo</w:t>
      </w:r>
      <w:r w:rsidR="00426DA0" w:rsidRPr="009F33D1">
        <w:rPr>
          <w:rFonts w:cstheme="minorHAnsi"/>
          <w:b/>
          <w:sz w:val="26"/>
          <w:szCs w:val="26"/>
        </w:rPr>
        <w:t xml:space="preserve"> siguiente:</w:t>
      </w:r>
    </w:p>
    <w:bookmarkEnd w:id="1"/>
    <w:p w14:paraId="34CC6678" w14:textId="77777777" w:rsidR="00B205BF" w:rsidRPr="009F33D1" w:rsidRDefault="00B11D66" w:rsidP="00E65920">
      <w:pPr>
        <w:spacing w:before="120" w:after="120"/>
        <w:rPr>
          <w:rFonts w:cstheme="minorHAnsi"/>
          <w:sz w:val="26"/>
          <w:szCs w:val="26"/>
        </w:rPr>
      </w:pPr>
      <w:r w:rsidRPr="009F33D1">
        <w:rPr>
          <w:rFonts w:cstheme="minorHAnsi"/>
          <w:sz w:val="26"/>
          <w:szCs w:val="26"/>
        </w:rPr>
        <w:t>La Ley de Adquisiciones, Arrendamientos y Servicios del Sector Público (federal) establece un sistema de puntos para las empresas que, en calidad de proveedores, buscan ser contratadas por la administración pública federal bajo cualquiera de los sistemas reconocidos por derecho: licitación, invitación o adjudicación directa.</w:t>
      </w:r>
    </w:p>
    <w:p w14:paraId="2083D353" w14:textId="77777777" w:rsidR="00B11D66" w:rsidRPr="009F33D1" w:rsidRDefault="00B11D66" w:rsidP="00E65920">
      <w:pPr>
        <w:spacing w:before="120" w:after="120"/>
        <w:rPr>
          <w:rFonts w:cstheme="minorHAnsi"/>
          <w:sz w:val="26"/>
          <w:szCs w:val="26"/>
        </w:rPr>
      </w:pPr>
      <w:r w:rsidRPr="009F33D1">
        <w:rPr>
          <w:rFonts w:cstheme="minorHAnsi"/>
          <w:sz w:val="26"/>
          <w:szCs w:val="26"/>
        </w:rPr>
        <w:t>El sistema de puntos se contempla en el ordenamiento mencionado en los artículos que se leen a continuación:</w:t>
      </w:r>
    </w:p>
    <w:p w14:paraId="7C4EE6CC" w14:textId="77777777" w:rsidR="00B11D66" w:rsidRPr="009F33D1" w:rsidRDefault="00B11D66" w:rsidP="00E65920">
      <w:pPr>
        <w:spacing w:before="120" w:after="120"/>
        <w:rPr>
          <w:rFonts w:asciiTheme="minorHAnsi" w:hAnsiTheme="minorHAnsi" w:cstheme="minorHAnsi"/>
          <w:i/>
          <w:color w:val="000000"/>
          <w:sz w:val="26"/>
          <w:szCs w:val="26"/>
        </w:rPr>
      </w:pPr>
      <w:bookmarkStart w:id="2" w:name="Artículo_36"/>
      <w:r w:rsidRPr="009F33D1">
        <w:rPr>
          <w:rFonts w:asciiTheme="minorHAnsi" w:hAnsiTheme="minorHAnsi" w:cstheme="minorHAnsi"/>
          <w:b/>
          <w:i/>
          <w:color w:val="000000"/>
          <w:sz w:val="26"/>
          <w:szCs w:val="26"/>
        </w:rPr>
        <w:t>Artículo 36</w:t>
      </w:r>
      <w:bookmarkEnd w:id="2"/>
      <w:r w:rsidRPr="009F33D1">
        <w:rPr>
          <w:rFonts w:asciiTheme="minorHAnsi" w:hAnsiTheme="minorHAnsi" w:cstheme="minorHAnsi"/>
          <w:b/>
          <w:i/>
          <w:color w:val="000000"/>
          <w:sz w:val="26"/>
          <w:szCs w:val="26"/>
        </w:rPr>
        <w:t>.</w:t>
      </w:r>
      <w:r w:rsidRPr="009F33D1">
        <w:rPr>
          <w:rFonts w:asciiTheme="minorHAnsi" w:hAnsiTheme="minorHAnsi" w:cstheme="minorHAnsi"/>
          <w:i/>
          <w:color w:val="000000"/>
          <w:sz w:val="26"/>
          <w:szCs w:val="26"/>
        </w:rPr>
        <w:t xml:space="preserve"> Las dependencias y entidades para la evaluación de las proposiciones deberán utilizar el criterio indicado en la convocatoria a la licitación.</w:t>
      </w:r>
    </w:p>
    <w:p w14:paraId="79F92388" w14:textId="77777777" w:rsidR="00B11D66" w:rsidRPr="009F33D1" w:rsidRDefault="00B11D66" w:rsidP="00E65920">
      <w:pPr>
        <w:spacing w:before="120" w:after="120"/>
        <w:rPr>
          <w:rFonts w:asciiTheme="minorHAnsi" w:hAnsiTheme="minorHAnsi" w:cstheme="minorHAnsi"/>
          <w:i/>
          <w:color w:val="000000"/>
          <w:sz w:val="26"/>
          <w:szCs w:val="26"/>
        </w:rPr>
      </w:pPr>
    </w:p>
    <w:p w14:paraId="65D50952" w14:textId="77777777" w:rsidR="00B11D66" w:rsidRPr="009F33D1" w:rsidRDefault="00B11D66" w:rsidP="00E65920">
      <w:pPr>
        <w:spacing w:before="120" w:after="120"/>
        <w:rPr>
          <w:rFonts w:asciiTheme="minorHAnsi" w:hAnsiTheme="minorHAnsi" w:cstheme="minorHAnsi"/>
          <w:i/>
          <w:color w:val="000000"/>
          <w:sz w:val="26"/>
          <w:szCs w:val="26"/>
        </w:rPr>
      </w:pPr>
      <w:r w:rsidRPr="009F33D1">
        <w:rPr>
          <w:rFonts w:asciiTheme="minorHAnsi" w:hAnsiTheme="minorHAnsi" w:cstheme="minorHAnsi"/>
          <w:i/>
          <w:color w:val="000000"/>
          <w:sz w:val="26"/>
          <w:szCs w:val="26"/>
        </w:rPr>
        <w:t xml:space="preserve">En todos los casos las convocantes deberán verificar que las proposiciones cumplan con los requisitos solicitados en la convocatoria a la licitación; la utilización del criterio de evaluación binario, mediante el cual sólo se adjudica a quien cumpla los requisitos establecidos por la convocante y oferte el precio más bajo, será aplicable cuando no sea </w:t>
      </w:r>
      <w:r w:rsidRPr="009F33D1">
        <w:rPr>
          <w:rFonts w:asciiTheme="minorHAnsi" w:hAnsiTheme="minorHAnsi" w:cstheme="minorHAnsi"/>
          <w:i/>
          <w:color w:val="000000"/>
          <w:sz w:val="26"/>
          <w:szCs w:val="26"/>
        </w:rPr>
        <w:lastRenderedPageBreak/>
        <w:t>posible utilizar los criterios de puntos y porcentajes o de costo beneficio. En este supuesto, la convocante evaluará al menos las dos proposiciones cuyo precio resulte ser más bajo; de no resultar éstas solventes, se evaluarán las que les sigan en precio.</w:t>
      </w:r>
    </w:p>
    <w:p w14:paraId="38D384CD" w14:textId="77777777" w:rsidR="00B11D66" w:rsidRPr="009F33D1" w:rsidRDefault="00B11D66" w:rsidP="00E65920">
      <w:pPr>
        <w:spacing w:before="120" w:after="120"/>
        <w:rPr>
          <w:rFonts w:asciiTheme="minorHAnsi" w:hAnsiTheme="minorHAnsi" w:cstheme="minorHAnsi"/>
          <w:i/>
          <w:color w:val="000000"/>
          <w:sz w:val="26"/>
          <w:szCs w:val="26"/>
        </w:rPr>
      </w:pPr>
    </w:p>
    <w:p w14:paraId="259A8989" w14:textId="77777777" w:rsidR="00B11D66" w:rsidRPr="009F33D1" w:rsidRDefault="00B11D66" w:rsidP="00E65920">
      <w:pPr>
        <w:spacing w:before="120" w:after="120"/>
        <w:rPr>
          <w:rFonts w:asciiTheme="minorHAnsi" w:hAnsiTheme="minorHAnsi" w:cstheme="minorHAnsi"/>
          <w:i/>
          <w:color w:val="000000"/>
          <w:sz w:val="26"/>
          <w:szCs w:val="26"/>
        </w:rPr>
      </w:pPr>
      <w:r w:rsidRPr="009F33D1">
        <w:rPr>
          <w:rFonts w:asciiTheme="minorHAnsi" w:hAnsiTheme="minorHAnsi" w:cstheme="minorHAnsi"/>
          <w:i/>
          <w:color w:val="000000"/>
          <w:sz w:val="26"/>
          <w:szCs w:val="26"/>
        </w:rPr>
        <w:t>Cuando las dependencias y entidades requieran obtener bienes, arrendamientos o servicios que conlleven el uso de características de alta especialidad técnica o de innovación tecnología, deberán utilizar el criterio de evaluación de puntos y porcentajes o de costo beneficio.</w:t>
      </w:r>
    </w:p>
    <w:p w14:paraId="349B172D" w14:textId="77777777" w:rsidR="00B11D66" w:rsidRPr="009F33D1" w:rsidRDefault="00B11D66" w:rsidP="00E65920">
      <w:pPr>
        <w:spacing w:before="120" w:after="120"/>
        <w:rPr>
          <w:rFonts w:asciiTheme="minorHAnsi" w:hAnsiTheme="minorHAnsi" w:cstheme="minorHAnsi"/>
          <w:color w:val="000000"/>
          <w:sz w:val="26"/>
          <w:szCs w:val="26"/>
        </w:rPr>
      </w:pPr>
    </w:p>
    <w:p w14:paraId="3CD4DAFC" w14:textId="77777777" w:rsidR="00B11D66" w:rsidRPr="009F33D1" w:rsidRDefault="00B11D66" w:rsidP="00E65920">
      <w:pPr>
        <w:spacing w:before="120" w:after="120"/>
        <w:rPr>
          <w:rFonts w:asciiTheme="minorHAnsi" w:hAnsiTheme="minorHAnsi" w:cstheme="minorHAnsi"/>
          <w:i/>
          <w:color w:val="000000"/>
          <w:sz w:val="26"/>
          <w:szCs w:val="26"/>
        </w:rPr>
      </w:pPr>
      <w:bookmarkStart w:id="3" w:name="Artículo_37"/>
      <w:r w:rsidRPr="009F33D1">
        <w:rPr>
          <w:rFonts w:asciiTheme="minorHAnsi" w:hAnsiTheme="minorHAnsi" w:cstheme="minorHAnsi"/>
          <w:b/>
          <w:i/>
          <w:color w:val="000000"/>
          <w:sz w:val="26"/>
          <w:szCs w:val="26"/>
        </w:rPr>
        <w:t>Artículo 37</w:t>
      </w:r>
      <w:bookmarkEnd w:id="3"/>
      <w:r w:rsidRPr="009F33D1">
        <w:rPr>
          <w:rFonts w:asciiTheme="minorHAnsi" w:hAnsiTheme="minorHAnsi" w:cstheme="minorHAnsi"/>
          <w:b/>
          <w:i/>
          <w:color w:val="000000"/>
          <w:sz w:val="26"/>
          <w:szCs w:val="26"/>
        </w:rPr>
        <w:t>.</w:t>
      </w:r>
      <w:r w:rsidRPr="009F33D1">
        <w:rPr>
          <w:rFonts w:asciiTheme="minorHAnsi" w:hAnsiTheme="minorHAnsi" w:cstheme="minorHAnsi"/>
          <w:i/>
          <w:color w:val="000000"/>
          <w:sz w:val="26"/>
          <w:szCs w:val="26"/>
        </w:rPr>
        <w:t xml:space="preserve"> La convocante emitirá un fallo, el cual deberá contener lo siguiente:</w:t>
      </w:r>
    </w:p>
    <w:p w14:paraId="4CE1D3E2" w14:textId="77777777" w:rsidR="00B11D66" w:rsidRPr="009F33D1" w:rsidRDefault="00B11D66" w:rsidP="00E65920">
      <w:pPr>
        <w:spacing w:before="120" w:after="120"/>
        <w:ind w:left="720" w:hanging="431"/>
        <w:rPr>
          <w:rFonts w:asciiTheme="minorHAnsi" w:hAnsiTheme="minorHAnsi" w:cstheme="minorHAnsi"/>
          <w:i/>
          <w:color w:val="000000"/>
          <w:sz w:val="26"/>
          <w:szCs w:val="26"/>
        </w:rPr>
      </w:pPr>
    </w:p>
    <w:p w14:paraId="0E8A52E1" w14:textId="77777777" w:rsidR="00B11D66" w:rsidRPr="009F33D1" w:rsidRDefault="00B11D66" w:rsidP="00E65920">
      <w:pPr>
        <w:spacing w:before="120" w:after="120"/>
        <w:ind w:left="720" w:hanging="431"/>
        <w:rPr>
          <w:rFonts w:asciiTheme="minorHAnsi" w:hAnsiTheme="minorHAnsi" w:cstheme="minorHAnsi"/>
          <w:i/>
          <w:color w:val="000000"/>
          <w:sz w:val="26"/>
          <w:szCs w:val="26"/>
        </w:rPr>
      </w:pPr>
      <w:r w:rsidRPr="009F33D1">
        <w:rPr>
          <w:rFonts w:asciiTheme="minorHAnsi" w:hAnsiTheme="minorHAnsi" w:cstheme="minorHAnsi"/>
          <w:b/>
          <w:i/>
          <w:color w:val="000000"/>
          <w:sz w:val="26"/>
          <w:szCs w:val="26"/>
        </w:rPr>
        <w:t xml:space="preserve">I. </w:t>
      </w:r>
      <w:r w:rsidRPr="009F33D1">
        <w:rPr>
          <w:rFonts w:asciiTheme="minorHAnsi" w:hAnsiTheme="minorHAnsi" w:cstheme="minorHAnsi"/>
          <w:b/>
          <w:i/>
          <w:color w:val="000000"/>
          <w:sz w:val="26"/>
          <w:szCs w:val="26"/>
        </w:rPr>
        <w:tab/>
      </w:r>
      <w:r w:rsidRPr="009F33D1">
        <w:rPr>
          <w:rFonts w:asciiTheme="minorHAnsi" w:hAnsiTheme="minorHAnsi" w:cstheme="minorHAnsi"/>
          <w:i/>
          <w:color w:val="000000"/>
          <w:sz w:val="26"/>
          <w:szCs w:val="26"/>
        </w:rPr>
        <w:t>La relación de licitantes cuyas proposiciones se desecharon, expresando todas las razones legales, técnicas o económicas que sustentan tal determinación e indicando los puntos de la convocatoria que en cada caso se incumpla;</w:t>
      </w:r>
    </w:p>
    <w:p w14:paraId="6B9A4A0B" w14:textId="77777777" w:rsidR="00B11D66" w:rsidRPr="009F33D1" w:rsidRDefault="00B11D66" w:rsidP="00E65920">
      <w:pPr>
        <w:spacing w:before="120" w:after="120"/>
        <w:rPr>
          <w:rFonts w:cstheme="minorHAnsi"/>
          <w:sz w:val="26"/>
          <w:szCs w:val="26"/>
        </w:rPr>
      </w:pPr>
    </w:p>
    <w:p w14:paraId="19176CB4" w14:textId="77777777" w:rsidR="009E4008" w:rsidRPr="009F33D1" w:rsidRDefault="006D2C00" w:rsidP="00E65920">
      <w:pPr>
        <w:spacing w:before="120" w:after="120" w:line="360" w:lineRule="auto"/>
        <w:rPr>
          <w:rFonts w:cstheme="minorHAnsi"/>
          <w:sz w:val="26"/>
          <w:szCs w:val="26"/>
        </w:rPr>
      </w:pPr>
      <w:r w:rsidRPr="009F33D1">
        <w:rPr>
          <w:rFonts w:cstheme="minorHAnsi"/>
          <w:sz w:val="26"/>
          <w:szCs w:val="26"/>
        </w:rPr>
        <w:t>Por otra parte, la Ley de Obras Públicas y Servicios Relacionados con las Mismas, prevé esta posibilidad en el artículo que transcribimos:</w:t>
      </w:r>
    </w:p>
    <w:p w14:paraId="32B1EDAA" w14:textId="77777777" w:rsidR="006D2C00" w:rsidRPr="009F33D1" w:rsidRDefault="006D2C00" w:rsidP="00E65920">
      <w:pPr>
        <w:spacing w:before="120" w:after="120" w:line="360" w:lineRule="auto"/>
        <w:rPr>
          <w:rFonts w:cstheme="minorHAnsi"/>
          <w:sz w:val="26"/>
          <w:szCs w:val="26"/>
        </w:rPr>
      </w:pPr>
    </w:p>
    <w:p w14:paraId="6EF7560A" w14:textId="77777777" w:rsidR="006D2C00" w:rsidRPr="009F33D1" w:rsidRDefault="006D2C00" w:rsidP="00E65920">
      <w:pPr>
        <w:spacing w:before="120" w:after="120" w:line="360" w:lineRule="auto"/>
        <w:rPr>
          <w:rFonts w:asciiTheme="minorHAnsi" w:hAnsiTheme="minorHAnsi" w:cstheme="minorHAnsi"/>
          <w:i/>
          <w:color w:val="000000"/>
          <w:sz w:val="26"/>
          <w:szCs w:val="26"/>
        </w:rPr>
      </w:pPr>
      <w:bookmarkStart w:id="4" w:name="Artículo_38"/>
      <w:r w:rsidRPr="009F33D1">
        <w:rPr>
          <w:rFonts w:asciiTheme="minorHAnsi" w:hAnsiTheme="minorHAnsi" w:cstheme="minorHAnsi"/>
          <w:b/>
          <w:i/>
          <w:color w:val="000000"/>
          <w:sz w:val="26"/>
          <w:szCs w:val="26"/>
        </w:rPr>
        <w:t>Artículo 38</w:t>
      </w:r>
      <w:bookmarkEnd w:id="4"/>
      <w:r w:rsidRPr="009F33D1">
        <w:rPr>
          <w:rFonts w:asciiTheme="minorHAnsi" w:hAnsiTheme="minorHAnsi" w:cstheme="minorHAnsi"/>
          <w:b/>
          <w:i/>
          <w:color w:val="000000"/>
          <w:sz w:val="26"/>
          <w:szCs w:val="26"/>
        </w:rPr>
        <w:t>.</w:t>
      </w:r>
      <w:r w:rsidRPr="009F33D1">
        <w:rPr>
          <w:rFonts w:asciiTheme="minorHAnsi" w:hAnsiTheme="minorHAnsi" w:cstheme="minorHAnsi"/>
          <w:i/>
          <w:color w:val="000000"/>
          <w:sz w:val="26"/>
          <w:szCs w:val="26"/>
        </w:rPr>
        <w:t xml:space="preserve"> Las dependencias y entidades para hacer la evaluación de las proposiciones, deberán verificar que las mismas cumplan con los requisitos solicitados en la convocatoria a la licitación, para tal efecto, la convocante deberá establecer los procedimientos y los criterios claros y detallados para determinar la solvencia de las proposiciones, dependiendo de las características, complejidad y magnitud de los trabajos por realizar.</w:t>
      </w:r>
    </w:p>
    <w:p w14:paraId="21ACC22F" w14:textId="77777777" w:rsidR="006D2C00" w:rsidRPr="009F33D1" w:rsidRDefault="006D2C00" w:rsidP="00E65920">
      <w:pPr>
        <w:spacing w:before="120" w:after="120" w:line="360" w:lineRule="auto"/>
        <w:rPr>
          <w:rFonts w:asciiTheme="minorHAnsi" w:hAnsiTheme="minorHAnsi" w:cstheme="minorHAnsi"/>
          <w:i/>
          <w:color w:val="000000"/>
          <w:sz w:val="26"/>
          <w:szCs w:val="26"/>
        </w:rPr>
      </w:pPr>
    </w:p>
    <w:p w14:paraId="7BA244FC" w14:textId="77777777" w:rsidR="006D2C00" w:rsidRPr="009F33D1" w:rsidRDefault="006D2C00" w:rsidP="00E65920">
      <w:pPr>
        <w:spacing w:before="120" w:after="120" w:line="360" w:lineRule="auto"/>
        <w:rPr>
          <w:rFonts w:cstheme="minorHAnsi"/>
          <w:i/>
          <w:color w:val="000000"/>
          <w:sz w:val="26"/>
          <w:szCs w:val="26"/>
        </w:rPr>
      </w:pPr>
      <w:r w:rsidRPr="009F33D1">
        <w:rPr>
          <w:rFonts w:cstheme="minorHAnsi"/>
          <w:i/>
          <w:color w:val="000000"/>
          <w:sz w:val="26"/>
          <w:szCs w:val="26"/>
        </w:rPr>
        <w:t>Atendiendo a las características de cada obra o servicio, se podrá determinar la conveniencia de utilizar el mecanismo de puntos y porcentajes para evaluar las proposiciones….</w:t>
      </w:r>
    </w:p>
    <w:p w14:paraId="1B3D756E" w14:textId="77777777" w:rsidR="00640630" w:rsidRPr="009F33D1" w:rsidRDefault="00640630" w:rsidP="00E65920">
      <w:pPr>
        <w:spacing w:before="120" w:after="120" w:line="360" w:lineRule="auto"/>
        <w:rPr>
          <w:rFonts w:cstheme="minorHAnsi"/>
          <w:i/>
          <w:color w:val="000000"/>
          <w:sz w:val="26"/>
          <w:szCs w:val="26"/>
        </w:rPr>
      </w:pPr>
    </w:p>
    <w:p w14:paraId="1FCEB66F" w14:textId="77777777" w:rsidR="006D2C00" w:rsidRPr="009F33D1" w:rsidRDefault="00640630" w:rsidP="00E65920">
      <w:pPr>
        <w:spacing w:before="120" w:after="120" w:line="360" w:lineRule="auto"/>
        <w:rPr>
          <w:rFonts w:cstheme="minorHAnsi"/>
          <w:color w:val="000000"/>
          <w:sz w:val="26"/>
          <w:szCs w:val="26"/>
        </w:rPr>
      </w:pPr>
      <w:r w:rsidRPr="009F33D1">
        <w:rPr>
          <w:rFonts w:cstheme="minorHAnsi"/>
          <w:color w:val="000000"/>
          <w:sz w:val="26"/>
          <w:szCs w:val="26"/>
        </w:rPr>
        <w:lastRenderedPageBreak/>
        <w:t>El mecanismo de puntos y porcentaje debe ser establecido, en este caso, por la Secretaría de la Función Pública Federal dentro del texto normativo llamado “Lineamientos para la Aplicación del Criterio de Evaluación de Proposiciones a Través del Mecanismo de Puntos o Porcentajes en los Procedimientos de Contratación”.</w:t>
      </w:r>
    </w:p>
    <w:p w14:paraId="58398003" w14:textId="77777777" w:rsidR="00640630" w:rsidRPr="009F33D1" w:rsidRDefault="00640630" w:rsidP="00E65920">
      <w:pPr>
        <w:spacing w:before="120" w:after="120" w:line="360" w:lineRule="auto"/>
        <w:rPr>
          <w:rFonts w:cstheme="minorHAnsi"/>
          <w:color w:val="000000"/>
          <w:sz w:val="26"/>
          <w:szCs w:val="26"/>
        </w:rPr>
      </w:pPr>
    </w:p>
    <w:p w14:paraId="30F0DC11" w14:textId="7F16E75D" w:rsidR="005E1720" w:rsidRPr="009F33D1" w:rsidRDefault="005E1720" w:rsidP="00E65920">
      <w:pPr>
        <w:spacing w:before="120" w:after="120" w:line="360" w:lineRule="auto"/>
        <w:rPr>
          <w:rFonts w:cstheme="minorHAnsi"/>
          <w:color w:val="000000"/>
          <w:sz w:val="26"/>
          <w:szCs w:val="26"/>
        </w:rPr>
      </w:pPr>
      <w:r w:rsidRPr="009F33D1">
        <w:rPr>
          <w:rFonts w:cstheme="minorHAnsi"/>
          <w:color w:val="000000"/>
          <w:sz w:val="26"/>
          <w:szCs w:val="26"/>
        </w:rPr>
        <w:t xml:space="preserve">En este orden de ideas, parte de los argumentos que sustentan la presente iniciativa, se refieren </w:t>
      </w:r>
      <w:r w:rsidR="00937BFA" w:rsidRPr="009F33D1">
        <w:rPr>
          <w:rFonts w:cstheme="minorHAnsi"/>
          <w:color w:val="000000"/>
          <w:sz w:val="26"/>
          <w:szCs w:val="26"/>
        </w:rPr>
        <w:t xml:space="preserve"> a</w:t>
      </w:r>
      <w:r w:rsidRPr="009F33D1">
        <w:rPr>
          <w:rFonts w:cstheme="minorHAnsi"/>
          <w:color w:val="000000"/>
          <w:sz w:val="26"/>
          <w:szCs w:val="26"/>
        </w:rPr>
        <w:t xml:space="preserve"> la equidad de género</w:t>
      </w:r>
      <w:r w:rsidR="00937BFA" w:rsidRPr="009F33D1">
        <w:rPr>
          <w:rFonts w:cstheme="minorHAnsi"/>
          <w:color w:val="000000"/>
          <w:sz w:val="26"/>
          <w:szCs w:val="26"/>
        </w:rPr>
        <w:t xml:space="preserve"> en el ámbito laboral privado</w:t>
      </w:r>
      <w:r w:rsidRPr="009F33D1">
        <w:rPr>
          <w:rFonts w:cstheme="minorHAnsi"/>
          <w:color w:val="000000"/>
          <w:sz w:val="26"/>
          <w:szCs w:val="26"/>
        </w:rPr>
        <w:t xml:space="preserve">, </w:t>
      </w:r>
      <w:r w:rsidR="00937BFA" w:rsidRPr="009F33D1">
        <w:rPr>
          <w:rFonts w:cstheme="minorHAnsi"/>
          <w:color w:val="000000"/>
          <w:sz w:val="26"/>
          <w:szCs w:val="26"/>
        </w:rPr>
        <w:t xml:space="preserve"> ya que </w:t>
      </w:r>
      <w:r w:rsidRPr="009F33D1">
        <w:rPr>
          <w:rFonts w:cstheme="minorHAnsi"/>
          <w:color w:val="000000"/>
          <w:sz w:val="26"/>
          <w:szCs w:val="26"/>
        </w:rPr>
        <w:t>si bien</w:t>
      </w:r>
      <w:r w:rsidR="00937BFA" w:rsidRPr="009F33D1">
        <w:rPr>
          <w:rFonts w:cstheme="minorHAnsi"/>
          <w:color w:val="000000"/>
          <w:sz w:val="26"/>
          <w:szCs w:val="26"/>
        </w:rPr>
        <w:t>, las mujeres hemos</w:t>
      </w:r>
      <w:r w:rsidRPr="009F33D1">
        <w:rPr>
          <w:rFonts w:cstheme="minorHAnsi"/>
          <w:color w:val="000000"/>
          <w:sz w:val="26"/>
          <w:szCs w:val="26"/>
        </w:rPr>
        <w:t xml:space="preserve"> conquistado espacios políticos y de gobierno muy importantes, como la paridad en los poderes legislativos y en los gobiernos municipales, aún falta mucho por hacer. En la actualidad se lucha para lograr la paridad también en la conformación de los po</w:t>
      </w:r>
      <w:r w:rsidR="006547C4" w:rsidRPr="009F33D1">
        <w:rPr>
          <w:rFonts w:cstheme="minorHAnsi"/>
          <w:color w:val="000000"/>
          <w:sz w:val="26"/>
          <w:szCs w:val="26"/>
        </w:rPr>
        <w:t>deres ejecutivos de los estados</w:t>
      </w:r>
      <w:r w:rsidRPr="009F33D1">
        <w:rPr>
          <w:rFonts w:cstheme="minorHAnsi"/>
          <w:color w:val="000000"/>
          <w:sz w:val="26"/>
          <w:szCs w:val="26"/>
        </w:rPr>
        <w:t xml:space="preserve"> y en </w:t>
      </w:r>
      <w:r w:rsidR="006547C4" w:rsidRPr="009F33D1">
        <w:rPr>
          <w:rFonts w:cstheme="minorHAnsi"/>
          <w:color w:val="000000"/>
          <w:sz w:val="26"/>
          <w:szCs w:val="26"/>
        </w:rPr>
        <w:t xml:space="preserve"> los poderes judiciales; a</w:t>
      </w:r>
      <w:r w:rsidRPr="009F33D1">
        <w:rPr>
          <w:rFonts w:cstheme="minorHAnsi"/>
          <w:color w:val="000000"/>
          <w:sz w:val="26"/>
          <w:szCs w:val="26"/>
        </w:rPr>
        <w:t>sí como en la administración pública en general.</w:t>
      </w:r>
    </w:p>
    <w:p w14:paraId="23373E03" w14:textId="77777777" w:rsidR="005E1720" w:rsidRPr="009F33D1" w:rsidRDefault="005E1720" w:rsidP="00E65920">
      <w:pPr>
        <w:spacing w:before="120" w:after="120" w:line="360" w:lineRule="auto"/>
        <w:rPr>
          <w:rFonts w:cstheme="minorHAnsi"/>
          <w:color w:val="000000"/>
          <w:sz w:val="26"/>
          <w:szCs w:val="26"/>
        </w:rPr>
      </w:pPr>
    </w:p>
    <w:p w14:paraId="1952B7A8" w14:textId="2EB2E478" w:rsidR="005E1720" w:rsidRPr="009F33D1" w:rsidRDefault="00F26ABF" w:rsidP="00E65920">
      <w:pPr>
        <w:spacing w:before="120" w:after="120" w:line="360" w:lineRule="auto"/>
        <w:rPr>
          <w:rFonts w:cstheme="minorHAnsi"/>
          <w:color w:val="000000"/>
          <w:sz w:val="26"/>
          <w:szCs w:val="26"/>
        </w:rPr>
      </w:pPr>
      <w:r w:rsidRPr="009F33D1">
        <w:rPr>
          <w:rFonts w:cstheme="minorHAnsi"/>
          <w:color w:val="000000"/>
          <w:sz w:val="26"/>
          <w:szCs w:val="26"/>
        </w:rPr>
        <w:t>Pero</w:t>
      </w:r>
      <w:r w:rsidR="00937BFA" w:rsidRPr="009F33D1">
        <w:rPr>
          <w:rFonts w:cstheme="minorHAnsi"/>
          <w:color w:val="000000"/>
          <w:sz w:val="26"/>
          <w:szCs w:val="26"/>
        </w:rPr>
        <w:t xml:space="preserve"> en el sector p</w:t>
      </w:r>
      <w:r w:rsidR="008A2240" w:rsidRPr="009F33D1">
        <w:rPr>
          <w:rFonts w:cstheme="minorHAnsi"/>
          <w:color w:val="000000"/>
          <w:sz w:val="26"/>
          <w:szCs w:val="26"/>
        </w:rPr>
        <w:t>rivado</w:t>
      </w:r>
      <w:r w:rsidR="00937BFA" w:rsidRPr="009F33D1">
        <w:rPr>
          <w:rFonts w:cstheme="minorHAnsi"/>
          <w:color w:val="000000"/>
          <w:sz w:val="26"/>
          <w:szCs w:val="26"/>
        </w:rPr>
        <w:t>, la brecha d</w:t>
      </w:r>
      <w:r w:rsidR="00305074" w:rsidRPr="009F33D1">
        <w:rPr>
          <w:rFonts w:cstheme="minorHAnsi"/>
          <w:color w:val="000000"/>
          <w:sz w:val="26"/>
          <w:szCs w:val="26"/>
        </w:rPr>
        <w:t>e desigualdad continú</w:t>
      </w:r>
      <w:r w:rsidR="00E13AEF" w:rsidRPr="009F33D1">
        <w:rPr>
          <w:rFonts w:cstheme="minorHAnsi"/>
          <w:color w:val="000000"/>
          <w:sz w:val="26"/>
          <w:szCs w:val="26"/>
        </w:rPr>
        <w:t>a presente</w:t>
      </w:r>
      <w:r w:rsidR="00937BFA" w:rsidRPr="009F33D1">
        <w:rPr>
          <w:rFonts w:cstheme="minorHAnsi"/>
          <w:color w:val="000000"/>
          <w:sz w:val="26"/>
          <w:szCs w:val="26"/>
        </w:rPr>
        <w:t xml:space="preserve"> y requiere de  esfue</w:t>
      </w:r>
      <w:r w:rsidR="003D3126" w:rsidRPr="009F33D1">
        <w:rPr>
          <w:rFonts w:cstheme="minorHAnsi"/>
          <w:color w:val="000000"/>
          <w:sz w:val="26"/>
          <w:szCs w:val="26"/>
        </w:rPr>
        <w:t>rzos coordinados entre la Iniciativa Privada</w:t>
      </w:r>
      <w:r w:rsidR="00937BFA" w:rsidRPr="009F33D1">
        <w:rPr>
          <w:rFonts w:cstheme="minorHAnsi"/>
          <w:color w:val="000000"/>
          <w:sz w:val="26"/>
          <w:szCs w:val="26"/>
        </w:rPr>
        <w:t>, los poderes legislativos, las organizaciones que lucha</w:t>
      </w:r>
      <w:r w:rsidR="003D3126" w:rsidRPr="009F33D1">
        <w:rPr>
          <w:rFonts w:cstheme="minorHAnsi"/>
          <w:color w:val="000000"/>
          <w:sz w:val="26"/>
          <w:szCs w:val="26"/>
        </w:rPr>
        <w:t>n</w:t>
      </w:r>
      <w:r w:rsidR="00080D2A" w:rsidRPr="009F33D1">
        <w:rPr>
          <w:rFonts w:cstheme="minorHAnsi"/>
          <w:color w:val="000000"/>
          <w:sz w:val="26"/>
          <w:szCs w:val="26"/>
        </w:rPr>
        <w:t xml:space="preserve"> por la equidad de género y</w:t>
      </w:r>
      <w:r w:rsidR="00937BFA" w:rsidRPr="009F33D1">
        <w:rPr>
          <w:rFonts w:cstheme="minorHAnsi"/>
          <w:color w:val="000000"/>
          <w:sz w:val="26"/>
          <w:szCs w:val="26"/>
        </w:rPr>
        <w:t xml:space="preserve"> desde luego</w:t>
      </w:r>
      <w:r w:rsidR="003D3126" w:rsidRPr="009F33D1">
        <w:rPr>
          <w:rFonts w:cstheme="minorHAnsi"/>
          <w:color w:val="000000"/>
          <w:sz w:val="26"/>
          <w:szCs w:val="26"/>
        </w:rPr>
        <w:t>, las administraciones públicas,</w:t>
      </w:r>
      <w:r w:rsidR="00937BFA" w:rsidRPr="009F33D1">
        <w:rPr>
          <w:rFonts w:cstheme="minorHAnsi"/>
          <w:color w:val="000000"/>
          <w:sz w:val="26"/>
          <w:szCs w:val="26"/>
        </w:rPr>
        <w:t xml:space="preserve"> para log</w:t>
      </w:r>
      <w:r w:rsidR="006547C4" w:rsidRPr="009F33D1">
        <w:rPr>
          <w:rFonts w:cstheme="minorHAnsi"/>
          <w:color w:val="000000"/>
          <w:sz w:val="26"/>
          <w:szCs w:val="26"/>
        </w:rPr>
        <w:t>rar establecer en forma exitosa</w:t>
      </w:r>
      <w:r w:rsidR="00937BFA" w:rsidRPr="009F33D1">
        <w:rPr>
          <w:rFonts w:cstheme="minorHAnsi"/>
          <w:color w:val="000000"/>
          <w:sz w:val="26"/>
          <w:szCs w:val="26"/>
        </w:rPr>
        <w:t xml:space="preserve"> condiciones de trabajo iguales para mu</w:t>
      </w:r>
      <w:r w:rsidR="00E83DF0" w:rsidRPr="009F33D1">
        <w:rPr>
          <w:rFonts w:cstheme="minorHAnsi"/>
          <w:color w:val="000000"/>
          <w:sz w:val="26"/>
          <w:szCs w:val="26"/>
        </w:rPr>
        <w:t>jeres y hombres</w:t>
      </w:r>
      <w:r w:rsidR="00937BFA" w:rsidRPr="009F33D1">
        <w:rPr>
          <w:rFonts w:cstheme="minorHAnsi"/>
          <w:color w:val="000000"/>
          <w:sz w:val="26"/>
          <w:szCs w:val="26"/>
        </w:rPr>
        <w:t xml:space="preserve"> y terminar con los problemas relacionados con la desigualdad que aquejan a este sector. Es así</w:t>
      </w:r>
      <w:r w:rsidR="006547C4" w:rsidRPr="009F33D1">
        <w:rPr>
          <w:rFonts w:cstheme="minorHAnsi"/>
          <w:color w:val="000000"/>
          <w:sz w:val="26"/>
          <w:szCs w:val="26"/>
        </w:rPr>
        <w:t>,</w:t>
      </w:r>
      <w:r w:rsidR="00937BFA" w:rsidRPr="009F33D1">
        <w:rPr>
          <w:rFonts w:cstheme="minorHAnsi"/>
          <w:color w:val="000000"/>
          <w:sz w:val="26"/>
          <w:szCs w:val="26"/>
        </w:rPr>
        <w:t xml:space="preserve"> que incluso se han realizado esfuerzos internacionales, como la creación del llamado “Sello de Igualdad de Género”, para certificar a las instituciones públicas y privadas que cumplen con estándares específicos para promover la igualdad de género en el trabajo. Este proyecto forma parte del Programa de las Naciones Unidad para el Desarrollo.</w:t>
      </w:r>
    </w:p>
    <w:p w14:paraId="155C7536" w14:textId="77777777" w:rsidR="00937BFA" w:rsidRPr="009F33D1" w:rsidRDefault="00937BFA" w:rsidP="00E65920">
      <w:pPr>
        <w:spacing w:before="120" w:after="120" w:line="360" w:lineRule="auto"/>
        <w:rPr>
          <w:rFonts w:cstheme="minorHAnsi"/>
          <w:color w:val="000000"/>
          <w:sz w:val="26"/>
          <w:szCs w:val="26"/>
        </w:rPr>
      </w:pPr>
    </w:p>
    <w:p w14:paraId="17094F8B" w14:textId="77777777" w:rsidR="00937BFA" w:rsidRPr="009F33D1" w:rsidRDefault="00937BFA" w:rsidP="00E65920">
      <w:pPr>
        <w:spacing w:before="120" w:after="120" w:line="360" w:lineRule="auto"/>
        <w:rPr>
          <w:rFonts w:cstheme="minorHAnsi"/>
          <w:color w:val="000000"/>
          <w:sz w:val="26"/>
          <w:szCs w:val="26"/>
        </w:rPr>
      </w:pPr>
      <w:r w:rsidRPr="009F33D1">
        <w:rPr>
          <w:rFonts w:cstheme="minorHAnsi"/>
          <w:color w:val="000000"/>
          <w:sz w:val="26"/>
          <w:szCs w:val="26"/>
        </w:rPr>
        <w:lastRenderedPageBreak/>
        <w:t>Actualmente, la Ley de Adquisiciones, Arrendamientos y Servicios del Sector Público establece en su artículo 14, lo siguiente:</w:t>
      </w:r>
    </w:p>
    <w:p w14:paraId="5B3D4071" w14:textId="77777777" w:rsidR="00937BFA" w:rsidRPr="009F33D1" w:rsidRDefault="00937BFA" w:rsidP="00E65920">
      <w:pPr>
        <w:spacing w:before="120" w:after="120"/>
        <w:rPr>
          <w:rFonts w:cstheme="minorHAnsi"/>
          <w:sz w:val="26"/>
          <w:szCs w:val="26"/>
        </w:rPr>
      </w:pPr>
      <w:r w:rsidRPr="009F33D1">
        <w:rPr>
          <w:rFonts w:cstheme="minorHAnsi"/>
          <w:sz w:val="26"/>
          <w:szCs w:val="26"/>
        </w:rPr>
        <w:t>……</w:t>
      </w:r>
    </w:p>
    <w:p w14:paraId="57DE0AB0" w14:textId="77777777" w:rsidR="00937BFA" w:rsidRPr="009F33D1" w:rsidRDefault="00937BFA" w:rsidP="00E65920">
      <w:pPr>
        <w:spacing w:before="120" w:after="120"/>
        <w:rPr>
          <w:rFonts w:cstheme="minorHAnsi"/>
          <w:i/>
          <w:sz w:val="26"/>
          <w:szCs w:val="26"/>
          <w:u w:val="single"/>
        </w:rPr>
      </w:pPr>
      <w:r w:rsidRPr="009F33D1">
        <w:rPr>
          <w:rFonts w:cstheme="minorHAnsi"/>
          <w:i/>
          <w:sz w:val="26"/>
          <w:szCs w:val="26"/>
        </w:rPr>
        <w:t xml:space="preserve">En el caso de licitación pública para la adquisición de bienes, arrendamientos o servicios que utilicen la evaluación de puntos y porcentajes, se otorgarán puntos en los términos de esta Ley, </w:t>
      </w:r>
      <w:r w:rsidRPr="009F33D1">
        <w:rPr>
          <w:rFonts w:cstheme="minorHAnsi"/>
          <w:i/>
          <w:sz w:val="26"/>
          <w:szCs w:val="26"/>
          <w:u w:val="single"/>
        </w:rPr>
        <w:t>a personas con discapacidad o a la empresa que cuente con trabajadores con discapacidad</w:t>
      </w:r>
      <w:r w:rsidRPr="009F33D1">
        <w:rPr>
          <w:rFonts w:cstheme="minorHAnsi"/>
          <w:i/>
          <w:sz w:val="26"/>
          <w:szCs w:val="26"/>
        </w:rPr>
        <w:t xml:space="preserve"> en una proporción del cinco por ciento cuando menos de la totalidad de su planta de empleados, cuya antigüedad no sea inferior a seis meses, misma que se comprobará con el aviso de alta al régimen obligatorio del Instituto Mexicano del Seguro Social. Asimismo, </w:t>
      </w:r>
      <w:r w:rsidRPr="009F33D1">
        <w:rPr>
          <w:rFonts w:cstheme="minorHAnsi"/>
          <w:i/>
          <w:sz w:val="26"/>
          <w:szCs w:val="26"/>
          <w:u w:val="single"/>
        </w:rPr>
        <w:t>se otorgarán puntos a las micros, pequeñas o medianas empresas que produzcan bienes con innovación tecnológica, conforme a la constancia correspondiente emitida por el Instituto Mexicano de la Propiedad Industrial, la cual no podrá tener una vigencia mayor a cinco años. De igual manera, se otorgarán puntos a las empresas que hayan aplicado políticas y prácticas de igualdad de género, conforme a la certificación correspondiente emitida por las autoridades y organismos facultados para tal efecto.</w:t>
      </w:r>
    </w:p>
    <w:p w14:paraId="7C4CE165" w14:textId="77777777" w:rsidR="00937BFA" w:rsidRPr="009F33D1" w:rsidRDefault="00937BFA" w:rsidP="00E65920">
      <w:pPr>
        <w:spacing w:before="120" w:after="120"/>
        <w:rPr>
          <w:rFonts w:cstheme="minorHAnsi"/>
          <w:color w:val="FF0000"/>
          <w:sz w:val="26"/>
          <w:szCs w:val="26"/>
        </w:rPr>
      </w:pPr>
      <w:r w:rsidRPr="009F33D1">
        <w:rPr>
          <w:rFonts w:cstheme="minorHAnsi"/>
          <w:sz w:val="26"/>
          <w:szCs w:val="26"/>
        </w:rPr>
        <w:t xml:space="preserve">Para mayor ilustración, creamos el siguiente cuadro comparativo entre las leyes de adquisiciones federal y local, el cual no leeremos, </w:t>
      </w:r>
      <w:r w:rsidRPr="009F33D1">
        <w:rPr>
          <w:rFonts w:cstheme="minorHAnsi"/>
          <w:color w:val="FF0000"/>
          <w:sz w:val="26"/>
          <w:szCs w:val="26"/>
        </w:rPr>
        <w:t xml:space="preserve">pero queda para la consulta </w:t>
      </w:r>
      <w:r w:rsidR="00197B7A" w:rsidRPr="009F33D1">
        <w:rPr>
          <w:rFonts w:cstheme="minorHAnsi"/>
          <w:color w:val="FF0000"/>
          <w:sz w:val="26"/>
          <w:szCs w:val="26"/>
        </w:rPr>
        <w:t xml:space="preserve"> de quien lo desee.</w:t>
      </w:r>
    </w:p>
    <w:p w14:paraId="2C6FC944" w14:textId="77777777" w:rsidR="00937BFA" w:rsidRPr="009F33D1" w:rsidRDefault="00937BFA" w:rsidP="00E65920">
      <w:pPr>
        <w:spacing w:before="120" w:after="120"/>
        <w:rPr>
          <w:rFonts w:cstheme="minorHAnsi"/>
          <w:sz w:val="26"/>
          <w:szCs w:val="26"/>
        </w:rPr>
      </w:pPr>
      <w:r w:rsidRPr="009F33D1">
        <w:rPr>
          <w:rFonts w:cstheme="minorHAnsi"/>
          <w:sz w:val="26"/>
          <w:szCs w:val="26"/>
        </w:rPr>
        <w:t>Ley de Adquisiciones de Coahuila                                Ley de Adquisiciones Federal</w:t>
      </w:r>
    </w:p>
    <w:tbl>
      <w:tblPr>
        <w:tblW w:w="0" w:type="auto"/>
        <w:tblLook w:val="04A0" w:firstRow="1" w:lastRow="0" w:firstColumn="1" w:lastColumn="0" w:noHBand="0" w:noVBand="1"/>
      </w:tblPr>
      <w:tblGrid>
        <w:gridCol w:w="4831"/>
        <w:gridCol w:w="4575"/>
      </w:tblGrid>
      <w:tr w:rsidR="00937BFA" w:rsidRPr="009F33D1" w14:paraId="10C214A6" w14:textId="77777777" w:rsidTr="00937BFA">
        <w:tc>
          <w:tcPr>
            <w:tcW w:w="4957" w:type="dxa"/>
          </w:tcPr>
          <w:p w14:paraId="57890CFE" w14:textId="77777777" w:rsidR="00937BFA" w:rsidRPr="009F33D1" w:rsidRDefault="00937BFA" w:rsidP="00E65920">
            <w:pPr>
              <w:spacing w:before="120" w:after="120"/>
              <w:rPr>
                <w:rFonts w:cstheme="minorHAnsi"/>
                <w:sz w:val="26"/>
                <w:szCs w:val="26"/>
              </w:rPr>
            </w:pPr>
          </w:p>
          <w:p w14:paraId="3FC45D91" w14:textId="77777777" w:rsidR="00937BFA" w:rsidRPr="009F33D1" w:rsidRDefault="00937BFA" w:rsidP="00E65920">
            <w:pPr>
              <w:spacing w:before="120" w:after="120"/>
              <w:rPr>
                <w:rFonts w:cstheme="minorHAnsi"/>
                <w:b/>
                <w:sz w:val="26"/>
                <w:szCs w:val="26"/>
              </w:rPr>
            </w:pPr>
            <w:r w:rsidRPr="009F33D1">
              <w:rPr>
                <w:rFonts w:cstheme="minorHAnsi"/>
                <w:sz w:val="26"/>
                <w:szCs w:val="26"/>
              </w:rPr>
              <w:t xml:space="preserve">Artículo 17.- En los procedimientos de contratación de carácter internacional, las Dependencias y Entidades optarán, en igualdad de condiciones, por el empleo de los recursos humanos del país y por la adquisición y arrendamiento de bienes producidos en el país, con un margen hasta del quince por ciento de preferencia en el precio respecto de los bienes de importaciones, el caso de concurso para la adquisición de bienes o servicios, en igualdad de condiciones, </w:t>
            </w:r>
            <w:r w:rsidRPr="009F33D1">
              <w:rPr>
                <w:rFonts w:cstheme="minorHAnsi"/>
                <w:b/>
                <w:sz w:val="26"/>
                <w:szCs w:val="26"/>
              </w:rPr>
              <w:t xml:space="preserve">se dará preferencia a personas con discapacidad o a la empresa que </w:t>
            </w:r>
            <w:r w:rsidRPr="009F33D1">
              <w:rPr>
                <w:rFonts w:cstheme="minorHAnsi"/>
                <w:b/>
                <w:sz w:val="26"/>
                <w:szCs w:val="26"/>
              </w:rPr>
              <w:lastRenderedPageBreak/>
              <w:t xml:space="preserve">cuente con personal con discapacidad en una proporción del cinco por ciento cuando menos de la totalidad de su planta de empleados, cuya antigüedad no sea inferior a seis meses; antigüedad que se comprobará con el aviso de alta al régimen obligatorio del Instituto Mexicano del Seguro Social. </w:t>
            </w:r>
          </w:p>
          <w:p w14:paraId="6B464FBA" w14:textId="77777777" w:rsidR="00937BFA" w:rsidRPr="009F33D1" w:rsidRDefault="00937BFA" w:rsidP="00E65920">
            <w:pPr>
              <w:spacing w:before="120" w:after="120"/>
              <w:rPr>
                <w:rFonts w:cstheme="minorHAnsi"/>
                <w:sz w:val="26"/>
                <w:szCs w:val="26"/>
              </w:rPr>
            </w:pPr>
          </w:p>
          <w:p w14:paraId="036D7A6D" w14:textId="77777777" w:rsidR="00937BFA" w:rsidRPr="009F33D1" w:rsidRDefault="00937BFA" w:rsidP="00E65920">
            <w:pPr>
              <w:spacing w:before="120" w:after="120"/>
              <w:rPr>
                <w:rFonts w:cstheme="minorHAnsi"/>
                <w:sz w:val="26"/>
                <w:szCs w:val="26"/>
              </w:rPr>
            </w:pPr>
            <w:r w:rsidRPr="009F33D1">
              <w:rPr>
                <w:rFonts w:cstheme="minorHAnsi"/>
                <w:sz w:val="26"/>
                <w:szCs w:val="26"/>
              </w:rPr>
              <w:t xml:space="preserve"> </w:t>
            </w:r>
          </w:p>
          <w:p w14:paraId="19FE51C9" w14:textId="77777777" w:rsidR="00937BFA" w:rsidRPr="009F33D1" w:rsidRDefault="00937BFA" w:rsidP="00E65920">
            <w:pPr>
              <w:spacing w:before="120" w:after="120"/>
              <w:rPr>
                <w:rFonts w:cstheme="minorHAnsi"/>
                <w:sz w:val="26"/>
                <w:szCs w:val="26"/>
              </w:rPr>
            </w:pPr>
          </w:p>
          <w:p w14:paraId="4C94499C" w14:textId="77777777" w:rsidR="00937BFA" w:rsidRPr="009F33D1" w:rsidRDefault="00937BFA" w:rsidP="00E65920">
            <w:pPr>
              <w:spacing w:before="120" w:after="120"/>
              <w:rPr>
                <w:rFonts w:cstheme="minorHAnsi"/>
                <w:sz w:val="26"/>
                <w:szCs w:val="26"/>
              </w:rPr>
            </w:pPr>
            <w:r w:rsidRPr="009F33D1">
              <w:rPr>
                <w:rFonts w:cstheme="minorHAnsi"/>
                <w:sz w:val="26"/>
                <w:szCs w:val="26"/>
              </w:rPr>
              <w:t xml:space="preserve"> </w:t>
            </w:r>
          </w:p>
          <w:p w14:paraId="6FD8CB59" w14:textId="77777777" w:rsidR="00937BFA" w:rsidRPr="009F33D1" w:rsidRDefault="00937BFA" w:rsidP="00E65920">
            <w:pPr>
              <w:spacing w:before="120" w:after="120"/>
              <w:rPr>
                <w:rFonts w:cstheme="minorHAnsi"/>
                <w:sz w:val="26"/>
                <w:szCs w:val="26"/>
              </w:rPr>
            </w:pPr>
            <w:r w:rsidRPr="009F33D1">
              <w:rPr>
                <w:rFonts w:cstheme="minorHAnsi"/>
                <w:sz w:val="26"/>
                <w:szCs w:val="26"/>
              </w:rPr>
              <w:t xml:space="preserve"> </w:t>
            </w:r>
          </w:p>
          <w:p w14:paraId="6AFE01D3" w14:textId="77777777" w:rsidR="00937BFA" w:rsidRPr="009F33D1" w:rsidRDefault="00937BFA" w:rsidP="00E65920">
            <w:pPr>
              <w:spacing w:before="120" w:after="120"/>
              <w:rPr>
                <w:rFonts w:cstheme="minorHAnsi"/>
                <w:sz w:val="26"/>
                <w:szCs w:val="26"/>
              </w:rPr>
            </w:pPr>
          </w:p>
          <w:p w14:paraId="2D98FC75" w14:textId="77777777" w:rsidR="00937BFA" w:rsidRPr="009F33D1" w:rsidRDefault="00937BFA" w:rsidP="00E65920">
            <w:pPr>
              <w:spacing w:before="120" w:after="120"/>
              <w:rPr>
                <w:rFonts w:cstheme="minorHAnsi"/>
                <w:sz w:val="26"/>
                <w:szCs w:val="26"/>
              </w:rPr>
            </w:pPr>
          </w:p>
        </w:tc>
        <w:tc>
          <w:tcPr>
            <w:tcW w:w="4677" w:type="dxa"/>
          </w:tcPr>
          <w:p w14:paraId="3A8E70CD" w14:textId="77777777" w:rsidR="00E65920" w:rsidRDefault="00E65920" w:rsidP="00E65920">
            <w:pPr>
              <w:spacing w:before="120" w:after="120"/>
              <w:rPr>
                <w:rFonts w:cstheme="minorHAnsi"/>
                <w:sz w:val="26"/>
                <w:szCs w:val="26"/>
              </w:rPr>
            </w:pPr>
          </w:p>
          <w:p w14:paraId="6119D145" w14:textId="3051509D" w:rsidR="00937BFA" w:rsidRPr="009F33D1" w:rsidRDefault="00937BFA" w:rsidP="00E65920">
            <w:pPr>
              <w:spacing w:before="120" w:after="120"/>
              <w:rPr>
                <w:rFonts w:cstheme="minorHAnsi"/>
                <w:sz w:val="26"/>
                <w:szCs w:val="26"/>
              </w:rPr>
            </w:pPr>
            <w:r w:rsidRPr="009F33D1">
              <w:rPr>
                <w:rFonts w:cstheme="minorHAnsi"/>
                <w:sz w:val="26"/>
                <w:szCs w:val="26"/>
              </w:rPr>
              <w:t xml:space="preserve">Artículo 14. En los procedimientos de contratación de carácter internacional abierto, las dependencias y entidades optarán, en igualdad de condiciones, por el empleo de los recursos humanos del país y por la adquisición y arrendamiento de bienes producidos en el país y que cuenten con el porcentaje de contenido nacional indicado en el artículo 28 fracción I, de esta Ley, los cuales deberán contar, en la comparación económica de las proposiciones, con un margen hasta del quince por ciento de preferencia en el precio respecto de los bienes de </w:t>
            </w:r>
            <w:r w:rsidRPr="009F33D1">
              <w:rPr>
                <w:rFonts w:cstheme="minorHAnsi"/>
                <w:sz w:val="26"/>
                <w:szCs w:val="26"/>
              </w:rPr>
              <w:lastRenderedPageBreak/>
              <w:t>importación, conforme a las reglas que establezca la Secretaría de Economía, previa opinión de la Secretaría y de la Secretaría de la Función Pública.</w:t>
            </w:r>
          </w:p>
          <w:p w14:paraId="367E29D2" w14:textId="77777777" w:rsidR="00937BFA" w:rsidRPr="009F33D1" w:rsidRDefault="00937BFA" w:rsidP="00E65920">
            <w:pPr>
              <w:spacing w:before="120" w:after="120"/>
              <w:rPr>
                <w:rFonts w:cstheme="minorHAnsi"/>
                <w:sz w:val="26"/>
                <w:szCs w:val="26"/>
              </w:rPr>
            </w:pPr>
          </w:p>
          <w:p w14:paraId="21172A64" w14:textId="77777777" w:rsidR="00937BFA" w:rsidRPr="009F33D1" w:rsidRDefault="00937BFA" w:rsidP="00E65920">
            <w:pPr>
              <w:spacing w:before="120" w:after="120"/>
              <w:rPr>
                <w:rFonts w:cstheme="minorHAnsi"/>
                <w:b/>
                <w:sz w:val="26"/>
                <w:szCs w:val="26"/>
              </w:rPr>
            </w:pPr>
            <w:r w:rsidRPr="009F33D1">
              <w:rPr>
                <w:rFonts w:cstheme="minorHAnsi"/>
                <w:sz w:val="26"/>
                <w:szCs w:val="26"/>
              </w:rPr>
              <w:t xml:space="preserve">En el caso de licitación pública para la adquisición de bienes, arrendamientos o servicios que utilicen la evaluación de puntos y porcentajes, se otorgarán puntos en los términos de esta Ley, </w:t>
            </w:r>
            <w:r w:rsidRPr="009F33D1">
              <w:rPr>
                <w:rFonts w:cstheme="minorHAnsi"/>
                <w:b/>
                <w:sz w:val="26"/>
                <w:szCs w:val="26"/>
              </w:rPr>
              <w:t>a personas con discapacidad o a la empresa que cuente con trabajadores con discapacidad en una proporción del cinco por ciento cuando menos de la totalidad de su planta de empleados, cuya antigüedad no sea inferior a seis meses, misma que se comprobará con el aviso de alta al régimen obligatorio del Instituto Mexicano del Seguro Social. Asimismo, se otorgarán puntos a las micros, pequeñas o medianas empresas que produzcan bienes con innovación tecnológica, conforme a la constancia correspondiente emitida por el Instituto Mexicano de la Propiedad Industrial, la cual no podrá tener una vigencia mayor a cinco años. De igual manera, se otorgarán puntos a las empresas que hayan aplicado políticas y prácticas de igualdad de género, conforme a la certificación correspondiente emitida por las autoridades y organismos facultados para tal efecto…..</w:t>
            </w:r>
          </w:p>
        </w:tc>
      </w:tr>
    </w:tbl>
    <w:p w14:paraId="009EE160" w14:textId="77777777" w:rsidR="005E1720" w:rsidRPr="009F33D1" w:rsidRDefault="005E1720" w:rsidP="00E65920">
      <w:pPr>
        <w:spacing w:before="120" w:after="120" w:line="360" w:lineRule="auto"/>
        <w:rPr>
          <w:rFonts w:cstheme="minorHAnsi"/>
          <w:sz w:val="26"/>
          <w:szCs w:val="26"/>
        </w:rPr>
      </w:pPr>
    </w:p>
    <w:p w14:paraId="6A38D4C6" w14:textId="77777777" w:rsidR="00BA007D" w:rsidRPr="009F33D1" w:rsidRDefault="00BA007D" w:rsidP="00E65920">
      <w:pPr>
        <w:spacing w:before="120" w:after="120" w:line="360" w:lineRule="auto"/>
        <w:rPr>
          <w:rFonts w:cstheme="minorHAnsi"/>
          <w:sz w:val="26"/>
          <w:szCs w:val="26"/>
        </w:rPr>
      </w:pPr>
      <w:r w:rsidRPr="009F33D1">
        <w:rPr>
          <w:rFonts w:cstheme="minorHAnsi"/>
          <w:sz w:val="26"/>
          <w:szCs w:val="26"/>
        </w:rPr>
        <w:t>Por otra parte, el artículo 34 de la Ley de Adquisiciones, Arrendamientos y Contratación de Servicios  para el Estado de Coahuila de Zaragoza</w:t>
      </w:r>
      <w:r w:rsidR="000E6C6F" w:rsidRPr="009F33D1">
        <w:rPr>
          <w:rFonts w:cstheme="minorHAnsi"/>
          <w:sz w:val="26"/>
          <w:szCs w:val="26"/>
        </w:rPr>
        <w:t>, dispone la preferencia que se otorgará en las contrataciones y licitaciones para las empresas que tengan incorporada tecnología nacional; esto conforme a la siguiente redacción:</w:t>
      </w:r>
    </w:p>
    <w:p w14:paraId="214792EA" w14:textId="77777777" w:rsidR="000E6C6F" w:rsidRPr="009F33D1" w:rsidRDefault="000E6C6F" w:rsidP="00E65920">
      <w:pPr>
        <w:spacing w:before="120" w:after="120" w:line="360" w:lineRule="auto"/>
        <w:rPr>
          <w:rFonts w:cstheme="minorHAnsi"/>
          <w:bCs/>
          <w:i/>
          <w:sz w:val="26"/>
          <w:szCs w:val="26"/>
        </w:rPr>
      </w:pPr>
      <w:r w:rsidRPr="009F33D1">
        <w:rPr>
          <w:rFonts w:cstheme="minorHAnsi"/>
          <w:i/>
          <w:sz w:val="26"/>
          <w:szCs w:val="26"/>
        </w:rPr>
        <w:t>…..</w:t>
      </w:r>
      <w:r w:rsidRPr="009F33D1">
        <w:rPr>
          <w:rFonts w:cstheme="minorHAnsi"/>
          <w:b/>
          <w:bCs/>
          <w:i/>
          <w:sz w:val="26"/>
          <w:szCs w:val="26"/>
        </w:rPr>
        <w:t xml:space="preserve"> Artículo 34.-</w:t>
      </w:r>
      <w:r w:rsidRPr="009F33D1">
        <w:rPr>
          <w:rFonts w:cstheme="minorHAnsi"/>
          <w:bCs/>
          <w:i/>
          <w:sz w:val="26"/>
          <w:szCs w:val="26"/>
        </w:rPr>
        <w:t xml:space="preserve"> La Unidad, la Secretaría y las Dependencias y Entidades, formularán sus programas anuales de adquisiciones, arrendamientos y contratación de servicios, así como sus respectivos presupuestos considerando:</w:t>
      </w:r>
    </w:p>
    <w:p w14:paraId="51DBD7EC" w14:textId="77777777" w:rsidR="000E6C6F" w:rsidRPr="009F33D1" w:rsidRDefault="000E6C6F" w:rsidP="00E65920">
      <w:pPr>
        <w:spacing w:before="120" w:after="120" w:line="360" w:lineRule="auto"/>
        <w:rPr>
          <w:rFonts w:cstheme="minorHAnsi"/>
          <w:bCs/>
          <w:sz w:val="26"/>
          <w:szCs w:val="26"/>
        </w:rPr>
      </w:pPr>
      <w:r w:rsidRPr="009F33D1">
        <w:rPr>
          <w:rFonts w:cstheme="minorHAnsi"/>
          <w:bCs/>
          <w:sz w:val="26"/>
          <w:szCs w:val="26"/>
        </w:rPr>
        <w:t>……</w:t>
      </w:r>
    </w:p>
    <w:p w14:paraId="79F76C6C" w14:textId="77777777" w:rsidR="00C652E3" w:rsidRPr="009F33D1" w:rsidRDefault="000E6C6F" w:rsidP="00E65920">
      <w:pPr>
        <w:spacing w:before="120" w:after="120"/>
        <w:ind w:left="397" w:hanging="397"/>
        <w:rPr>
          <w:rFonts w:cstheme="minorHAnsi"/>
          <w:bCs/>
          <w:i/>
          <w:sz w:val="26"/>
          <w:szCs w:val="26"/>
        </w:rPr>
      </w:pPr>
      <w:r w:rsidRPr="009F33D1">
        <w:rPr>
          <w:rFonts w:cstheme="minorHAnsi"/>
          <w:b/>
          <w:bCs/>
          <w:i/>
          <w:sz w:val="26"/>
          <w:szCs w:val="26"/>
        </w:rPr>
        <w:t>VI.</w:t>
      </w:r>
      <w:r w:rsidRPr="009F33D1">
        <w:rPr>
          <w:rFonts w:cstheme="minorHAnsi"/>
          <w:bCs/>
          <w:i/>
          <w:sz w:val="26"/>
          <w:szCs w:val="26"/>
        </w:rPr>
        <w:tab/>
        <w:t>De preferencia, la inclusión de insumo, material, equipo, sistemas y servicios que tengan incorporada tecnología nacional, tomando en cuenta los requerimientos técnicos y económicos de las adquisiciones o pedidos que vayan a hacerse en el país o en el extra</w:t>
      </w:r>
      <w:r w:rsidR="005B15D4" w:rsidRPr="009F33D1">
        <w:rPr>
          <w:rFonts w:cstheme="minorHAnsi"/>
          <w:bCs/>
          <w:i/>
          <w:sz w:val="26"/>
          <w:szCs w:val="26"/>
        </w:rPr>
        <w:t>njero…..</w:t>
      </w:r>
    </w:p>
    <w:p w14:paraId="24075675" w14:textId="77777777" w:rsidR="000E6C6F" w:rsidRPr="009F33D1" w:rsidRDefault="000E6C6F" w:rsidP="00E65920">
      <w:pPr>
        <w:spacing w:before="120" w:after="120" w:line="360" w:lineRule="auto"/>
        <w:rPr>
          <w:rFonts w:cstheme="minorHAnsi"/>
          <w:bCs/>
          <w:sz w:val="26"/>
          <w:szCs w:val="26"/>
        </w:rPr>
      </w:pPr>
      <w:r w:rsidRPr="009F33D1">
        <w:rPr>
          <w:rFonts w:cstheme="minorHAnsi"/>
          <w:bCs/>
          <w:sz w:val="26"/>
          <w:szCs w:val="26"/>
        </w:rPr>
        <w:t>La disposición, como se lee, establece la preferencia que se debe brindar al consumo de insumos nacionales, materiales y equipos que tenga incorporada tecnología nacional. Es por ende, un</w:t>
      </w:r>
      <w:r w:rsidR="00C652E3" w:rsidRPr="009F33D1">
        <w:rPr>
          <w:rFonts w:cstheme="minorHAnsi"/>
          <w:bCs/>
          <w:sz w:val="26"/>
          <w:szCs w:val="26"/>
        </w:rPr>
        <w:t xml:space="preserve"> artículo que debe ser correlacionado con el 17, que proponemos sea reformado para los efectos aquí planteados. </w:t>
      </w:r>
    </w:p>
    <w:p w14:paraId="488C9DA5" w14:textId="77777777" w:rsidR="006547C4" w:rsidRPr="009F33D1" w:rsidRDefault="006547C4" w:rsidP="00E65920">
      <w:pPr>
        <w:spacing w:before="120" w:after="120" w:line="360" w:lineRule="auto"/>
        <w:rPr>
          <w:rFonts w:cstheme="minorHAnsi"/>
          <w:sz w:val="26"/>
          <w:szCs w:val="26"/>
        </w:rPr>
      </w:pPr>
      <w:r w:rsidRPr="009F33D1">
        <w:rPr>
          <w:rFonts w:cstheme="minorHAnsi"/>
          <w:sz w:val="26"/>
          <w:szCs w:val="26"/>
        </w:rPr>
        <w:t xml:space="preserve">De esta forma, resulta evidente que en los ordenamientos sobre adquisiciones es necesario introducir la preferencia que se dará a las empresas que deseen participar en los procesos para ser proveedoras de a la administración pública, cuando apliquen en su estructura interna prácticas y políticas para lograr la equidad de género. </w:t>
      </w:r>
    </w:p>
    <w:p w14:paraId="5588A64C" w14:textId="77777777" w:rsidR="00C652E3" w:rsidRPr="009F33D1" w:rsidRDefault="00C652E3" w:rsidP="00E65920">
      <w:pPr>
        <w:spacing w:before="120" w:after="120" w:line="360" w:lineRule="auto"/>
        <w:rPr>
          <w:rFonts w:cstheme="minorHAnsi"/>
          <w:sz w:val="26"/>
          <w:szCs w:val="26"/>
        </w:rPr>
      </w:pPr>
    </w:p>
    <w:p w14:paraId="766085E7" w14:textId="77777777" w:rsidR="00937BFA" w:rsidRPr="009F33D1" w:rsidRDefault="00937BFA" w:rsidP="00E65920">
      <w:pPr>
        <w:spacing w:before="120" w:after="120" w:line="360" w:lineRule="auto"/>
        <w:rPr>
          <w:rFonts w:cstheme="minorHAnsi"/>
          <w:color w:val="000000"/>
          <w:sz w:val="26"/>
          <w:szCs w:val="26"/>
        </w:rPr>
      </w:pPr>
      <w:r w:rsidRPr="009F33D1">
        <w:rPr>
          <w:rFonts w:cstheme="minorHAnsi"/>
          <w:sz w:val="26"/>
          <w:szCs w:val="26"/>
        </w:rPr>
        <w:t>Por las razones, argumentos y fundamentos expuestos, consideramos acertada y ne</w:t>
      </w:r>
      <w:r w:rsidR="00197B7A" w:rsidRPr="009F33D1">
        <w:rPr>
          <w:rFonts w:cstheme="minorHAnsi"/>
          <w:sz w:val="26"/>
          <w:szCs w:val="26"/>
        </w:rPr>
        <w:t>cesaria la presente iniciativa d</w:t>
      </w:r>
      <w:r w:rsidRPr="009F33D1">
        <w:rPr>
          <w:rFonts w:cstheme="minorHAnsi"/>
          <w:sz w:val="26"/>
          <w:szCs w:val="26"/>
        </w:rPr>
        <w:t>e</w:t>
      </w:r>
      <w:r w:rsidRPr="009F33D1">
        <w:rPr>
          <w:rFonts w:cstheme="minorHAnsi"/>
          <w:color w:val="FF0000"/>
          <w:sz w:val="26"/>
          <w:szCs w:val="26"/>
        </w:rPr>
        <w:t xml:space="preserve"> </w:t>
      </w:r>
      <w:r w:rsidRPr="009F33D1">
        <w:rPr>
          <w:rFonts w:cstheme="minorHAnsi"/>
          <w:sz w:val="26"/>
          <w:szCs w:val="26"/>
        </w:rPr>
        <w:t>reforma.</w:t>
      </w:r>
    </w:p>
    <w:p w14:paraId="6FFDD604" w14:textId="77777777" w:rsidR="006D2C00" w:rsidRPr="009F33D1" w:rsidRDefault="006D2C00" w:rsidP="00E65920">
      <w:pPr>
        <w:spacing w:before="120" w:after="120" w:line="360" w:lineRule="auto"/>
        <w:rPr>
          <w:rFonts w:cstheme="minorHAnsi"/>
          <w:sz w:val="26"/>
          <w:szCs w:val="26"/>
        </w:rPr>
      </w:pPr>
    </w:p>
    <w:p w14:paraId="78085541" w14:textId="77777777" w:rsidR="00D962DD" w:rsidRPr="009F33D1" w:rsidRDefault="00D962DD" w:rsidP="00E65920">
      <w:pPr>
        <w:spacing w:before="120" w:after="120" w:line="360" w:lineRule="auto"/>
        <w:rPr>
          <w:rFonts w:cstheme="minorHAnsi"/>
          <w:sz w:val="26"/>
          <w:szCs w:val="26"/>
        </w:rPr>
      </w:pPr>
      <w:r w:rsidRPr="009F33D1">
        <w:rPr>
          <w:rFonts w:cstheme="minorHAnsi"/>
          <w:sz w:val="26"/>
          <w:szCs w:val="26"/>
        </w:rPr>
        <w:t>Por todo lo expuesto, tenemos a bien presentar la presente iniciativa con proyecto de:</w:t>
      </w:r>
    </w:p>
    <w:p w14:paraId="72BB9DEA" w14:textId="77777777" w:rsidR="00D962DD" w:rsidRPr="009F33D1" w:rsidRDefault="00D962DD" w:rsidP="00E65920">
      <w:pPr>
        <w:spacing w:before="120" w:after="120" w:line="360" w:lineRule="auto"/>
        <w:rPr>
          <w:rFonts w:cstheme="minorHAnsi"/>
          <w:sz w:val="26"/>
          <w:szCs w:val="26"/>
        </w:rPr>
      </w:pPr>
    </w:p>
    <w:p w14:paraId="22A60B3A" w14:textId="77777777" w:rsidR="00D962DD" w:rsidRPr="009F33D1" w:rsidRDefault="00D962DD" w:rsidP="00E65920">
      <w:pPr>
        <w:spacing w:before="120" w:after="120" w:line="360" w:lineRule="auto"/>
        <w:jc w:val="center"/>
        <w:rPr>
          <w:rFonts w:cstheme="minorHAnsi"/>
          <w:sz w:val="26"/>
          <w:szCs w:val="26"/>
        </w:rPr>
      </w:pPr>
      <w:r w:rsidRPr="009F33D1">
        <w:rPr>
          <w:rFonts w:cstheme="minorHAnsi"/>
          <w:sz w:val="26"/>
          <w:szCs w:val="26"/>
        </w:rPr>
        <w:t>DECRETO</w:t>
      </w:r>
    </w:p>
    <w:p w14:paraId="5709753A" w14:textId="77777777" w:rsidR="00D962DD" w:rsidRPr="009F33D1" w:rsidRDefault="00D962DD" w:rsidP="00E65920">
      <w:pPr>
        <w:spacing w:before="120" w:after="120" w:line="360" w:lineRule="auto"/>
        <w:rPr>
          <w:rFonts w:cstheme="minorHAnsi"/>
          <w:b/>
          <w:sz w:val="26"/>
          <w:szCs w:val="26"/>
        </w:rPr>
      </w:pPr>
    </w:p>
    <w:p w14:paraId="20E32503" w14:textId="77777777" w:rsidR="00D962DD" w:rsidRPr="009F33D1" w:rsidRDefault="0022595D" w:rsidP="00E65920">
      <w:pPr>
        <w:spacing w:before="120" w:after="120" w:line="360" w:lineRule="auto"/>
        <w:rPr>
          <w:rFonts w:cstheme="minorHAnsi"/>
          <w:sz w:val="26"/>
          <w:szCs w:val="26"/>
        </w:rPr>
      </w:pPr>
      <w:r w:rsidRPr="009F33D1">
        <w:rPr>
          <w:rFonts w:cstheme="minorHAnsi"/>
          <w:b/>
          <w:sz w:val="26"/>
          <w:szCs w:val="26"/>
        </w:rPr>
        <w:t>ARTÍCULO ÚNICO</w:t>
      </w:r>
      <w:r w:rsidR="00D962DD" w:rsidRPr="009F33D1">
        <w:rPr>
          <w:rFonts w:cstheme="minorHAnsi"/>
          <w:b/>
          <w:sz w:val="26"/>
          <w:szCs w:val="26"/>
        </w:rPr>
        <w:t>:</w:t>
      </w:r>
      <w:r w:rsidR="00E718F2" w:rsidRPr="009F33D1">
        <w:rPr>
          <w:rFonts w:cstheme="minorHAnsi"/>
          <w:sz w:val="26"/>
          <w:szCs w:val="26"/>
        </w:rPr>
        <w:t xml:space="preserve"> S</w:t>
      </w:r>
      <w:r w:rsidR="0024399F" w:rsidRPr="009F33D1">
        <w:rPr>
          <w:rFonts w:cstheme="minorHAnsi"/>
          <w:sz w:val="26"/>
          <w:szCs w:val="26"/>
        </w:rPr>
        <w:t>e modi</w:t>
      </w:r>
      <w:r w:rsidR="00B11D66" w:rsidRPr="009F33D1">
        <w:rPr>
          <w:rFonts w:cstheme="minorHAnsi"/>
          <w:sz w:val="26"/>
          <w:szCs w:val="26"/>
        </w:rPr>
        <w:t xml:space="preserve">fica el contenido </w:t>
      </w:r>
      <w:r w:rsidR="003D3126" w:rsidRPr="009F33D1">
        <w:rPr>
          <w:rFonts w:cstheme="minorHAnsi"/>
          <w:sz w:val="26"/>
          <w:szCs w:val="26"/>
        </w:rPr>
        <w:t xml:space="preserve">del </w:t>
      </w:r>
      <w:r w:rsidR="00937BFA" w:rsidRPr="009F33D1">
        <w:rPr>
          <w:rFonts w:cstheme="minorHAnsi"/>
          <w:sz w:val="26"/>
          <w:szCs w:val="26"/>
        </w:rPr>
        <w:t>artículo 17</w:t>
      </w:r>
      <w:r w:rsidR="00C652E3" w:rsidRPr="009F33D1">
        <w:rPr>
          <w:rFonts w:cstheme="minorHAnsi"/>
          <w:sz w:val="26"/>
          <w:szCs w:val="26"/>
        </w:rPr>
        <w:t xml:space="preserve"> y el contenido de la fracción VI del Artículo 34</w:t>
      </w:r>
      <w:r w:rsidR="0024399F" w:rsidRPr="009F33D1">
        <w:rPr>
          <w:rFonts w:cstheme="minorHAnsi"/>
          <w:sz w:val="26"/>
          <w:szCs w:val="26"/>
        </w:rPr>
        <w:t xml:space="preserve"> de la Ley de Adquisiciones, Arrendamientos y Contratación de Servicios para el Estado de Coahuila de Zaragoza, para quedar como sigue.</w:t>
      </w:r>
    </w:p>
    <w:p w14:paraId="450FAFFE" w14:textId="77777777" w:rsidR="00937BFA" w:rsidRPr="009F33D1" w:rsidRDefault="00937BFA" w:rsidP="00E65920">
      <w:pPr>
        <w:spacing w:before="120" w:after="120"/>
        <w:rPr>
          <w:rFonts w:cstheme="minorHAnsi"/>
          <w:sz w:val="26"/>
          <w:szCs w:val="26"/>
        </w:rPr>
      </w:pPr>
      <w:r w:rsidRPr="009F33D1">
        <w:rPr>
          <w:rFonts w:cstheme="minorHAnsi"/>
          <w:sz w:val="26"/>
          <w:szCs w:val="26"/>
        </w:rPr>
        <w:t xml:space="preserve">Artículo 17.- En los procedimientos de contratación de carácter internacional, las Dependencias y Entidades optarán, en igualdad de condiciones, por el empleo de los recursos humanos del país y por la adquisición y arrendamiento de bienes producidos en el país, con un margen hasta del quince por ciento de preferencia en el precio respecto de los bienes de importaciones, el caso de concurso para la adquisición de bienes o servicios, en igualdad de condiciones, se dará preferencia a personas con discapacidad o a la empresa que cuente con personal con discapacidad en una proporción del cinco por ciento cuando menos de la totalidad de su planta de empleados, cuya antigüedad no sea inferior a seis meses; antigüedad que se comprobará con el aviso de alta al régimen obligatorio del Instituto Mexicano del Seguro Social; </w:t>
      </w:r>
      <w:r w:rsidRPr="009F33D1">
        <w:rPr>
          <w:rFonts w:cstheme="minorHAnsi"/>
          <w:b/>
          <w:sz w:val="26"/>
          <w:szCs w:val="26"/>
        </w:rPr>
        <w:t>de igual forma, se dará preferencia a las empresas que hayan aplicado políticas y prácticas de igualdad de género, conforme a la certificación correspondiente emitida por las autoridades y organismos facultados para tal efecto.</w:t>
      </w:r>
    </w:p>
    <w:p w14:paraId="05DF7D31" w14:textId="77777777" w:rsidR="00D962DD" w:rsidRPr="009F33D1" w:rsidRDefault="00937BFA" w:rsidP="00E65920">
      <w:pPr>
        <w:spacing w:before="120" w:after="120"/>
        <w:rPr>
          <w:rFonts w:cstheme="minorHAnsi"/>
          <w:sz w:val="26"/>
          <w:szCs w:val="26"/>
        </w:rPr>
      </w:pPr>
      <w:r w:rsidRPr="009F33D1">
        <w:rPr>
          <w:rFonts w:cstheme="minorHAnsi"/>
          <w:sz w:val="26"/>
          <w:szCs w:val="26"/>
        </w:rPr>
        <w:t>………</w:t>
      </w:r>
    </w:p>
    <w:p w14:paraId="69D27313" w14:textId="77777777" w:rsidR="00BA007D" w:rsidRPr="009F33D1" w:rsidRDefault="00BA007D" w:rsidP="00E65920">
      <w:pPr>
        <w:spacing w:before="120" w:after="120"/>
        <w:rPr>
          <w:rFonts w:cstheme="minorHAnsi"/>
          <w:b/>
          <w:bCs/>
          <w:sz w:val="26"/>
          <w:szCs w:val="26"/>
        </w:rPr>
      </w:pPr>
      <w:r w:rsidRPr="009F33D1">
        <w:rPr>
          <w:rFonts w:cstheme="minorHAnsi"/>
          <w:b/>
          <w:bCs/>
          <w:sz w:val="26"/>
          <w:szCs w:val="26"/>
        </w:rPr>
        <w:t>Artículo 34.-……</w:t>
      </w:r>
    </w:p>
    <w:p w14:paraId="49959B89" w14:textId="77777777" w:rsidR="005B15D4" w:rsidRPr="009F33D1" w:rsidRDefault="00BA007D" w:rsidP="00E65920">
      <w:pPr>
        <w:spacing w:before="120" w:after="120"/>
        <w:ind w:left="397" w:hanging="397"/>
        <w:rPr>
          <w:rFonts w:cstheme="minorHAnsi"/>
          <w:b/>
          <w:bCs/>
          <w:sz w:val="26"/>
          <w:szCs w:val="26"/>
        </w:rPr>
      </w:pPr>
      <w:r w:rsidRPr="009F33D1">
        <w:rPr>
          <w:rFonts w:cstheme="minorHAnsi"/>
          <w:b/>
          <w:bCs/>
          <w:sz w:val="26"/>
          <w:szCs w:val="26"/>
        </w:rPr>
        <w:t>VI.</w:t>
      </w:r>
      <w:r w:rsidRPr="009F33D1">
        <w:rPr>
          <w:rFonts w:cstheme="minorHAnsi"/>
          <w:bCs/>
          <w:sz w:val="26"/>
          <w:szCs w:val="26"/>
        </w:rPr>
        <w:tab/>
        <w:t>De preferencia, la inclusión de insumo, material, equipo, sistemas y servicios que tengan incorporada tecnología nacional, tomando en cuenta los requerimientos técnicos y económicos de las adquisiciones o pedidos que vayan a hacerse en el país o en el extra</w:t>
      </w:r>
      <w:r w:rsidR="005B15D4" w:rsidRPr="009F33D1">
        <w:rPr>
          <w:rFonts w:cstheme="minorHAnsi"/>
          <w:bCs/>
          <w:sz w:val="26"/>
          <w:szCs w:val="26"/>
        </w:rPr>
        <w:t xml:space="preserve">njero; </w:t>
      </w:r>
      <w:r w:rsidR="005B15D4" w:rsidRPr="009F33D1">
        <w:rPr>
          <w:rFonts w:cstheme="minorHAnsi"/>
          <w:b/>
          <w:bCs/>
          <w:sz w:val="26"/>
          <w:szCs w:val="26"/>
        </w:rPr>
        <w:t xml:space="preserve">otorgando preferencia a las personas con discapacidad o empresas que contraten personas con discapacidad; así como a las empresas que implementen prácticas y </w:t>
      </w:r>
      <w:r w:rsidR="005B15D4" w:rsidRPr="009F33D1">
        <w:rPr>
          <w:rFonts w:cstheme="minorHAnsi"/>
          <w:b/>
          <w:bCs/>
          <w:sz w:val="26"/>
          <w:szCs w:val="26"/>
        </w:rPr>
        <w:lastRenderedPageBreak/>
        <w:t>políticas de igualdad de género en los términos establecidos en el artículo 17 del presente ordenamiento.</w:t>
      </w:r>
    </w:p>
    <w:p w14:paraId="6E7E4B70" w14:textId="4301334E" w:rsidR="009459C4" w:rsidRPr="009F33D1" w:rsidRDefault="005B15D4" w:rsidP="00E65920">
      <w:pPr>
        <w:spacing w:before="120" w:after="120"/>
        <w:ind w:left="397" w:hanging="397"/>
        <w:rPr>
          <w:rFonts w:cstheme="minorHAnsi"/>
          <w:bCs/>
          <w:sz w:val="26"/>
          <w:szCs w:val="26"/>
        </w:rPr>
      </w:pPr>
      <w:r w:rsidRPr="009F33D1">
        <w:rPr>
          <w:rFonts w:cstheme="minorHAnsi"/>
          <w:bCs/>
          <w:sz w:val="26"/>
          <w:szCs w:val="26"/>
        </w:rPr>
        <w:t>VII……</w:t>
      </w:r>
    </w:p>
    <w:p w14:paraId="1C4057C3" w14:textId="77777777" w:rsidR="00D962DD" w:rsidRPr="009F33D1" w:rsidRDefault="00D962DD" w:rsidP="00E65920">
      <w:pPr>
        <w:spacing w:before="120" w:after="120" w:line="360" w:lineRule="auto"/>
        <w:jc w:val="center"/>
        <w:rPr>
          <w:rFonts w:cstheme="minorHAnsi"/>
          <w:sz w:val="26"/>
          <w:szCs w:val="26"/>
        </w:rPr>
      </w:pPr>
      <w:r w:rsidRPr="009F33D1">
        <w:rPr>
          <w:rFonts w:cstheme="minorHAnsi"/>
          <w:sz w:val="26"/>
          <w:szCs w:val="26"/>
        </w:rPr>
        <w:t>TRANSITORIOS</w:t>
      </w:r>
    </w:p>
    <w:p w14:paraId="6B73903B" w14:textId="77777777" w:rsidR="00D962DD" w:rsidRPr="009F33D1" w:rsidRDefault="00D962DD" w:rsidP="00E65920">
      <w:pPr>
        <w:spacing w:before="120" w:after="120" w:line="360" w:lineRule="auto"/>
        <w:rPr>
          <w:rFonts w:cstheme="minorHAnsi"/>
          <w:sz w:val="26"/>
          <w:szCs w:val="26"/>
        </w:rPr>
      </w:pPr>
    </w:p>
    <w:p w14:paraId="4B9AD189" w14:textId="0AA0E2E4" w:rsidR="00D962DD" w:rsidRPr="009F33D1" w:rsidRDefault="00D962DD" w:rsidP="00E65920">
      <w:pPr>
        <w:spacing w:before="120" w:after="120" w:line="360" w:lineRule="auto"/>
        <w:rPr>
          <w:rFonts w:cstheme="minorHAnsi"/>
          <w:sz w:val="26"/>
          <w:szCs w:val="26"/>
        </w:rPr>
      </w:pPr>
      <w:r w:rsidRPr="009F33D1">
        <w:rPr>
          <w:rFonts w:cstheme="minorHAnsi"/>
          <w:sz w:val="26"/>
          <w:szCs w:val="26"/>
        </w:rPr>
        <w:t>Único. -  El presente Decreto entrará en vigor al día siguiente de su publicación en el Periódico Oficial del Estado.</w:t>
      </w:r>
    </w:p>
    <w:p w14:paraId="0D65502F" w14:textId="77777777" w:rsidR="00D962DD" w:rsidRPr="009459C4" w:rsidRDefault="00D962DD" w:rsidP="00E65920">
      <w:pPr>
        <w:pStyle w:val="Ttulo5"/>
        <w:spacing w:before="120" w:after="120"/>
        <w:jc w:val="center"/>
        <w:rPr>
          <w:rFonts w:asciiTheme="minorHAnsi" w:hAnsiTheme="minorHAnsi" w:cstheme="minorHAnsi"/>
          <w:sz w:val="24"/>
          <w:szCs w:val="24"/>
          <w:lang w:val="es-ES_tradnl"/>
        </w:rPr>
      </w:pPr>
      <w:r w:rsidRPr="009459C4">
        <w:rPr>
          <w:rFonts w:asciiTheme="minorHAnsi" w:hAnsiTheme="minorHAnsi" w:cstheme="minorHAnsi"/>
          <w:sz w:val="24"/>
          <w:szCs w:val="24"/>
          <w:lang w:val="es-ES_tradnl"/>
        </w:rPr>
        <w:t>ATENTAMENTE</w:t>
      </w:r>
    </w:p>
    <w:p w14:paraId="02C1E5A2" w14:textId="77777777" w:rsidR="00D962DD" w:rsidRPr="009459C4" w:rsidRDefault="00D962DD" w:rsidP="00E65920">
      <w:pPr>
        <w:spacing w:before="120" w:after="120" w:line="360" w:lineRule="auto"/>
        <w:jc w:val="center"/>
        <w:rPr>
          <w:rFonts w:cstheme="minorHAnsi"/>
          <w:sz w:val="24"/>
          <w:szCs w:val="24"/>
        </w:rPr>
      </w:pPr>
      <w:r w:rsidRPr="009459C4">
        <w:rPr>
          <w:rFonts w:cstheme="minorHAnsi"/>
          <w:sz w:val="24"/>
          <w:szCs w:val="24"/>
        </w:rPr>
        <w:t>“POR UNA PATRIA ORDENADA Y GENEROSA Y UNA VIDA MEJOR Y MÁS DIGNA PARA TODOS”</w:t>
      </w:r>
    </w:p>
    <w:p w14:paraId="2FD97C01" w14:textId="77777777" w:rsidR="009F33D1" w:rsidRDefault="00D962DD" w:rsidP="00E65920">
      <w:pPr>
        <w:spacing w:before="120" w:after="120" w:line="360" w:lineRule="auto"/>
        <w:jc w:val="center"/>
        <w:rPr>
          <w:rFonts w:cstheme="minorHAnsi"/>
          <w:b/>
          <w:bCs/>
          <w:sz w:val="24"/>
          <w:szCs w:val="24"/>
        </w:rPr>
      </w:pPr>
      <w:r w:rsidRPr="009459C4">
        <w:rPr>
          <w:rFonts w:cstheme="minorHAnsi"/>
          <w:b/>
          <w:bCs/>
          <w:sz w:val="24"/>
          <w:szCs w:val="24"/>
        </w:rPr>
        <w:t>GRUPO PARLAMENTARIO “DEL PARTIDO ACCION NACIONAL”</w:t>
      </w:r>
    </w:p>
    <w:p w14:paraId="1E6838E9" w14:textId="45770EC0" w:rsidR="00D962DD" w:rsidRPr="009F33D1" w:rsidRDefault="00D962DD" w:rsidP="00E65920">
      <w:pPr>
        <w:spacing w:before="120" w:after="120" w:line="360" w:lineRule="auto"/>
        <w:jc w:val="center"/>
        <w:rPr>
          <w:rFonts w:cstheme="minorHAnsi"/>
          <w:b/>
          <w:bCs/>
          <w:sz w:val="24"/>
          <w:szCs w:val="24"/>
        </w:rPr>
      </w:pPr>
      <w:r w:rsidRPr="009459C4">
        <w:rPr>
          <w:rFonts w:cstheme="minorHAnsi"/>
          <w:sz w:val="24"/>
          <w:szCs w:val="24"/>
        </w:rPr>
        <w:t>Sa</w:t>
      </w:r>
      <w:r w:rsidR="00DA799A" w:rsidRPr="009459C4">
        <w:rPr>
          <w:rFonts w:cstheme="minorHAnsi"/>
          <w:sz w:val="24"/>
          <w:szCs w:val="24"/>
        </w:rPr>
        <w:t xml:space="preserve">ltillo, Coahuila de Zaragoza, </w:t>
      </w:r>
      <w:r w:rsidR="00585F66" w:rsidRPr="009459C4">
        <w:rPr>
          <w:rFonts w:cstheme="minorHAnsi"/>
          <w:sz w:val="24"/>
          <w:szCs w:val="24"/>
        </w:rPr>
        <w:t>04</w:t>
      </w:r>
      <w:r w:rsidR="00937BFA" w:rsidRPr="009459C4">
        <w:rPr>
          <w:rFonts w:cstheme="minorHAnsi"/>
          <w:sz w:val="24"/>
          <w:szCs w:val="24"/>
        </w:rPr>
        <w:t xml:space="preserve"> </w:t>
      </w:r>
      <w:r w:rsidR="00585F66" w:rsidRPr="009459C4">
        <w:rPr>
          <w:rFonts w:cstheme="minorHAnsi"/>
          <w:sz w:val="24"/>
          <w:szCs w:val="24"/>
        </w:rPr>
        <w:t>de diciembre</w:t>
      </w:r>
      <w:r w:rsidRPr="009459C4">
        <w:rPr>
          <w:rFonts w:cstheme="minorHAnsi"/>
          <w:sz w:val="24"/>
          <w:szCs w:val="24"/>
        </w:rPr>
        <w:t xml:space="preserve"> de 2018</w:t>
      </w:r>
    </w:p>
    <w:p w14:paraId="27BE40C3" w14:textId="3890D66A" w:rsidR="00D962DD" w:rsidRPr="009459C4" w:rsidRDefault="00FE529B" w:rsidP="00E65920">
      <w:pPr>
        <w:spacing w:before="120" w:after="120" w:line="360" w:lineRule="auto"/>
        <w:jc w:val="center"/>
        <w:rPr>
          <w:rFonts w:cs="Arial"/>
          <w:b/>
        </w:rPr>
      </w:pPr>
      <w:r w:rsidRPr="009459C4">
        <w:rPr>
          <w:rFonts w:cs="Arial"/>
          <w:b/>
        </w:rPr>
        <w:br w:type="textWrapping" w:clear="all"/>
        <w:t xml:space="preserve">                </w:t>
      </w:r>
      <w:r w:rsidR="00206171" w:rsidRPr="009459C4">
        <w:rPr>
          <w:rFonts w:cs="Arial"/>
          <w:b/>
        </w:rPr>
        <w:t xml:space="preserve">    </w:t>
      </w:r>
      <w:r w:rsidRPr="009459C4">
        <w:rPr>
          <w:rFonts w:cs="Arial"/>
          <w:b/>
        </w:rPr>
        <w:t>DIP. BLANCA EPPEN CANALES</w:t>
      </w:r>
    </w:p>
    <w:p w14:paraId="039ACC47" w14:textId="77777777" w:rsidR="009F33D1" w:rsidRDefault="00206171" w:rsidP="00E65920">
      <w:pPr>
        <w:tabs>
          <w:tab w:val="left" w:pos="5056"/>
        </w:tabs>
        <w:spacing w:before="120" w:after="120" w:line="360" w:lineRule="auto"/>
        <w:rPr>
          <w:rFonts w:cs="Arial"/>
          <w:b/>
        </w:rPr>
      </w:pPr>
      <w:r w:rsidRPr="009459C4">
        <w:rPr>
          <w:rFonts w:cs="Arial"/>
          <w:b/>
        </w:rPr>
        <w:t xml:space="preserve"> </w:t>
      </w:r>
    </w:p>
    <w:p w14:paraId="06875986" w14:textId="5D034887" w:rsidR="00D962DD" w:rsidRPr="009459C4" w:rsidRDefault="00D962DD" w:rsidP="00E65920">
      <w:pPr>
        <w:tabs>
          <w:tab w:val="left" w:pos="5056"/>
        </w:tabs>
        <w:spacing w:before="120" w:after="120" w:line="360" w:lineRule="auto"/>
        <w:rPr>
          <w:rFonts w:cs="Arial"/>
          <w:b/>
        </w:rPr>
      </w:pPr>
      <w:r w:rsidRPr="009459C4">
        <w:rPr>
          <w:rFonts w:cs="Arial"/>
          <w:b/>
        </w:rPr>
        <w:t>DIP. MARCELO DE JESUS TORRES COFIÑO</w:t>
      </w:r>
      <w:r w:rsidRPr="009459C4">
        <w:rPr>
          <w:rFonts w:cs="Arial"/>
          <w:b/>
        </w:rPr>
        <w:tab/>
      </w:r>
      <w:r w:rsidR="00206171" w:rsidRPr="009459C4">
        <w:rPr>
          <w:rFonts w:cs="Arial"/>
          <w:b/>
        </w:rPr>
        <w:t xml:space="preserve">    </w:t>
      </w:r>
      <w:r w:rsidRPr="009459C4">
        <w:rPr>
          <w:rFonts w:cs="Arial"/>
          <w:b/>
        </w:rPr>
        <w:t>DIP. MARÍA EUGENIA CAZARES MARTINEZ</w:t>
      </w:r>
    </w:p>
    <w:p w14:paraId="476CBE04" w14:textId="77777777" w:rsidR="009459C4" w:rsidRDefault="009459C4" w:rsidP="00E65920">
      <w:pPr>
        <w:tabs>
          <w:tab w:val="left" w:pos="5056"/>
        </w:tabs>
        <w:spacing w:before="120" w:after="120" w:line="360" w:lineRule="auto"/>
        <w:rPr>
          <w:rFonts w:cs="Arial"/>
          <w:b/>
        </w:rPr>
      </w:pPr>
    </w:p>
    <w:p w14:paraId="457A922A" w14:textId="77777777" w:rsidR="00D962DD" w:rsidRPr="009459C4" w:rsidRDefault="00D962DD" w:rsidP="00E65920">
      <w:pPr>
        <w:tabs>
          <w:tab w:val="left" w:pos="5056"/>
        </w:tabs>
        <w:spacing w:before="120" w:after="120" w:line="360" w:lineRule="auto"/>
        <w:rPr>
          <w:rFonts w:cs="Arial"/>
          <w:b/>
        </w:rPr>
      </w:pPr>
      <w:r w:rsidRPr="009459C4">
        <w:rPr>
          <w:rFonts w:cs="Arial"/>
          <w:b/>
        </w:rPr>
        <w:t>DIP. ROSA NILDA GONZÁLEZ NORIEGA</w:t>
      </w:r>
      <w:r w:rsidRPr="009459C4">
        <w:rPr>
          <w:rFonts w:cs="Arial"/>
          <w:b/>
        </w:rPr>
        <w:tab/>
        <w:t>DIP. FERNANDO IZAGUIRRE VALDÉS</w:t>
      </w:r>
    </w:p>
    <w:p w14:paraId="0A462463" w14:textId="79988C04" w:rsidR="00D962DD" w:rsidRPr="009459C4" w:rsidRDefault="00D962DD" w:rsidP="00E65920">
      <w:pPr>
        <w:tabs>
          <w:tab w:val="left" w:pos="5056"/>
        </w:tabs>
        <w:spacing w:before="120" w:after="120" w:line="360" w:lineRule="auto"/>
        <w:rPr>
          <w:rFonts w:cs="Arial"/>
          <w:b/>
        </w:rPr>
      </w:pPr>
    </w:p>
    <w:p w14:paraId="55CA8B87" w14:textId="6C40805E" w:rsidR="00206171" w:rsidRPr="009459C4" w:rsidRDefault="00D962DD" w:rsidP="00E65920">
      <w:pPr>
        <w:tabs>
          <w:tab w:val="left" w:pos="5056"/>
        </w:tabs>
        <w:spacing w:before="120" w:after="120" w:line="360" w:lineRule="auto"/>
        <w:ind w:right="-518"/>
        <w:rPr>
          <w:rFonts w:cs="Arial"/>
          <w:b/>
        </w:rPr>
      </w:pPr>
      <w:r w:rsidRPr="009459C4">
        <w:rPr>
          <w:rFonts w:cs="Arial"/>
          <w:b/>
        </w:rPr>
        <w:t>DIP. JUAN CARLOS GUERRA LÓPEZ NEGRETE</w:t>
      </w:r>
      <w:r w:rsidR="00206171" w:rsidRPr="009459C4">
        <w:rPr>
          <w:rFonts w:cs="Arial"/>
          <w:b/>
        </w:rPr>
        <w:t xml:space="preserve">          </w:t>
      </w:r>
      <w:r w:rsidRPr="009459C4">
        <w:rPr>
          <w:rFonts w:cs="Arial"/>
          <w:b/>
        </w:rPr>
        <w:t>DIP. GERARDO ABRAHAM AGUADO GÓMEZ</w:t>
      </w:r>
      <w:r w:rsidRPr="009459C4">
        <w:rPr>
          <w:rFonts w:cs="Arial"/>
          <w:b/>
        </w:rPr>
        <w:tab/>
      </w:r>
    </w:p>
    <w:p w14:paraId="66B81E0E" w14:textId="77777777" w:rsidR="00206171" w:rsidRPr="009459C4" w:rsidRDefault="00206171" w:rsidP="00E65920">
      <w:pPr>
        <w:tabs>
          <w:tab w:val="left" w:pos="5056"/>
        </w:tabs>
        <w:spacing w:before="120" w:after="120" w:line="360" w:lineRule="auto"/>
        <w:ind w:right="-518"/>
        <w:rPr>
          <w:rFonts w:cs="Arial"/>
          <w:b/>
        </w:rPr>
      </w:pPr>
    </w:p>
    <w:p w14:paraId="4065F3E6" w14:textId="77777777" w:rsidR="00D962DD" w:rsidRPr="009459C4" w:rsidRDefault="00D962DD" w:rsidP="00E65920">
      <w:pPr>
        <w:tabs>
          <w:tab w:val="left" w:pos="5056"/>
        </w:tabs>
        <w:spacing w:before="120" w:after="120" w:line="360" w:lineRule="auto"/>
        <w:ind w:right="-518"/>
        <w:rPr>
          <w:rFonts w:cs="Arial"/>
          <w:b/>
        </w:rPr>
      </w:pPr>
      <w:r w:rsidRPr="009459C4">
        <w:rPr>
          <w:rFonts w:cs="Arial"/>
          <w:b/>
        </w:rPr>
        <w:t>DIP. GABRIELA ZAPOPAN GARZA GALVÁN</w:t>
      </w:r>
      <w:r w:rsidR="00206171" w:rsidRPr="009459C4">
        <w:rPr>
          <w:rFonts w:cs="Arial"/>
          <w:b/>
        </w:rPr>
        <w:t xml:space="preserve">                       </w:t>
      </w:r>
      <w:r w:rsidRPr="009459C4">
        <w:rPr>
          <w:rFonts w:cs="Arial"/>
          <w:b/>
        </w:rPr>
        <w:t>DIP. JUAN ANTONIO GARCÍA VILLA</w:t>
      </w:r>
    </w:p>
    <w:p w14:paraId="224A9F37" w14:textId="77777777" w:rsidR="00D962DD" w:rsidRPr="009459C4" w:rsidRDefault="00D962DD" w:rsidP="00E65920">
      <w:pPr>
        <w:widowControl w:val="0"/>
        <w:tabs>
          <w:tab w:val="left" w:pos="1223"/>
        </w:tabs>
        <w:spacing w:before="120" w:after="120" w:line="360" w:lineRule="auto"/>
        <w:rPr>
          <w:rFonts w:cs="Arial"/>
          <w:b/>
        </w:rPr>
      </w:pPr>
    </w:p>
    <w:p w14:paraId="34D7EABC" w14:textId="6202586B" w:rsidR="00D962DD" w:rsidRPr="009F33D1" w:rsidRDefault="009F33D1" w:rsidP="00E65920">
      <w:pPr>
        <w:widowControl w:val="0"/>
        <w:tabs>
          <w:tab w:val="left" w:pos="1223"/>
        </w:tabs>
        <w:spacing w:before="120" w:after="120" w:line="360" w:lineRule="auto"/>
        <w:rPr>
          <w:rFonts w:cs="Arial"/>
          <w:sz w:val="16"/>
          <w:szCs w:val="16"/>
        </w:rPr>
      </w:pPr>
      <w:r w:rsidRPr="009F33D1">
        <w:rPr>
          <w:rFonts w:cs="Arial"/>
          <w:b/>
          <w:sz w:val="16"/>
          <w:szCs w:val="16"/>
        </w:rPr>
        <w:t xml:space="preserve">HOJA DE FIRMAS QUE ACOMPAÑA LA INICI. CON PROYECTO DE DECRETO </w:t>
      </w:r>
      <w:r w:rsidRPr="009F33D1">
        <w:rPr>
          <w:rFonts w:cstheme="minorHAnsi"/>
          <w:b/>
          <w:sz w:val="16"/>
          <w:szCs w:val="16"/>
        </w:rPr>
        <w:t>POR LA QUE  SE  MODIFICA EL CONTENIDO DEL ARTÍCULO 17</w:t>
      </w:r>
      <w:r w:rsidRPr="009F33D1">
        <w:rPr>
          <w:rFonts w:cstheme="minorHAnsi"/>
          <w:sz w:val="16"/>
          <w:szCs w:val="16"/>
        </w:rPr>
        <w:t xml:space="preserve"> </w:t>
      </w:r>
      <w:r w:rsidRPr="009F33D1">
        <w:rPr>
          <w:rFonts w:cstheme="minorHAnsi"/>
          <w:b/>
          <w:sz w:val="16"/>
          <w:szCs w:val="16"/>
        </w:rPr>
        <w:t>Y EL CONTENIDO DE LA FRACCIÓN VI DEL ARTÍCULO 34, DE LA LEY DE ADQUISICIONES, ARRENDAMIENTOS Y CONTRATACIÓN DE SERVICIOS  PARA EL ESTADO DE COAHUILA DE ZARAGOZA</w:t>
      </w:r>
    </w:p>
    <w:sectPr w:rsidR="00D962DD" w:rsidRPr="009F33D1" w:rsidSect="00770345">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912F4" w14:textId="77777777" w:rsidR="007C1090" w:rsidRDefault="007C1090">
      <w:r>
        <w:separator/>
      </w:r>
    </w:p>
  </w:endnote>
  <w:endnote w:type="continuationSeparator" w:id="0">
    <w:p w14:paraId="703DB4A6" w14:textId="77777777" w:rsidR="007C1090" w:rsidRDefault="007C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F75D7" w14:textId="77777777" w:rsidR="007C1090" w:rsidRDefault="007C1090">
      <w:r>
        <w:separator/>
      </w:r>
    </w:p>
  </w:footnote>
  <w:footnote w:type="continuationSeparator" w:id="0">
    <w:p w14:paraId="492CD5D9" w14:textId="77777777" w:rsidR="007C1090" w:rsidRDefault="007C10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06AA" w14:textId="77777777" w:rsidR="00080D2A" w:rsidRPr="00F81E38" w:rsidRDefault="00080D2A" w:rsidP="00503BE9">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327A0A8A" wp14:editId="15124E5D">
          <wp:simplePos x="0" y="0"/>
          <wp:positionH relativeFrom="column">
            <wp:posOffset>5477408</wp:posOffset>
          </wp:positionH>
          <wp:positionV relativeFrom="paragraph">
            <wp:posOffset>-126339</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2036B74C" wp14:editId="6E22A20B">
          <wp:simplePos x="0" y="0"/>
          <wp:positionH relativeFrom="column">
            <wp:posOffset>-212090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 xml:space="preserve">Congreso del Estado Independiente, </w:t>
    </w:r>
  </w:p>
  <w:p w14:paraId="28217696" w14:textId="77777777" w:rsidR="00080D2A" w:rsidRPr="00F81E38" w:rsidRDefault="00080D2A" w:rsidP="00503BE9">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26CF0F44" w14:textId="77777777" w:rsidR="00080D2A" w:rsidRPr="00DE6A6A" w:rsidRDefault="00080D2A" w:rsidP="00503BE9">
    <w:pPr>
      <w:ind w:right="616"/>
    </w:pPr>
  </w:p>
  <w:p w14:paraId="70897513" w14:textId="77777777" w:rsidR="00080D2A" w:rsidRDefault="00080D2A" w:rsidP="00503BE9">
    <w:pPr>
      <w:ind w:right="49"/>
      <w:jc w:val="center"/>
      <w:rPr>
        <w:rFonts w:ascii="Times New Roman" w:hAnsi="Times New Roman"/>
      </w:rPr>
    </w:pPr>
  </w:p>
  <w:p w14:paraId="645D3DC8" w14:textId="77777777" w:rsidR="00080D2A" w:rsidRPr="00792090" w:rsidRDefault="00080D2A" w:rsidP="00503BE9">
    <w:pPr>
      <w:ind w:right="49"/>
      <w:jc w:val="center"/>
      <w:rPr>
        <w:rFonts w:ascii="Times New Roman" w:hAnsi="Times New Roman"/>
        <w:sz w:val="18"/>
        <w:szCs w:val="18"/>
      </w:rPr>
    </w:pPr>
    <w:r>
      <w:rPr>
        <w:rFonts w:ascii="Times New Roman" w:hAnsi="Times New Roman"/>
        <w:sz w:val="18"/>
        <w:szCs w:val="18"/>
      </w:rPr>
      <w:t>“2018, AÑ</w:t>
    </w:r>
    <w:r w:rsidRPr="00792090">
      <w:rPr>
        <w:rFonts w:ascii="Times New Roman" w:hAnsi="Times New Roman"/>
        <w:sz w:val="18"/>
        <w:szCs w:val="18"/>
      </w:rPr>
      <w:t xml:space="preserve">O DEL CENTENARIO DE LA CONSTITUCION DE COAHUILA” </w:t>
    </w:r>
  </w:p>
  <w:p w14:paraId="68180070" w14:textId="77777777" w:rsidR="00080D2A" w:rsidRPr="00030032" w:rsidRDefault="00080D2A" w:rsidP="00503BE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790D"/>
    <w:multiLevelType w:val="hybridMultilevel"/>
    <w:tmpl w:val="7504BFC8"/>
    <w:lvl w:ilvl="0" w:tplc="24A403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FB1B1B"/>
    <w:multiLevelType w:val="multilevel"/>
    <w:tmpl w:val="29A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B47AE"/>
    <w:multiLevelType w:val="hybridMultilevel"/>
    <w:tmpl w:val="6CFC93CC"/>
    <w:lvl w:ilvl="0" w:tplc="051433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9D51411"/>
    <w:multiLevelType w:val="hybridMultilevel"/>
    <w:tmpl w:val="1E145F2E"/>
    <w:lvl w:ilvl="0" w:tplc="E4F2A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s-MX" w:vendorID="64" w:dllVersion="0" w:nlCheck="1" w:checkStyle="0"/>
  <w:activeWritingStyle w:appName="MSWord" w:lang="es-MX" w:vendorID="64" w:dllVersion="4096" w:nlCheck="1" w:checkStyle="0"/>
  <w:activeWritingStyle w:appName="MSWord" w:lang="es-ES_tradnl" w:vendorID="64" w:dllVersion="4096" w:nlCheck="1" w:checkStyle="0"/>
  <w:activeWritingStyle w:appName="MSWord" w:lang="es-MX" w:vendorID="64" w:dllVersion="131078" w:nlCheck="1" w:checkStyle="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47"/>
    <w:rsid w:val="0000050D"/>
    <w:rsid w:val="00006D5A"/>
    <w:rsid w:val="0001174F"/>
    <w:rsid w:val="00024AC0"/>
    <w:rsid w:val="0004458C"/>
    <w:rsid w:val="00044DE9"/>
    <w:rsid w:val="0005055E"/>
    <w:rsid w:val="00052B49"/>
    <w:rsid w:val="00055E81"/>
    <w:rsid w:val="00057AA3"/>
    <w:rsid w:val="000719C1"/>
    <w:rsid w:val="00080D2A"/>
    <w:rsid w:val="000811FD"/>
    <w:rsid w:val="00086688"/>
    <w:rsid w:val="0009663D"/>
    <w:rsid w:val="000A54D5"/>
    <w:rsid w:val="000B1350"/>
    <w:rsid w:val="000C481B"/>
    <w:rsid w:val="000C57CA"/>
    <w:rsid w:val="000C699A"/>
    <w:rsid w:val="000D7F08"/>
    <w:rsid w:val="000E61CC"/>
    <w:rsid w:val="000E6C6F"/>
    <w:rsid w:val="000F7CCC"/>
    <w:rsid w:val="00150336"/>
    <w:rsid w:val="00153778"/>
    <w:rsid w:val="001647E3"/>
    <w:rsid w:val="001673F2"/>
    <w:rsid w:val="00170587"/>
    <w:rsid w:val="00172A3E"/>
    <w:rsid w:val="00173CB3"/>
    <w:rsid w:val="0018135B"/>
    <w:rsid w:val="00190301"/>
    <w:rsid w:val="00197B7A"/>
    <w:rsid w:val="00197E78"/>
    <w:rsid w:val="001A08C9"/>
    <w:rsid w:val="001A1C1F"/>
    <w:rsid w:val="001A3EEB"/>
    <w:rsid w:val="001A581D"/>
    <w:rsid w:val="001B5F4B"/>
    <w:rsid w:val="001C3E81"/>
    <w:rsid w:val="001D4494"/>
    <w:rsid w:val="001E0DC1"/>
    <w:rsid w:val="001F20D8"/>
    <w:rsid w:val="00202AC7"/>
    <w:rsid w:val="00206171"/>
    <w:rsid w:val="00207483"/>
    <w:rsid w:val="00222837"/>
    <w:rsid w:val="0022595D"/>
    <w:rsid w:val="00227AC3"/>
    <w:rsid w:val="00230A03"/>
    <w:rsid w:val="0024399F"/>
    <w:rsid w:val="00244E00"/>
    <w:rsid w:val="00252199"/>
    <w:rsid w:val="00276397"/>
    <w:rsid w:val="00293E58"/>
    <w:rsid w:val="00295AE0"/>
    <w:rsid w:val="002A3E4A"/>
    <w:rsid w:val="002C6C8F"/>
    <w:rsid w:val="002C756D"/>
    <w:rsid w:val="002D57A9"/>
    <w:rsid w:val="002E4DEA"/>
    <w:rsid w:val="002F2B14"/>
    <w:rsid w:val="00304066"/>
    <w:rsid w:val="00304410"/>
    <w:rsid w:val="00305074"/>
    <w:rsid w:val="00335F3D"/>
    <w:rsid w:val="00362B65"/>
    <w:rsid w:val="00364481"/>
    <w:rsid w:val="0038349C"/>
    <w:rsid w:val="00392615"/>
    <w:rsid w:val="003B05C3"/>
    <w:rsid w:val="003C08D2"/>
    <w:rsid w:val="003C79BD"/>
    <w:rsid w:val="003D3126"/>
    <w:rsid w:val="003F4322"/>
    <w:rsid w:val="00426DA0"/>
    <w:rsid w:val="00431163"/>
    <w:rsid w:val="00431A7C"/>
    <w:rsid w:val="00433F54"/>
    <w:rsid w:val="00454E1A"/>
    <w:rsid w:val="00467C8E"/>
    <w:rsid w:val="00477B47"/>
    <w:rsid w:val="00480BF0"/>
    <w:rsid w:val="0048610F"/>
    <w:rsid w:val="00492DB0"/>
    <w:rsid w:val="004B1521"/>
    <w:rsid w:val="004B664F"/>
    <w:rsid w:val="004D1AB0"/>
    <w:rsid w:val="004D282D"/>
    <w:rsid w:val="004E66D3"/>
    <w:rsid w:val="004F5230"/>
    <w:rsid w:val="00503013"/>
    <w:rsid w:val="00503BE9"/>
    <w:rsid w:val="00540B51"/>
    <w:rsid w:val="00543699"/>
    <w:rsid w:val="00546C16"/>
    <w:rsid w:val="00580B7D"/>
    <w:rsid w:val="00582E08"/>
    <w:rsid w:val="00585B22"/>
    <w:rsid w:val="00585F66"/>
    <w:rsid w:val="00590628"/>
    <w:rsid w:val="005A36BF"/>
    <w:rsid w:val="005A3B2D"/>
    <w:rsid w:val="005A464B"/>
    <w:rsid w:val="005A4754"/>
    <w:rsid w:val="005B15D4"/>
    <w:rsid w:val="005C4149"/>
    <w:rsid w:val="005D4B29"/>
    <w:rsid w:val="005D73B5"/>
    <w:rsid w:val="005E1720"/>
    <w:rsid w:val="005E5A2A"/>
    <w:rsid w:val="006055EC"/>
    <w:rsid w:val="00607829"/>
    <w:rsid w:val="006127E6"/>
    <w:rsid w:val="00613AD1"/>
    <w:rsid w:val="00633542"/>
    <w:rsid w:val="00633EB7"/>
    <w:rsid w:val="00637BF7"/>
    <w:rsid w:val="00640630"/>
    <w:rsid w:val="006547C4"/>
    <w:rsid w:val="00657B55"/>
    <w:rsid w:val="00687141"/>
    <w:rsid w:val="006A0157"/>
    <w:rsid w:val="006B6F0D"/>
    <w:rsid w:val="006C5FE7"/>
    <w:rsid w:val="006C7DA8"/>
    <w:rsid w:val="006D2C00"/>
    <w:rsid w:val="006D386B"/>
    <w:rsid w:val="006E545F"/>
    <w:rsid w:val="006E5A25"/>
    <w:rsid w:val="006F6BD5"/>
    <w:rsid w:val="00704436"/>
    <w:rsid w:val="0071195B"/>
    <w:rsid w:val="007137ED"/>
    <w:rsid w:val="00715A49"/>
    <w:rsid w:val="00715BEE"/>
    <w:rsid w:val="00726159"/>
    <w:rsid w:val="00727EE7"/>
    <w:rsid w:val="00736B79"/>
    <w:rsid w:val="0074708B"/>
    <w:rsid w:val="00755321"/>
    <w:rsid w:val="007560CF"/>
    <w:rsid w:val="0076168E"/>
    <w:rsid w:val="007658BD"/>
    <w:rsid w:val="00766891"/>
    <w:rsid w:val="00770345"/>
    <w:rsid w:val="00771C69"/>
    <w:rsid w:val="00792090"/>
    <w:rsid w:val="00793F46"/>
    <w:rsid w:val="007B229D"/>
    <w:rsid w:val="007B5A70"/>
    <w:rsid w:val="007C1090"/>
    <w:rsid w:val="007C17AF"/>
    <w:rsid w:val="007C2476"/>
    <w:rsid w:val="007C6F82"/>
    <w:rsid w:val="007D0954"/>
    <w:rsid w:val="007D1726"/>
    <w:rsid w:val="007D7C99"/>
    <w:rsid w:val="007F71EA"/>
    <w:rsid w:val="008006A0"/>
    <w:rsid w:val="00800A85"/>
    <w:rsid w:val="00801FBE"/>
    <w:rsid w:val="008302D7"/>
    <w:rsid w:val="0083384B"/>
    <w:rsid w:val="0083575A"/>
    <w:rsid w:val="008412EB"/>
    <w:rsid w:val="00857DDC"/>
    <w:rsid w:val="008A1A5B"/>
    <w:rsid w:val="008A2240"/>
    <w:rsid w:val="008A2F63"/>
    <w:rsid w:val="008B0265"/>
    <w:rsid w:val="008C0922"/>
    <w:rsid w:val="008D0BD2"/>
    <w:rsid w:val="008F27E6"/>
    <w:rsid w:val="008F58EE"/>
    <w:rsid w:val="00903164"/>
    <w:rsid w:val="00911CD4"/>
    <w:rsid w:val="0091764E"/>
    <w:rsid w:val="00921C7C"/>
    <w:rsid w:val="00932653"/>
    <w:rsid w:val="00934975"/>
    <w:rsid w:val="009374D9"/>
    <w:rsid w:val="00937BFA"/>
    <w:rsid w:val="009459C4"/>
    <w:rsid w:val="009473BB"/>
    <w:rsid w:val="009622E6"/>
    <w:rsid w:val="00975416"/>
    <w:rsid w:val="00976441"/>
    <w:rsid w:val="009A2405"/>
    <w:rsid w:val="009C49E8"/>
    <w:rsid w:val="009E27B6"/>
    <w:rsid w:val="009E4008"/>
    <w:rsid w:val="009F33D1"/>
    <w:rsid w:val="009F57D2"/>
    <w:rsid w:val="00A062E7"/>
    <w:rsid w:val="00A12E0D"/>
    <w:rsid w:val="00A26C68"/>
    <w:rsid w:val="00A355B2"/>
    <w:rsid w:val="00A37966"/>
    <w:rsid w:val="00A37B04"/>
    <w:rsid w:val="00A42C1E"/>
    <w:rsid w:val="00A45B03"/>
    <w:rsid w:val="00A53405"/>
    <w:rsid w:val="00A5474C"/>
    <w:rsid w:val="00A555E4"/>
    <w:rsid w:val="00A641DF"/>
    <w:rsid w:val="00A7400F"/>
    <w:rsid w:val="00A77DA7"/>
    <w:rsid w:val="00A90982"/>
    <w:rsid w:val="00A97CBB"/>
    <w:rsid w:val="00AC7152"/>
    <w:rsid w:val="00AD1B03"/>
    <w:rsid w:val="00AE70AF"/>
    <w:rsid w:val="00AE73C2"/>
    <w:rsid w:val="00AF0073"/>
    <w:rsid w:val="00AF4EB4"/>
    <w:rsid w:val="00AF6B4F"/>
    <w:rsid w:val="00B004B2"/>
    <w:rsid w:val="00B0223C"/>
    <w:rsid w:val="00B11D66"/>
    <w:rsid w:val="00B11DFA"/>
    <w:rsid w:val="00B12BBB"/>
    <w:rsid w:val="00B14A06"/>
    <w:rsid w:val="00B14CB7"/>
    <w:rsid w:val="00B205BF"/>
    <w:rsid w:val="00B34F0F"/>
    <w:rsid w:val="00B51288"/>
    <w:rsid w:val="00B531D7"/>
    <w:rsid w:val="00B57EDC"/>
    <w:rsid w:val="00B6653A"/>
    <w:rsid w:val="00B70750"/>
    <w:rsid w:val="00B7766A"/>
    <w:rsid w:val="00B82566"/>
    <w:rsid w:val="00BA007D"/>
    <w:rsid w:val="00BB1052"/>
    <w:rsid w:val="00BB78E1"/>
    <w:rsid w:val="00BD7868"/>
    <w:rsid w:val="00BF13B2"/>
    <w:rsid w:val="00C038B6"/>
    <w:rsid w:val="00C155B4"/>
    <w:rsid w:val="00C202B1"/>
    <w:rsid w:val="00C42702"/>
    <w:rsid w:val="00C56F31"/>
    <w:rsid w:val="00C60FB7"/>
    <w:rsid w:val="00C652E3"/>
    <w:rsid w:val="00C83BF0"/>
    <w:rsid w:val="00C906FB"/>
    <w:rsid w:val="00C90F61"/>
    <w:rsid w:val="00C91936"/>
    <w:rsid w:val="00CB15EC"/>
    <w:rsid w:val="00CB761E"/>
    <w:rsid w:val="00CD4973"/>
    <w:rsid w:val="00CE0D2D"/>
    <w:rsid w:val="00CE1D9E"/>
    <w:rsid w:val="00CE5687"/>
    <w:rsid w:val="00CF109D"/>
    <w:rsid w:val="00D1044B"/>
    <w:rsid w:val="00D1527E"/>
    <w:rsid w:val="00D220E3"/>
    <w:rsid w:val="00D22F22"/>
    <w:rsid w:val="00D326A7"/>
    <w:rsid w:val="00D40E27"/>
    <w:rsid w:val="00D70C3A"/>
    <w:rsid w:val="00D7640E"/>
    <w:rsid w:val="00D8167F"/>
    <w:rsid w:val="00D8422D"/>
    <w:rsid w:val="00D8654C"/>
    <w:rsid w:val="00D95904"/>
    <w:rsid w:val="00D962DD"/>
    <w:rsid w:val="00DA65D0"/>
    <w:rsid w:val="00DA799A"/>
    <w:rsid w:val="00DB620E"/>
    <w:rsid w:val="00DC1D6C"/>
    <w:rsid w:val="00DC2C6E"/>
    <w:rsid w:val="00DC72B0"/>
    <w:rsid w:val="00DE09F1"/>
    <w:rsid w:val="00DE10E2"/>
    <w:rsid w:val="00DE3A3E"/>
    <w:rsid w:val="00DE5ABE"/>
    <w:rsid w:val="00DF4AE5"/>
    <w:rsid w:val="00DF7BA5"/>
    <w:rsid w:val="00E13927"/>
    <w:rsid w:val="00E13AEF"/>
    <w:rsid w:val="00E13CD6"/>
    <w:rsid w:val="00E14481"/>
    <w:rsid w:val="00E3000D"/>
    <w:rsid w:val="00E33CED"/>
    <w:rsid w:val="00E33E6F"/>
    <w:rsid w:val="00E56E7C"/>
    <w:rsid w:val="00E635B0"/>
    <w:rsid w:val="00E65920"/>
    <w:rsid w:val="00E66C43"/>
    <w:rsid w:val="00E718F2"/>
    <w:rsid w:val="00E75268"/>
    <w:rsid w:val="00E83DF0"/>
    <w:rsid w:val="00E84112"/>
    <w:rsid w:val="00E902D7"/>
    <w:rsid w:val="00E9777B"/>
    <w:rsid w:val="00EA0ED6"/>
    <w:rsid w:val="00EC4191"/>
    <w:rsid w:val="00EC6414"/>
    <w:rsid w:val="00ED777C"/>
    <w:rsid w:val="00EE61A7"/>
    <w:rsid w:val="00F05632"/>
    <w:rsid w:val="00F10E94"/>
    <w:rsid w:val="00F12703"/>
    <w:rsid w:val="00F15325"/>
    <w:rsid w:val="00F15B5D"/>
    <w:rsid w:val="00F16BD5"/>
    <w:rsid w:val="00F26ABF"/>
    <w:rsid w:val="00F35C2A"/>
    <w:rsid w:val="00F42A81"/>
    <w:rsid w:val="00F42CAB"/>
    <w:rsid w:val="00F54AA0"/>
    <w:rsid w:val="00F63C53"/>
    <w:rsid w:val="00F649A9"/>
    <w:rsid w:val="00F940C3"/>
    <w:rsid w:val="00F96819"/>
    <w:rsid w:val="00FA59BD"/>
    <w:rsid w:val="00FA63A9"/>
    <w:rsid w:val="00FA6799"/>
    <w:rsid w:val="00FA6AEC"/>
    <w:rsid w:val="00FB432E"/>
    <w:rsid w:val="00FB4BDA"/>
    <w:rsid w:val="00FB52AE"/>
    <w:rsid w:val="00FC5CB0"/>
    <w:rsid w:val="00FC6A41"/>
    <w:rsid w:val="00FE2EC1"/>
    <w:rsid w:val="00FE529B"/>
    <w:rsid w:val="00FE794F"/>
    <w:rsid w:val="00FF5EA5"/>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D398F0"/>
  <w15:docId w15:val="{4E8DD86F-0361-4C67-A027-8233F0D25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920"/>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E65920"/>
    <w:pPr>
      <w:keepNext/>
      <w:outlineLvl w:val="0"/>
    </w:pPr>
    <w:rPr>
      <w:b/>
      <w:sz w:val="22"/>
    </w:rPr>
  </w:style>
  <w:style w:type="paragraph" w:styleId="Ttulo2">
    <w:name w:val="heading 2"/>
    <w:basedOn w:val="Normal"/>
    <w:next w:val="Normal"/>
    <w:link w:val="Ttulo2Car"/>
    <w:qFormat/>
    <w:rsid w:val="00E65920"/>
    <w:pPr>
      <w:keepNext/>
      <w:tabs>
        <w:tab w:val="left" w:pos="0"/>
      </w:tabs>
      <w:jc w:val="center"/>
      <w:outlineLvl w:val="1"/>
    </w:pPr>
    <w:rPr>
      <w:b/>
    </w:rPr>
  </w:style>
  <w:style w:type="paragraph" w:styleId="Ttulo3">
    <w:name w:val="heading 3"/>
    <w:basedOn w:val="Normal"/>
    <w:next w:val="Normal"/>
    <w:link w:val="Ttulo3Car"/>
    <w:qFormat/>
    <w:rsid w:val="00E65920"/>
    <w:pPr>
      <w:keepNext/>
      <w:spacing w:line="360" w:lineRule="auto"/>
      <w:outlineLvl w:val="2"/>
    </w:pPr>
    <w:rPr>
      <w:b/>
      <w:sz w:val="36"/>
    </w:rPr>
  </w:style>
  <w:style w:type="paragraph" w:styleId="Ttulo4">
    <w:name w:val="heading 4"/>
    <w:basedOn w:val="Normal"/>
    <w:next w:val="Normal"/>
    <w:link w:val="Ttulo4Car"/>
    <w:qFormat/>
    <w:rsid w:val="00E65920"/>
    <w:pPr>
      <w:keepNext/>
      <w:spacing w:line="360" w:lineRule="auto"/>
      <w:outlineLvl w:val="3"/>
    </w:pPr>
    <w:rPr>
      <w:b/>
      <w:sz w:val="36"/>
    </w:rPr>
  </w:style>
  <w:style w:type="paragraph" w:styleId="Ttulo5">
    <w:name w:val="heading 5"/>
    <w:basedOn w:val="Normal"/>
    <w:next w:val="Normal"/>
    <w:link w:val="Ttulo5Car"/>
    <w:qFormat/>
    <w:rsid w:val="00E65920"/>
    <w:pPr>
      <w:keepNext/>
      <w:shd w:val="clear" w:color="FF00FF" w:fill="auto"/>
      <w:spacing w:line="360" w:lineRule="auto"/>
      <w:outlineLvl w:val="4"/>
    </w:pPr>
    <w:rPr>
      <w:b/>
      <w:sz w:val="36"/>
    </w:rPr>
  </w:style>
  <w:style w:type="paragraph" w:styleId="Ttulo6">
    <w:name w:val="heading 6"/>
    <w:basedOn w:val="Normal"/>
    <w:next w:val="Normal"/>
    <w:link w:val="Ttulo6Car"/>
    <w:qFormat/>
    <w:rsid w:val="00E65920"/>
    <w:pPr>
      <w:keepNext/>
      <w:spacing w:line="360" w:lineRule="auto"/>
      <w:outlineLvl w:val="5"/>
    </w:pPr>
    <w:rPr>
      <w:b/>
      <w:sz w:val="36"/>
    </w:rPr>
  </w:style>
  <w:style w:type="paragraph" w:styleId="Ttulo7">
    <w:name w:val="heading 7"/>
    <w:basedOn w:val="Normal"/>
    <w:next w:val="Normal"/>
    <w:link w:val="Ttulo7Car"/>
    <w:qFormat/>
    <w:rsid w:val="00E65920"/>
    <w:pPr>
      <w:keepNext/>
      <w:spacing w:line="360" w:lineRule="auto"/>
      <w:outlineLvl w:val="6"/>
    </w:pPr>
    <w:rPr>
      <w:b/>
      <w:sz w:val="36"/>
    </w:rPr>
  </w:style>
  <w:style w:type="paragraph" w:styleId="Ttulo8">
    <w:name w:val="heading 8"/>
    <w:basedOn w:val="Normal"/>
    <w:next w:val="Normal"/>
    <w:link w:val="Ttulo8Car"/>
    <w:qFormat/>
    <w:rsid w:val="00E65920"/>
    <w:pPr>
      <w:keepNext/>
      <w:tabs>
        <w:tab w:val="left" w:pos="6237"/>
      </w:tabs>
      <w:spacing w:line="360" w:lineRule="auto"/>
      <w:outlineLvl w:val="7"/>
    </w:pPr>
    <w:rPr>
      <w:b/>
      <w:sz w:val="36"/>
    </w:rPr>
  </w:style>
  <w:style w:type="paragraph" w:styleId="Ttulo9">
    <w:name w:val="heading 9"/>
    <w:basedOn w:val="Normal"/>
    <w:next w:val="Normal"/>
    <w:link w:val="Ttulo9Car"/>
    <w:qFormat/>
    <w:rsid w:val="00E65920"/>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65920"/>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E65920"/>
    <w:pPr>
      <w:tabs>
        <w:tab w:val="center" w:pos="4419"/>
        <w:tab w:val="right" w:pos="8838"/>
      </w:tabs>
    </w:pPr>
  </w:style>
  <w:style w:type="character" w:customStyle="1" w:styleId="EncabezadoCar">
    <w:name w:val="Encabezado Car"/>
    <w:link w:val="Encabezado"/>
    <w:uiPriority w:val="99"/>
    <w:rsid w:val="00E65920"/>
    <w:rPr>
      <w:rFonts w:ascii="Arial" w:eastAsia="Times New Roman" w:hAnsi="Arial" w:cs="Times New Roman"/>
      <w:sz w:val="20"/>
      <w:szCs w:val="20"/>
      <w:lang w:eastAsia="es-ES"/>
    </w:rPr>
  </w:style>
  <w:style w:type="paragraph" w:styleId="Prrafodelista">
    <w:name w:val="List Paragraph"/>
    <w:basedOn w:val="Normal"/>
    <w:uiPriority w:val="34"/>
    <w:qFormat/>
    <w:rsid w:val="00E65920"/>
    <w:pPr>
      <w:widowControl w:val="0"/>
      <w:ind w:left="720"/>
      <w:contextualSpacing/>
    </w:pPr>
    <w:rPr>
      <w:b/>
      <w:snapToGrid w:val="0"/>
    </w:rPr>
  </w:style>
  <w:style w:type="character" w:customStyle="1" w:styleId="Ttulo2Car">
    <w:name w:val="Título 2 Car"/>
    <w:link w:val="Ttulo2"/>
    <w:rsid w:val="00E65920"/>
    <w:rPr>
      <w:rFonts w:ascii="Arial" w:eastAsia="Times New Roman" w:hAnsi="Arial" w:cs="Times New Roman"/>
      <w:b/>
      <w:sz w:val="20"/>
      <w:szCs w:val="20"/>
      <w:lang w:eastAsia="es-ES"/>
    </w:rPr>
  </w:style>
  <w:style w:type="character" w:customStyle="1" w:styleId="Ttulo5Car">
    <w:name w:val="Título 5 Car"/>
    <w:link w:val="Ttulo5"/>
    <w:rsid w:val="00E65920"/>
    <w:rPr>
      <w:rFonts w:ascii="Arial" w:eastAsia="Times New Roman" w:hAnsi="Arial" w:cs="Times New Roman"/>
      <w:b/>
      <w:sz w:val="36"/>
      <w:szCs w:val="20"/>
      <w:shd w:val="clear" w:color="FF00FF" w:fill="auto"/>
      <w:lang w:eastAsia="es-ES"/>
    </w:rPr>
  </w:style>
  <w:style w:type="paragraph" w:styleId="Piedepgina">
    <w:name w:val="footer"/>
    <w:basedOn w:val="Normal"/>
    <w:link w:val="PiedepginaCar"/>
    <w:uiPriority w:val="99"/>
    <w:unhideWhenUsed/>
    <w:rsid w:val="00E65920"/>
    <w:pPr>
      <w:tabs>
        <w:tab w:val="center" w:pos="4419"/>
        <w:tab w:val="right" w:pos="8838"/>
      </w:tabs>
    </w:pPr>
  </w:style>
  <w:style w:type="character" w:customStyle="1" w:styleId="PiedepginaCar">
    <w:name w:val="Pie de página Car"/>
    <w:link w:val="Piedepgina"/>
    <w:uiPriority w:val="99"/>
    <w:rsid w:val="00E65920"/>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E65920"/>
    <w:rPr>
      <w:rFonts w:ascii="Tahoma" w:hAnsi="Tahoma" w:cs="Tahoma"/>
      <w:sz w:val="16"/>
      <w:szCs w:val="16"/>
    </w:rPr>
  </w:style>
  <w:style w:type="character" w:customStyle="1" w:styleId="TextodegloboCar">
    <w:name w:val="Texto de globo Car"/>
    <w:link w:val="Textodeglobo"/>
    <w:uiPriority w:val="99"/>
    <w:semiHidden/>
    <w:rsid w:val="00E65920"/>
    <w:rPr>
      <w:rFonts w:ascii="Tahoma" w:eastAsia="Times New Roman" w:hAnsi="Tahoma" w:cs="Tahoma"/>
      <w:sz w:val="16"/>
      <w:szCs w:val="16"/>
      <w:lang w:eastAsia="es-ES"/>
    </w:rPr>
  </w:style>
  <w:style w:type="character" w:customStyle="1" w:styleId="Ttulo3Car">
    <w:name w:val="Título 3 Car"/>
    <w:link w:val="Ttulo3"/>
    <w:rsid w:val="00E65920"/>
    <w:rPr>
      <w:rFonts w:ascii="Arial" w:eastAsia="Times New Roman" w:hAnsi="Arial" w:cs="Times New Roman"/>
      <w:b/>
      <w:sz w:val="36"/>
      <w:szCs w:val="20"/>
      <w:lang w:eastAsia="es-ES"/>
    </w:rPr>
  </w:style>
  <w:style w:type="character" w:customStyle="1" w:styleId="Ttulo4Car">
    <w:name w:val="Título 4 Car"/>
    <w:link w:val="Ttulo4"/>
    <w:rsid w:val="00E65920"/>
    <w:rPr>
      <w:rFonts w:ascii="Arial" w:eastAsia="Times New Roman" w:hAnsi="Arial" w:cs="Times New Roman"/>
      <w:b/>
      <w:sz w:val="36"/>
      <w:szCs w:val="20"/>
      <w:lang w:eastAsia="es-ES"/>
    </w:rPr>
  </w:style>
  <w:style w:type="character" w:customStyle="1" w:styleId="Ttulo6Car">
    <w:name w:val="Título 6 Car"/>
    <w:link w:val="Ttulo6"/>
    <w:rsid w:val="00E65920"/>
    <w:rPr>
      <w:rFonts w:ascii="Arial" w:eastAsia="Times New Roman" w:hAnsi="Arial" w:cs="Times New Roman"/>
      <w:b/>
      <w:sz w:val="36"/>
      <w:szCs w:val="20"/>
      <w:lang w:eastAsia="es-ES"/>
    </w:rPr>
  </w:style>
  <w:style w:type="character" w:customStyle="1" w:styleId="Ttulo7Car">
    <w:name w:val="Título 7 Car"/>
    <w:link w:val="Ttulo7"/>
    <w:rsid w:val="00E65920"/>
    <w:rPr>
      <w:rFonts w:ascii="Arial" w:eastAsia="Times New Roman" w:hAnsi="Arial" w:cs="Times New Roman"/>
      <w:b/>
      <w:sz w:val="36"/>
      <w:szCs w:val="20"/>
      <w:lang w:eastAsia="es-ES"/>
    </w:rPr>
  </w:style>
  <w:style w:type="character" w:customStyle="1" w:styleId="Ttulo1Car">
    <w:name w:val="Título 1 Car"/>
    <w:link w:val="Ttulo1"/>
    <w:rsid w:val="00E65920"/>
    <w:rPr>
      <w:rFonts w:ascii="Arial" w:eastAsia="Times New Roman" w:hAnsi="Arial" w:cs="Times New Roman"/>
      <w:b/>
      <w:szCs w:val="20"/>
      <w:lang w:eastAsia="es-ES"/>
    </w:rPr>
  </w:style>
  <w:style w:type="character" w:customStyle="1" w:styleId="Ttulo8Car">
    <w:name w:val="Título 8 Car"/>
    <w:link w:val="Ttulo8"/>
    <w:rsid w:val="00E65920"/>
    <w:rPr>
      <w:rFonts w:ascii="Arial" w:eastAsia="Times New Roman" w:hAnsi="Arial" w:cs="Times New Roman"/>
      <w:b/>
      <w:sz w:val="36"/>
      <w:szCs w:val="20"/>
      <w:lang w:eastAsia="es-ES"/>
    </w:rPr>
  </w:style>
  <w:style w:type="character" w:customStyle="1" w:styleId="Ttulo9Car">
    <w:name w:val="Título 9 Car"/>
    <w:link w:val="Ttulo9"/>
    <w:rsid w:val="00E65920"/>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29208">
      <w:bodyDiv w:val="1"/>
      <w:marLeft w:val="0"/>
      <w:marRight w:val="0"/>
      <w:marTop w:val="0"/>
      <w:marBottom w:val="0"/>
      <w:divBdr>
        <w:top w:val="none" w:sz="0" w:space="0" w:color="auto"/>
        <w:left w:val="none" w:sz="0" w:space="0" w:color="auto"/>
        <w:bottom w:val="none" w:sz="0" w:space="0" w:color="auto"/>
        <w:right w:val="none" w:sz="0" w:space="0" w:color="auto"/>
      </w:divBdr>
    </w:div>
    <w:div w:id="1087116708">
      <w:bodyDiv w:val="1"/>
      <w:marLeft w:val="0"/>
      <w:marRight w:val="0"/>
      <w:marTop w:val="0"/>
      <w:marBottom w:val="0"/>
      <w:divBdr>
        <w:top w:val="none" w:sz="0" w:space="0" w:color="auto"/>
        <w:left w:val="none" w:sz="0" w:space="0" w:color="auto"/>
        <w:bottom w:val="none" w:sz="0" w:space="0" w:color="auto"/>
        <w:right w:val="none" w:sz="0" w:space="0" w:color="auto"/>
      </w:divBdr>
    </w:div>
    <w:div w:id="1154030851">
      <w:bodyDiv w:val="1"/>
      <w:marLeft w:val="0"/>
      <w:marRight w:val="0"/>
      <w:marTop w:val="0"/>
      <w:marBottom w:val="0"/>
      <w:divBdr>
        <w:top w:val="none" w:sz="0" w:space="0" w:color="auto"/>
        <w:left w:val="none" w:sz="0" w:space="0" w:color="auto"/>
        <w:bottom w:val="none" w:sz="0" w:space="0" w:color="auto"/>
        <w:right w:val="none" w:sz="0" w:space="0" w:color="auto"/>
      </w:divBdr>
    </w:div>
    <w:div w:id="1422138329">
      <w:bodyDiv w:val="1"/>
      <w:marLeft w:val="0"/>
      <w:marRight w:val="0"/>
      <w:marTop w:val="0"/>
      <w:marBottom w:val="0"/>
      <w:divBdr>
        <w:top w:val="none" w:sz="0" w:space="0" w:color="auto"/>
        <w:left w:val="none" w:sz="0" w:space="0" w:color="auto"/>
        <w:bottom w:val="none" w:sz="0" w:space="0" w:color="auto"/>
        <w:right w:val="none" w:sz="0" w:space="0" w:color="auto"/>
      </w:divBdr>
    </w:div>
    <w:div w:id="14469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297D6-4F2C-415C-98D3-8BBED7D1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2223</Words>
  <Characters>12232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VideosHD</dc:creator>
  <cp:keywords/>
  <dc:description/>
  <cp:lastModifiedBy>Juan Lumbreras</cp:lastModifiedBy>
  <cp:revision>5</cp:revision>
  <cp:lastPrinted>2018-12-04T16:59:00Z</cp:lastPrinted>
  <dcterms:created xsi:type="dcterms:W3CDTF">2018-12-04T17:00:00Z</dcterms:created>
  <dcterms:modified xsi:type="dcterms:W3CDTF">2021-02-25T16:05:00Z</dcterms:modified>
</cp:coreProperties>
</file>