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EC0" w:rsidRPr="00166B20" w:rsidRDefault="00ED6EC0" w:rsidP="00ED6EC0">
      <w:pPr>
        <w:rPr>
          <w:sz w:val="26"/>
          <w:szCs w:val="26"/>
        </w:rPr>
      </w:pPr>
    </w:p>
    <w:p w:rsidR="00ED6EC0" w:rsidRPr="00166B20" w:rsidRDefault="00ED6EC0" w:rsidP="00ED6EC0">
      <w:pPr>
        <w:rPr>
          <w:rFonts w:ascii="Arial Narrow" w:hAnsi="Arial Narrow"/>
          <w:color w:val="000000"/>
          <w:sz w:val="26"/>
          <w:szCs w:val="26"/>
        </w:rPr>
      </w:pPr>
    </w:p>
    <w:p w:rsidR="00ED6EC0" w:rsidRPr="00166B20" w:rsidRDefault="00ED6EC0" w:rsidP="00ED6EC0">
      <w:pPr>
        <w:rPr>
          <w:rFonts w:ascii="Arial Narrow" w:hAnsi="Arial Narrow"/>
          <w:color w:val="000000"/>
          <w:sz w:val="26"/>
          <w:szCs w:val="26"/>
        </w:rPr>
      </w:pPr>
    </w:p>
    <w:p w:rsidR="00ED6EC0" w:rsidRPr="00166B20" w:rsidRDefault="00ED6EC0" w:rsidP="00ED6EC0">
      <w:pPr>
        <w:rPr>
          <w:rFonts w:ascii="Arial Narrow" w:hAnsi="Arial Narrow"/>
          <w:b/>
          <w:color w:val="000000"/>
          <w:sz w:val="26"/>
          <w:szCs w:val="26"/>
        </w:rPr>
      </w:pPr>
      <w:r w:rsidRPr="00166B20">
        <w:rPr>
          <w:rFonts w:ascii="Arial Narrow" w:hAnsi="Arial Narrow"/>
          <w:color w:val="000000"/>
          <w:sz w:val="26"/>
          <w:szCs w:val="26"/>
        </w:rPr>
        <w:t xml:space="preserve">Iniciativa con Proyecto de Decreto por la que se modifica el contenido del artículo 188 del </w:t>
      </w:r>
      <w:r w:rsidRPr="00166B20">
        <w:rPr>
          <w:rFonts w:ascii="Arial Narrow" w:hAnsi="Arial Narrow"/>
          <w:b/>
          <w:color w:val="000000"/>
          <w:sz w:val="26"/>
          <w:szCs w:val="26"/>
        </w:rPr>
        <w:t>Código Penal de Coahuila.</w:t>
      </w:r>
    </w:p>
    <w:p w:rsidR="00ED6EC0" w:rsidRPr="00166B20" w:rsidRDefault="00ED6EC0" w:rsidP="00ED6EC0">
      <w:pPr>
        <w:rPr>
          <w:rFonts w:ascii="Arial Narrow" w:hAnsi="Arial Narrow"/>
          <w:color w:val="000000"/>
          <w:sz w:val="26"/>
          <w:szCs w:val="26"/>
        </w:rPr>
      </w:pPr>
    </w:p>
    <w:p w:rsidR="00ED6EC0" w:rsidRPr="00166B20" w:rsidRDefault="00ED6EC0" w:rsidP="00ED6EC0">
      <w:pPr>
        <w:numPr>
          <w:ilvl w:val="0"/>
          <w:numId w:val="16"/>
        </w:numPr>
        <w:rPr>
          <w:rFonts w:ascii="Arial Narrow" w:hAnsi="Arial Narrow"/>
          <w:b/>
          <w:color w:val="000000"/>
          <w:sz w:val="26"/>
          <w:szCs w:val="26"/>
        </w:rPr>
      </w:pPr>
      <w:r w:rsidRPr="00166B20">
        <w:rPr>
          <w:rFonts w:ascii="Arial Narrow" w:hAnsi="Arial Narrow"/>
          <w:b/>
          <w:color w:val="000000"/>
          <w:sz w:val="26"/>
          <w:szCs w:val="26"/>
        </w:rPr>
        <w:t>En relación a homologar el delito de feminicidio con el Código Penal Federal.</w:t>
      </w:r>
    </w:p>
    <w:p w:rsidR="00ED6EC0" w:rsidRPr="00166B20" w:rsidRDefault="00ED6EC0" w:rsidP="00ED6EC0">
      <w:pPr>
        <w:rPr>
          <w:rFonts w:ascii="Arial Narrow" w:hAnsi="Arial Narrow"/>
          <w:color w:val="000000"/>
          <w:sz w:val="26"/>
          <w:szCs w:val="26"/>
        </w:rPr>
      </w:pPr>
    </w:p>
    <w:p w:rsidR="00ED6EC0" w:rsidRPr="00166B20" w:rsidRDefault="00ED6EC0" w:rsidP="00ED6EC0">
      <w:pPr>
        <w:rPr>
          <w:rFonts w:ascii="Arial Narrow" w:hAnsi="Arial Narrow"/>
          <w:color w:val="000000"/>
          <w:sz w:val="26"/>
          <w:szCs w:val="26"/>
        </w:rPr>
      </w:pPr>
      <w:r w:rsidRPr="00166B20">
        <w:rPr>
          <w:rFonts w:ascii="Arial Narrow" w:hAnsi="Arial Narrow"/>
          <w:color w:val="000000"/>
          <w:sz w:val="26"/>
          <w:szCs w:val="26"/>
        </w:rPr>
        <w:t xml:space="preserve">Planteada por la </w:t>
      </w:r>
      <w:r w:rsidRPr="00166B20">
        <w:rPr>
          <w:rFonts w:ascii="Arial Narrow" w:hAnsi="Arial Narrow"/>
          <w:b/>
          <w:color w:val="000000"/>
          <w:sz w:val="26"/>
          <w:szCs w:val="26"/>
        </w:rPr>
        <w:t xml:space="preserve">Diputada María Eugenia Cázares Martínez, </w:t>
      </w:r>
      <w:r w:rsidRPr="00166B20">
        <w:rPr>
          <w:rFonts w:ascii="Arial Narrow" w:hAnsi="Arial Narrow"/>
          <w:color w:val="000000"/>
          <w:sz w:val="26"/>
          <w:szCs w:val="26"/>
        </w:rPr>
        <w:t>del Grupo Parlamentario “Del Partido Acción Nacional”, conjuntamente con las demás Diputadas y Diputados que la suscriben.</w:t>
      </w:r>
    </w:p>
    <w:p w:rsidR="00ED6EC0" w:rsidRPr="00166B20" w:rsidRDefault="00ED6EC0" w:rsidP="00ED6EC0">
      <w:pPr>
        <w:rPr>
          <w:rFonts w:ascii="Arial Narrow" w:hAnsi="Arial Narrow"/>
          <w:color w:val="000000"/>
          <w:sz w:val="26"/>
          <w:szCs w:val="26"/>
        </w:rPr>
      </w:pPr>
    </w:p>
    <w:p w:rsidR="00ED6EC0" w:rsidRPr="00166B20" w:rsidRDefault="00ED6EC0" w:rsidP="00ED6EC0">
      <w:pPr>
        <w:rPr>
          <w:rFonts w:ascii="Arial Narrow" w:hAnsi="Arial Narrow"/>
          <w:b/>
          <w:color w:val="000000"/>
          <w:sz w:val="26"/>
          <w:szCs w:val="26"/>
        </w:rPr>
      </w:pPr>
      <w:r w:rsidRPr="00166B20">
        <w:rPr>
          <w:rFonts w:ascii="Arial Narrow" w:hAnsi="Arial Narrow"/>
          <w:color w:val="000000"/>
          <w:sz w:val="26"/>
          <w:szCs w:val="26"/>
        </w:rPr>
        <w:t xml:space="preserve">Fecha de Lectura de la Iniciativa: </w:t>
      </w:r>
      <w:r w:rsidRPr="00166B20">
        <w:rPr>
          <w:rFonts w:ascii="Arial Narrow" w:hAnsi="Arial Narrow"/>
          <w:b/>
          <w:color w:val="000000"/>
          <w:sz w:val="26"/>
          <w:szCs w:val="26"/>
        </w:rPr>
        <w:t xml:space="preserve">20 de </w:t>
      </w:r>
      <w:proofErr w:type="gramStart"/>
      <w:r w:rsidRPr="00166B20">
        <w:rPr>
          <w:rFonts w:ascii="Arial Narrow" w:hAnsi="Arial Narrow"/>
          <w:b/>
          <w:color w:val="000000"/>
          <w:sz w:val="26"/>
          <w:szCs w:val="26"/>
        </w:rPr>
        <w:t>Marzo</w:t>
      </w:r>
      <w:proofErr w:type="gramEnd"/>
      <w:r w:rsidRPr="00166B20">
        <w:rPr>
          <w:rFonts w:ascii="Arial Narrow" w:hAnsi="Arial Narrow"/>
          <w:b/>
          <w:color w:val="000000"/>
          <w:sz w:val="26"/>
          <w:szCs w:val="26"/>
        </w:rPr>
        <w:t xml:space="preserve"> de 2019.</w:t>
      </w:r>
    </w:p>
    <w:p w:rsidR="00ED6EC0" w:rsidRPr="00166B20" w:rsidRDefault="00ED6EC0" w:rsidP="00ED6EC0">
      <w:pPr>
        <w:rPr>
          <w:rFonts w:ascii="Arial Narrow" w:hAnsi="Arial Narrow" w:cs="Arial"/>
          <w:sz w:val="26"/>
          <w:szCs w:val="26"/>
        </w:rPr>
      </w:pPr>
    </w:p>
    <w:p w:rsidR="00ED6EC0" w:rsidRPr="00166B20" w:rsidRDefault="00ED6EC0" w:rsidP="00ED6EC0">
      <w:pPr>
        <w:rPr>
          <w:rFonts w:ascii="Arial Narrow" w:hAnsi="Arial Narrow"/>
          <w:b/>
          <w:color w:val="000000"/>
          <w:sz w:val="26"/>
          <w:szCs w:val="26"/>
        </w:rPr>
      </w:pPr>
      <w:r w:rsidRPr="00166B20">
        <w:rPr>
          <w:rFonts w:ascii="Arial Narrow" w:hAnsi="Arial Narrow"/>
          <w:color w:val="000000"/>
          <w:sz w:val="26"/>
          <w:szCs w:val="26"/>
        </w:rPr>
        <w:t xml:space="preserve">Turnada a la </w:t>
      </w:r>
      <w:r w:rsidRPr="00166B20">
        <w:rPr>
          <w:rFonts w:ascii="Arial Narrow" w:hAnsi="Arial Narrow"/>
          <w:b/>
          <w:color w:val="000000"/>
          <w:sz w:val="26"/>
          <w:szCs w:val="26"/>
        </w:rPr>
        <w:t>Comisión de Gobernación, Puntos Constitucionales y Justicia.</w:t>
      </w:r>
    </w:p>
    <w:p w:rsidR="00ED6EC0" w:rsidRPr="00166B20" w:rsidRDefault="00ED6EC0" w:rsidP="00ED6EC0">
      <w:pPr>
        <w:rPr>
          <w:rFonts w:ascii="Arial Narrow" w:hAnsi="Arial Narrow"/>
          <w:color w:val="000000"/>
          <w:sz w:val="26"/>
          <w:szCs w:val="26"/>
        </w:rPr>
      </w:pPr>
    </w:p>
    <w:p w:rsidR="00ED6EC0" w:rsidRPr="00166B20" w:rsidRDefault="00ED6EC0" w:rsidP="00ED6EC0">
      <w:pPr>
        <w:rPr>
          <w:rFonts w:ascii="Arial Narrow" w:hAnsi="Arial Narrow"/>
          <w:b/>
          <w:color w:val="000000"/>
          <w:sz w:val="26"/>
          <w:szCs w:val="26"/>
        </w:rPr>
      </w:pPr>
      <w:r w:rsidRPr="00166B20">
        <w:rPr>
          <w:rFonts w:ascii="Arial Narrow" w:hAnsi="Arial Narrow"/>
          <w:b/>
          <w:color w:val="000000"/>
          <w:sz w:val="26"/>
          <w:szCs w:val="26"/>
        </w:rPr>
        <w:t xml:space="preserve">Lectura del Dictamen: 02 de </w:t>
      </w:r>
      <w:proofErr w:type="gramStart"/>
      <w:r w:rsidRPr="00166B20">
        <w:rPr>
          <w:rFonts w:ascii="Arial Narrow" w:hAnsi="Arial Narrow"/>
          <w:b/>
          <w:color w:val="000000"/>
          <w:sz w:val="26"/>
          <w:szCs w:val="26"/>
        </w:rPr>
        <w:t>Septiembre</w:t>
      </w:r>
      <w:proofErr w:type="gramEnd"/>
      <w:r w:rsidRPr="00166B20">
        <w:rPr>
          <w:rFonts w:ascii="Arial Narrow" w:hAnsi="Arial Narrow"/>
          <w:b/>
          <w:color w:val="000000"/>
          <w:sz w:val="26"/>
          <w:szCs w:val="26"/>
        </w:rPr>
        <w:t xml:space="preserve"> de 2019.</w:t>
      </w:r>
    </w:p>
    <w:p w:rsidR="00ED6EC0" w:rsidRPr="00166B20" w:rsidRDefault="00ED6EC0" w:rsidP="00ED6EC0">
      <w:pPr>
        <w:rPr>
          <w:rFonts w:ascii="Arial Narrow" w:hAnsi="Arial Narrow"/>
          <w:b/>
          <w:color w:val="000000"/>
          <w:sz w:val="26"/>
          <w:szCs w:val="26"/>
        </w:rPr>
      </w:pPr>
    </w:p>
    <w:p w:rsidR="00ED6EC0" w:rsidRPr="00166B20" w:rsidRDefault="00ED6EC0" w:rsidP="00ED6EC0">
      <w:pPr>
        <w:rPr>
          <w:rFonts w:ascii="Arial Narrow" w:hAnsi="Arial Narrow"/>
          <w:b/>
          <w:color w:val="000000"/>
          <w:sz w:val="26"/>
          <w:szCs w:val="26"/>
        </w:rPr>
      </w:pPr>
      <w:r w:rsidRPr="00166B20">
        <w:rPr>
          <w:rFonts w:ascii="Arial Narrow" w:hAnsi="Arial Narrow"/>
          <w:b/>
          <w:color w:val="000000"/>
          <w:sz w:val="26"/>
          <w:szCs w:val="26"/>
        </w:rPr>
        <w:t>Decreto No. 346</w:t>
      </w:r>
    </w:p>
    <w:p w:rsidR="00ED6EC0" w:rsidRPr="00166B20" w:rsidRDefault="00ED6EC0" w:rsidP="00ED6EC0">
      <w:pPr>
        <w:rPr>
          <w:rFonts w:ascii="Arial Narrow" w:hAnsi="Arial Narrow"/>
          <w:b/>
          <w:color w:val="000000"/>
          <w:sz w:val="26"/>
          <w:szCs w:val="26"/>
        </w:rPr>
      </w:pPr>
    </w:p>
    <w:p w:rsidR="00ED6EC0" w:rsidRPr="00166B20" w:rsidRDefault="00ED6EC0" w:rsidP="00ED6EC0">
      <w:pPr>
        <w:rPr>
          <w:rFonts w:ascii="Arial Narrow" w:hAnsi="Arial Narrow"/>
          <w:b/>
          <w:color w:val="000000"/>
          <w:sz w:val="26"/>
          <w:szCs w:val="26"/>
        </w:rPr>
      </w:pPr>
      <w:r w:rsidRPr="00166B20">
        <w:rPr>
          <w:rFonts w:ascii="Arial Narrow" w:hAnsi="Arial Narrow"/>
          <w:color w:val="000000"/>
          <w:sz w:val="26"/>
          <w:szCs w:val="26"/>
        </w:rPr>
        <w:t>Publicación en el Periódico Oficial del Gobierno del Estado:</w:t>
      </w:r>
      <w:r w:rsidRPr="00166B20">
        <w:rPr>
          <w:rFonts w:ascii="Arial Narrow" w:hAnsi="Arial Narrow"/>
          <w:b/>
          <w:color w:val="000000"/>
          <w:sz w:val="26"/>
          <w:szCs w:val="26"/>
        </w:rPr>
        <w:t xml:space="preserve"> P.O. 77 / 24 de Septiembre de 2019</w:t>
      </w:r>
      <w:r w:rsidR="001135EA">
        <w:rPr>
          <w:rFonts w:ascii="Arial Narrow" w:hAnsi="Arial Narrow"/>
          <w:b/>
          <w:color w:val="000000"/>
          <w:sz w:val="26"/>
          <w:szCs w:val="26"/>
        </w:rPr>
        <w:t>.</w:t>
      </w:r>
      <w:bookmarkStart w:id="0" w:name="_GoBack"/>
      <w:bookmarkEnd w:id="0"/>
    </w:p>
    <w:p w:rsidR="00ED6EC0" w:rsidRPr="007F6509" w:rsidRDefault="00ED6EC0" w:rsidP="00ED6EC0">
      <w:pPr>
        <w:rPr>
          <w:rFonts w:ascii="Arial Narrow" w:hAnsi="Arial Narrow"/>
          <w:color w:val="000000"/>
          <w:sz w:val="28"/>
          <w:szCs w:val="26"/>
        </w:rPr>
      </w:pPr>
    </w:p>
    <w:p w:rsidR="00C22A44" w:rsidRDefault="00C22A44" w:rsidP="00AE5158">
      <w:pPr>
        <w:spacing w:line="360" w:lineRule="auto"/>
        <w:rPr>
          <w:rFonts w:cs="Arial"/>
          <w:b/>
          <w:sz w:val="28"/>
          <w:szCs w:val="28"/>
        </w:rPr>
      </w:pPr>
    </w:p>
    <w:p w:rsidR="00C22A44" w:rsidRDefault="00C22A44" w:rsidP="00AE5158">
      <w:pPr>
        <w:spacing w:line="360" w:lineRule="auto"/>
        <w:rPr>
          <w:rFonts w:cs="Arial"/>
          <w:b/>
          <w:sz w:val="28"/>
          <w:szCs w:val="28"/>
        </w:rPr>
      </w:pPr>
    </w:p>
    <w:p w:rsidR="00C22A44" w:rsidRDefault="00C22A44" w:rsidP="00AE5158">
      <w:pPr>
        <w:spacing w:line="360" w:lineRule="auto"/>
        <w:rPr>
          <w:rFonts w:cs="Arial"/>
          <w:b/>
          <w:sz w:val="28"/>
          <w:szCs w:val="28"/>
        </w:rPr>
      </w:pPr>
    </w:p>
    <w:p w:rsidR="00C22A44" w:rsidRDefault="00C22A44">
      <w:pPr>
        <w:spacing w:after="160" w:line="259" w:lineRule="auto"/>
        <w:jc w:val="left"/>
        <w:rPr>
          <w:rFonts w:cs="Arial"/>
          <w:b/>
          <w:sz w:val="28"/>
          <w:szCs w:val="28"/>
        </w:rPr>
      </w:pPr>
      <w:r>
        <w:rPr>
          <w:rFonts w:cs="Arial"/>
          <w:b/>
          <w:sz w:val="28"/>
          <w:szCs w:val="28"/>
        </w:rPr>
        <w:br w:type="page"/>
      </w:r>
    </w:p>
    <w:p w:rsidR="00774181" w:rsidRPr="00C90F61" w:rsidRDefault="00774181" w:rsidP="00AE5158">
      <w:pPr>
        <w:spacing w:line="360" w:lineRule="auto"/>
        <w:rPr>
          <w:rFonts w:cs="Arial"/>
          <w:b/>
          <w:sz w:val="28"/>
          <w:szCs w:val="28"/>
        </w:rPr>
      </w:pPr>
      <w:r w:rsidRPr="00C90F61">
        <w:rPr>
          <w:rFonts w:cs="Arial"/>
          <w:b/>
          <w:sz w:val="28"/>
          <w:szCs w:val="28"/>
        </w:rPr>
        <w:lastRenderedPageBreak/>
        <w:t xml:space="preserve">H.  PLENO DEL CONGRESO DEL ESTADO </w:t>
      </w:r>
    </w:p>
    <w:p w:rsidR="00774181" w:rsidRPr="00C90F61" w:rsidRDefault="00774181" w:rsidP="00AE5158">
      <w:pPr>
        <w:spacing w:line="360" w:lineRule="auto"/>
        <w:rPr>
          <w:rFonts w:cs="Arial"/>
          <w:b/>
          <w:sz w:val="28"/>
          <w:szCs w:val="28"/>
        </w:rPr>
      </w:pPr>
      <w:r w:rsidRPr="00C90F61">
        <w:rPr>
          <w:rFonts w:cs="Arial"/>
          <w:b/>
          <w:sz w:val="28"/>
          <w:szCs w:val="28"/>
        </w:rPr>
        <w:t>DE COAHUILA DE ZARAGOZA.</w:t>
      </w:r>
    </w:p>
    <w:p w:rsidR="00774181" w:rsidRPr="00C90F61" w:rsidRDefault="00774181" w:rsidP="00AE5158">
      <w:pPr>
        <w:spacing w:line="360" w:lineRule="auto"/>
        <w:rPr>
          <w:rFonts w:cs="Arial"/>
          <w:b/>
          <w:sz w:val="28"/>
          <w:szCs w:val="28"/>
        </w:rPr>
      </w:pPr>
      <w:r w:rsidRPr="00C90F61">
        <w:rPr>
          <w:rFonts w:cs="Arial"/>
          <w:b/>
          <w:sz w:val="28"/>
          <w:szCs w:val="28"/>
        </w:rPr>
        <w:t xml:space="preserve">PRESENTE. – </w:t>
      </w:r>
    </w:p>
    <w:p w:rsidR="00774181" w:rsidRPr="00C90F61" w:rsidRDefault="00774181" w:rsidP="00AE5158">
      <w:pPr>
        <w:spacing w:line="360" w:lineRule="auto"/>
        <w:rPr>
          <w:rFonts w:cs="Arial"/>
          <w:b/>
          <w:sz w:val="28"/>
          <w:szCs w:val="28"/>
        </w:rPr>
      </w:pPr>
    </w:p>
    <w:p w:rsidR="00774181" w:rsidRDefault="00774181" w:rsidP="00774181">
      <w:pPr>
        <w:spacing w:line="360" w:lineRule="auto"/>
        <w:rPr>
          <w:rFonts w:cs="Arial"/>
          <w:b/>
          <w:sz w:val="28"/>
          <w:szCs w:val="28"/>
        </w:rPr>
      </w:pPr>
      <w:r>
        <w:rPr>
          <w:rFonts w:cs="Arial"/>
          <w:b/>
          <w:sz w:val="28"/>
          <w:szCs w:val="28"/>
        </w:rPr>
        <w:t>Iniciativa que presenta la diputada María Eugenia Cázares</w:t>
      </w:r>
      <w:r w:rsidRPr="0088454B">
        <w:rPr>
          <w:rFonts w:cs="Arial"/>
          <w:b/>
          <w:sz w:val="28"/>
          <w:szCs w:val="28"/>
        </w:rPr>
        <w:t xml:space="preserve">, </w:t>
      </w:r>
      <w:r w:rsidRPr="00C90F61">
        <w:rPr>
          <w:rFonts w:cs="Arial"/>
          <w:b/>
          <w:sz w:val="28"/>
          <w:szCs w:val="28"/>
        </w:rPr>
        <w:t>conjuntamente con los diputados del Grupo Parlamentario “ Del Partido Acción Nacional”; en ejercicio de la facultad legislativa que nos co</w:t>
      </w:r>
      <w:r w:rsidR="000017AF">
        <w:rPr>
          <w:rFonts w:cs="Arial"/>
          <w:b/>
          <w:sz w:val="28"/>
          <w:szCs w:val="28"/>
        </w:rPr>
        <w:t>ncede el artículo 59 Fracción I y</w:t>
      </w:r>
      <w:r w:rsidRPr="00C90F61">
        <w:rPr>
          <w:rFonts w:cs="Arial"/>
          <w:b/>
          <w:sz w:val="28"/>
          <w:szCs w:val="28"/>
        </w:rPr>
        <w:t xml:space="preserve"> 67 Fracción I de la Constitución Política del</w:t>
      </w:r>
      <w:r w:rsidR="00674F20">
        <w:rPr>
          <w:rFonts w:cs="Arial"/>
          <w:b/>
          <w:sz w:val="28"/>
          <w:szCs w:val="28"/>
        </w:rPr>
        <w:t xml:space="preserve"> Estado de Coahuila de Zaragoza;</w:t>
      </w:r>
      <w:r w:rsidRPr="00C90F61">
        <w:rPr>
          <w:rFonts w:cs="Arial"/>
          <w:b/>
          <w:sz w:val="28"/>
          <w:szCs w:val="28"/>
        </w:rPr>
        <w:t xml:space="preserve"> y co</w:t>
      </w:r>
      <w:r w:rsidR="00674F20">
        <w:rPr>
          <w:rFonts w:cs="Arial"/>
          <w:b/>
          <w:sz w:val="28"/>
          <w:szCs w:val="28"/>
        </w:rPr>
        <w:t>n fundamento en los artículos 21 Fracción V Y 152 Fracción I</w:t>
      </w:r>
      <w:r w:rsidRPr="00C90F61">
        <w:rPr>
          <w:rFonts w:cs="Arial"/>
          <w:b/>
          <w:sz w:val="28"/>
          <w:szCs w:val="28"/>
        </w:rPr>
        <w:t xml:space="preserve">  de la Ley Orgánica del Congreso Local, presentamos  INICIATIVA CON PROYECTO DE DECRETO  por la que </w:t>
      </w:r>
      <w:bookmarkStart w:id="1" w:name="_Hlk510431668"/>
      <w:r>
        <w:rPr>
          <w:rFonts w:cs="Arial"/>
          <w:b/>
          <w:sz w:val="28"/>
          <w:szCs w:val="28"/>
        </w:rPr>
        <w:t xml:space="preserve">se  modifica el contenido del </w:t>
      </w:r>
      <w:r w:rsidR="009D659D">
        <w:rPr>
          <w:rFonts w:cs="Arial"/>
          <w:b/>
          <w:sz w:val="28"/>
          <w:szCs w:val="28"/>
        </w:rPr>
        <w:t xml:space="preserve"> </w:t>
      </w:r>
      <w:r w:rsidR="009655E0">
        <w:rPr>
          <w:rFonts w:cs="Arial"/>
          <w:b/>
          <w:sz w:val="28"/>
          <w:szCs w:val="28"/>
        </w:rPr>
        <w:t xml:space="preserve">artículo 188 del </w:t>
      </w:r>
      <w:r w:rsidR="009D659D">
        <w:rPr>
          <w:rFonts w:cs="Arial"/>
          <w:b/>
          <w:sz w:val="28"/>
          <w:szCs w:val="28"/>
        </w:rPr>
        <w:t>Código Penal de Coahuila</w:t>
      </w:r>
      <w:r w:rsidR="006774B3">
        <w:rPr>
          <w:rFonts w:cs="Arial"/>
          <w:b/>
          <w:sz w:val="28"/>
          <w:szCs w:val="28"/>
        </w:rPr>
        <w:t xml:space="preserve"> de Zaragoza</w:t>
      </w:r>
      <w:r>
        <w:rPr>
          <w:rFonts w:cs="Arial"/>
          <w:b/>
          <w:sz w:val="28"/>
          <w:szCs w:val="28"/>
        </w:rPr>
        <w:t>, en base a la siguiente:</w:t>
      </w:r>
    </w:p>
    <w:p w:rsidR="009D659D" w:rsidRPr="00C90F61" w:rsidRDefault="009D659D" w:rsidP="00774181">
      <w:pPr>
        <w:spacing w:line="360" w:lineRule="auto"/>
        <w:rPr>
          <w:rFonts w:cs="Arial"/>
          <w:b/>
          <w:sz w:val="28"/>
          <w:szCs w:val="28"/>
        </w:rPr>
      </w:pPr>
    </w:p>
    <w:bookmarkEnd w:id="1"/>
    <w:p w:rsidR="00774181" w:rsidRPr="009655E0" w:rsidRDefault="00774181" w:rsidP="00774181">
      <w:pPr>
        <w:spacing w:line="360" w:lineRule="auto"/>
        <w:jc w:val="center"/>
        <w:rPr>
          <w:rFonts w:cs="Arial"/>
          <w:b/>
          <w:sz w:val="28"/>
          <w:szCs w:val="28"/>
        </w:rPr>
      </w:pPr>
      <w:r w:rsidRPr="009655E0">
        <w:rPr>
          <w:rFonts w:cs="Arial"/>
          <w:b/>
          <w:sz w:val="28"/>
          <w:szCs w:val="28"/>
        </w:rPr>
        <w:t>Exposición de motivos</w:t>
      </w:r>
    </w:p>
    <w:p w:rsidR="009655E0" w:rsidRPr="00C90F61" w:rsidRDefault="009655E0" w:rsidP="00774181">
      <w:pPr>
        <w:spacing w:line="360" w:lineRule="auto"/>
        <w:jc w:val="center"/>
        <w:rPr>
          <w:rFonts w:cs="Arial"/>
          <w:sz w:val="28"/>
          <w:szCs w:val="28"/>
        </w:rPr>
      </w:pPr>
    </w:p>
    <w:p w:rsidR="00774181" w:rsidRDefault="009D659D" w:rsidP="00774181">
      <w:pPr>
        <w:spacing w:line="360" w:lineRule="auto"/>
        <w:rPr>
          <w:rFonts w:cs="Arial"/>
          <w:sz w:val="28"/>
          <w:szCs w:val="28"/>
        </w:rPr>
      </w:pPr>
      <w:r>
        <w:rPr>
          <w:rFonts w:cs="Arial"/>
          <w:sz w:val="28"/>
          <w:szCs w:val="28"/>
        </w:rPr>
        <w:t xml:space="preserve">En el año 2012, la Suprema Corte de </w:t>
      </w:r>
      <w:r w:rsidR="006774B3">
        <w:rPr>
          <w:rFonts w:cs="Arial"/>
          <w:sz w:val="28"/>
          <w:szCs w:val="28"/>
        </w:rPr>
        <w:t>Justicia de la Nación</w:t>
      </w:r>
      <w:r w:rsidR="009655E0">
        <w:rPr>
          <w:rFonts w:cs="Arial"/>
          <w:sz w:val="28"/>
          <w:szCs w:val="28"/>
        </w:rPr>
        <w:t xml:space="preserve"> emitió los siguientes criterios</w:t>
      </w:r>
      <w:r>
        <w:rPr>
          <w:rFonts w:cs="Arial"/>
          <w:sz w:val="28"/>
          <w:szCs w:val="28"/>
        </w:rPr>
        <w:t xml:space="preserve"> en relación al feminicidio:</w:t>
      </w:r>
    </w:p>
    <w:p w:rsidR="009655E0" w:rsidRDefault="009655E0" w:rsidP="00774181">
      <w:pPr>
        <w:spacing w:line="360" w:lineRule="auto"/>
        <w:rPr>
          <w:rFonts w:cs="Arial"/>
          <w:sz w:val="28"/>
          <w:szCs w:val="28"/>
        </w:rPr>
      </w:pPr>
    </w:p>
    <w:p w:rsidR="009D659D" w:rsidRDefault="009D659D" w:rsidP="009D659D">
      <w:pPr>
        <w:spacing w:line="360" w:lineRule="auto"/>
        <w:rPr>
          <w:rFonts w:cs="Arial"/>
          <w:sz w:val="28"/>
          <w:szCs w:val="28"/>
        </w:rPr>
      </w:pPr>
      <w:r>
        <w:rPr>
          <w:rFonts w:cs="Arial"/>
          <w:sz w:val="28"/>
          <w:szCs w:val="28"/>
        </w:rPr>
        <w:t xml:space="preserve">Décima Época; Registro: 2002306; Instancia: </w:t>
      </w:r>
      <w:r w:rsidRPr="009D659D">
        <w:rPr>
          <w:rFonts w:cs="Arial"/>
          <w:sz w:val="28"/>
          <w:szCs w:val="28"/>
        </w:rPr>
        <w:t>Tribunales Colegiados de Circuito</w:t>
      </w:r>
      <w:r>
        <w:rPr>
          <w:rFonts w:cs="Arial"/>
          <w:sz w:val="28"/>
          <w:szCs w:val="28"/>
        </w:rPr>
        <w:t>.</w:t>
      </w:r>
    </w:p>
    <w:p w:rsidR="009D659D" w:rsidRPr="009D659D" w:rsidRDefault="009D659D" w:rsidP="009D659D">
      <w:pPr>
        <w:spacing w:line="360" w:lineRule="auto"/>
        <w:rPr>
          <w:rFonts w:cs="Arial"/>
          <w:sz w:val="28"/>
          <w:szCs w:val="28"/>
        </w:rPr>
      </w:pPr>
      <w:r w:rsidRPr="009D659D">
        <w:rPr>
          <w:rFonts w:cs="Arial"/>
          <w:sz w:val="28"/>
          <w:szCs w:val="28"/>
        </w:rPr>
        <w:t>Tesis Aislada</w:t>
      </w:r>
      <w:r>
        <w:rPr>
          <w:rFonts w:cs="Arial"/>
          <w:sz w:val="28"/>
          <w:szCs w:val="28"/>
        </w:rPr>
        <w:t xml:space="preserve">: </w:t>
      </w:r>
      <w:r w:rsidRPr="009D659D">
        <w:rPr>
          <w:rFonts w:eastAsia="Arial" w:cs="Arial"/>
          <w:b/>
          <w:sz w:val="28"/>
          <w:szCs w:val="28"/>
        </w:rPr>
        <w:t>I.5o.P.9 P (10a.)</w:t>
      </w:r>
    </w:p>
    <w:p w:rsidR="009D659D" w:rsidRPr="009D659D" w:rsidRDefault="009D659D" w:rsidP="009D659D">
      <w:pPr>
        <w:spacing w:line="360" w:lineRule="auto"/>
        <w:rPr>
          <w:rFonts w:cs="Arial"/>
          <w:sz w:val="28"/>
          <w:szCs w:val="28"/>
        </w:rPr>
      </w:pPr>
      <w:r>
        <w:rPr>
          <w:rFonts w:cs="Arial"/>
          <w:sz w:val="28"/>
          <w:szCs w:val="28"/>
        </w:rPr>
        <w:t xml:space="preserve">Fuente: </w:t>
      </w:r>
      <w:r w:rsidRPr="009D659D">
        <w:rPr>
          <w:rFonts w:cs="Arial"/>
          <w:sz w:val="28"/>
          <w:szCs w:val="28"/>
        </w:rPr>
        <w:t>Semanario Judicial de la Federación y su Gaceta, Libro</w:t>
      </w:r>
      <w:r>
        <w:rPr>
          <w:rFonts w:cs="Arial"/>
          <w:sz w:val="28"/>
          <w:szCs w:val="28"/>
        </w:rPr>
        <w:t xml:space="preserve"> XV, Diciembre de 2012, Tomo 2, </w:t>
      </w:r>
      <w:r w:rsidRPr="009D659D">
        <w:rPr>
          <w:rFonts w:cs="Arial"/>
          <w:sz w:val="28"/>
          <w:szCs w:val="28"/>
        </w:rPr>
        <w:t>Materia(s): Penal</w:t>
      </w:r>
    </w:p>
    <w:p w:rsidR="009D659D" w:rsidRPr="009D659D" w:rsidRDefault="009D659D" w:rsidP="009D659D">
      <w:pPr>
        <w:spacing w:line="360" w:lineRule="auto"/>
        <w:rPr>
          <w:rFonts w:cs="Arial"/>
          <w:sz w:val="28"/>
          <w:szCs w:val="28"/>
        </w:rPr>
      </w:pP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p>
    <w:p w:rsidR="009D659D" w:rsidRPr="009D659D" w:rsidRDefault="009D659D" w:rsidP="009D659D">
      <w:pPr>
        <w:spacing w:line="360" w:lineRule="auto"/>
        <w:rPr>
          <w:rFonts w:cs="Arial"/>
          <w:sz w:val="28"/>
          <w:szCs w:val="28"/>
        </w:rPr>
      </w:pP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p>
    <w:p w:rsidR="009D659D" w:rsidRPr="009D659D" w:rsidRDefault="009D659D" w:rsidP="009D659D">
      <w:pPr>
        <w:spacing w:line="360" w:lineRule="auto"/>
        <w:rPr>
          <w:rFonts w:cs="Arial"/>
          <w:sz w:val="28"/>
          <w:szCs w:val="28"/>
        </w:rPr>
      </w:pPr>
      <w:r w:rsidRPr="009D659D">
        <w:rPr>
          <w:rFonts w:cs="Arial"/>
          <w:sz w:val="28"/>
          <w:szCs w:val="28"/>
        </w:rPr>
        <w:lastRenderedPageBreak/>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p>
    <w:p w:rsidR="009D659D" w:rsidRPr="009D659D" w:rsidRDefault="009D659D" w:rsidP="009D659D">
      <w:pPr>
        <w:spacing w:line="360" w:lineRule="auto"/>
        <w:rPr>
          <w:rFonts w:cs="Arial"/>
          <w:sz w:val="28"/>
          <w:szCs w:val="28"/>
        </w:rPr>
      </w:pPr>
      <w:r w:rsidRPr="009D659D">
        <w:rPr>
          <w:rFonts w:cs="Arial"/>
          <w:sz w:val="28"/>
          <w:szCs w:val="28"/>
        </w:rPr>
        <w:tab/>
      </w:r>
      <w:r w:rsidRPr="009D659D">
        <w:rPr>
          <w:rFonts w:cs="Arial"/>
          <w:sz w:val="28"/>
          <w:szCs w:val="28"/>
        </w:rPr>
        <w:tab/>
      </w:r>
      <w:r>
        <w:rPr>
          <w:rFonts w:cs="Arial"/>
          <w:sz w:val="28"/>
          <w:szCs w:val="28"/>
        </w:rPr>
        <w:t xml:space="preserve"> </w:t>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p>
    <w:p w:rsidR="009D659D" w:rsidRPr="009D659D" w:rsidRDefault="009D659D" w:rsidP="009D659D">
      <w:pPr>
        <w:spacing w:line="360" w:lineRule="auto"/>
        <w:rPr>
          <w:rFonts w:cs="Arial"/>
          <w:sz w:val="28"/>
          <w:szCs w:val="28"/>
        </w:rPr>
      </w:pPr>
      <w:r>
        <w:rPr>
          <w:rFonts w:cs="Arial"/>
          <w:sz w:val="28"/>
          <w:szCs w:val="28"/>
        </w:rPr>
        <w:tab/>
      </w:r>
      <w:r>
        <w:rPr>
          <w:rFonts w:cs="Arial"/>
          <w:sz w:val="28"/>
          <w:szCs w:val="28"/>
        </w:rPr>
        <w:tab/>
      </w:r>
      <w:r>
        <w:rPr>
          <w:rFonts w:cs="Arial"/>
          <w:sz w:val="28"/>
          <w:szCs w:val="28"/>
        </w:rPr>
        <w:tab/>
      </w:r>
      <w:r>
        <w:rPr>
          <w:rFonts w:cs="Arial"/>
          <w:sz w:val="28"/>
          <w:szCs w:val="28"/>
        </w:rPr>
        <w:tab/>
        <w:t xml:space="preserve"> </w:t>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p>
    <w:p w:rsidR="009D659D" w:rsidRPr="009D659D" w:rsidRDefault="009D659D" w:rsidP="009D659D">
      <w:pPr>
        <w:spacing w:line="360" w:lineRule="auto"/>
        <w:rPr>
          <w:rFonts w:cs="Arial"/>
          <w:sz w:val="28"/>
          <w:szCs w:val="28"/>
        </w:rPr>
      </w:pP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p>
    <w:p w:rsidR="009D659D" w:rsidRPr="009D659D" w:rsidRDefault="009D659D" w:rsidP="009D659D">
      <w:pPr>
        <w:spacing w:line="360" w:lineRule="auto"/>
        <w:rPr>
          <w:rFonts w:cs="Arial"/>
          <w:sz w:val="28"/>
          <w:szCs w:val="28"/>
        </w:rPr>
      </w:pPr>
      <w:r w:rsidRPr="009D659D">
        <w:rPr>
          <w:rFonts w:cs="Arial"/>
          <w:sz w:val="28"/>
          <w:szCs w:val="28"/>
        </w:rPr>
        <w:t>FEMINICIDIO. AL TRATARSE DE UN TIPO ESPECIAL, NO PUEDE SER REVESTIDO CON LAS CALIFICATIVAS DEL TIPO BÁSICO DE HOMICIDIO (LEGISLACI</w:t>
      </w:r>
      <w:r>
        <w:rPr>
          <w:rFonts w:cs="Arial"/>
          <w:sz w:val="28"/>
          <w:szCs w:val="28"/>
        </w:rPr>
        <w:t>ÓN PENAL DEL DISTRITO FEDERAL).</w:t>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p>
    <w:p w:rsidR="009D659D" w:rsidRPr="009D659D" w:rsidRDefault="009D659D" w:rsidP="009D659D">
      <w:pPr>
        <w:spacing w:line="360" w:lineRule="auto"/>
        <w:rPr>
          <w:rFonts w:cs="Arial"/>
          <w:sz w:val="28"/>
          <w:szCs w:val="28"/>
        </w:rPr>
      </w:pPr>
      <w:r w:rsidRPr="009D659D">
        <w:rPr>
          <w:rFonts w:cs="Arial"/>
          <w:sz w:val="28"/>
          <w:szCs w:val="28"/>
        </w:rPr>
        <w:t>Derivado de la interpretación sistemática del Título Primero (Delitos contra la vida, la integridad corporal, la dignidad y el acceso a una vida libre de violencia), Capítulos I (Homicidio), III (Reglas comunes para los delitos de Homicidio y Lesiones) y VI (Feminicidio), del Código Penal para el Distrito Federal, se obtiene que las circunstancias agravantes contenidas en el capítulo III, son aplicables exclusivamente a tales ilícitos, por tanto, excluye su actualización con respecto al tipo especial de feminicidio, previsto y sancionado en el artículo 148 Bis, in supra; además, al clasificarse doctrinariamente, atendiendo a su estructura o conformación típica como tipo especial -pues guarda autonomía con respecto del tipo básico del que deriva, es decir, el homicidio, ya que si bien participa de algunos de sus elementos esenciales (</w:t>
      </w:r>
      <w:proofErr w:type="spellStart"/>
      <w:r w:rsidRPr="009D659D">
        <w:rPr>
          <w:rFonts w:cs="Arial"/>
          <w:sz w:val="28"/>
          <w:szCs w:val="28"/>
        </w:rPr>
        <w:t>vgr</w:t>
      </w:r>
      <w:proofErr w:type="spellEnd"/>
      <w:r w:rsidRPr="009D659D">
        <w:rPr>
          <w:rFonts w:cs="Arial"/>
          <w:sz w:val="28"/>
          <w:szCs w:val="28"/>
        </w:rPr>
        <w:t>. privar de la vida a una persona), por otro lado, añade otros (ej. que esa conducta sea cometida en contra de una mujer por razones de género)-, lo convierte en figura autónoma con estructura jurídica unitaria, contenido y ámbito de aplicación propios y marco de punibilidad autónomo.</w:t>
      </w:r>
    </w:p>
    <w:p w:rsidR="009D659D" w:rsidRPr="009D659D" w:rsidRDefault="009D659D" w:rsidP="009D659D">
      <w:pPr>
        <w:spacing w:line="360" w:lineRule="auto"/>
        <w:rPr>
          <w:rFonts w:cs="Arial"/>
          <w:sz w:val="28"/>
          <w:szCs w:val="28"/>
        </w:rPr>
      </w:pPr>
    </w:p>
    <w:p w:rsidR="009D659D" w:rsidRPr="009D659D" w:rsidRDefault="009D659D" w:rsidP="009D659D">
      <w:pPr>
        <w:spacing w:line="360" w:lineRule="auto"/>
        <w:rPr>
          <w:rFonts w:cs="Arial"/>
          <w:sz w:val="28"/>
          <w:szCs w:val="28"/>
        </w:rPr>
      </w:pPr>
      <w:r>
        <w:rPr>
          <w:rFonts w:cs="Arial"/>
          <w:sz w:val="28"/>
          <w:szCs w:val="28"/>
        </w:rPr>
        <w:t xml:space="preserve"> </w:t>
      </w:r>
    </w:p>
    <w:p w:rsidR="009D659D" w:rsidRPr="009D659D" w:rsidRDefault="009D659D" w:rsidP="009D659D">
      <w:pPr>
        <w:spacing w:line="360" w:lineRule="auto"/>
        <w:rPr>
          <w:rFonts w:cs="Arial"/>
          <w:sz w:val="28"/>
          <w:szCs w:val="28"/>
        </w:rPr>
      </w:pPr>
      <w:r>
        <w:rPr>
          <w:rFonts w:cs="Arial"/>
          <w:sz w:val="28"/>
          <w:szCs w:val="28"/>
        </w:rPr>
        <w:lastRenderedPageBreak/>
        <w:t xml:space="preserve">Décima Época; Instancia: </w:t>
      </w:r>
      <w:r w:rsidRPr="009D659D">
        <w:rPr>
          <w:rFonts w:cs="Arial"/>
          <w:sz w:val="28"/>
          <w:szCs w:val="28"/>
        </w:rPr>
        <w:t>Tribunales Colegiados de Circuito</w:t>
      </w:r>
      <w:r>
        <w:rPr>
          <w:rFonts w:cs="Arial"/>
          <w:sz w:val="28"/>
          <w:szCs w:val="28"/>
        </w:rPr>
        <w:t>.</w:t>
      </w:r>
    </w:p>
    <w:p w:rsidR="009D659D" w:rsidRPr="009D659D" w:rsidRDefault="009D659D" w:rsidP="009D659D">
      <w:pPr>
        <w:spacing w:line="360" w:lineRule="auto"/>
        <w:rPr>
          <w:rFonts w:cs="Arial"/>
          <w:sz w:val="28"/>
          <w:szCs w:val="28"/>
        </w:rPr>
      </w:pPr>
      <w:r>
        <w:rPr>
          <w:rFonts w:cs="Arial"/>
          <w:sz w:val="28"/>
          <w:szCs w:val="28"/>
        </w:rPr>
        <w:t xml:space="preserve">Fuente: </w:t>
      </w:r>
      <w:r w:rsidRPr="009D659D">
        <w:rPr>
          <w:rFonts w:cs="Arial"/>
          <w:sz w:val="28"/>
          <w:szCs w:val="28"/>
        </w:rPr>
        <w:t>Semanario Judicial de la Federación y su Gaceta, Libr</w:t>
      </w:r>
      <w:r w:rsidR="001E6BAF">
        <w:rPr>
          <w:rFonts w:cs="Arial"/>
          <w:sz w:val="28"/>
          <w:szCs w:val="28"/>
        </w:rPr>
        <w:t xml:space="preserve">o XV, Diciembre de 2012, Tomo 2. Tesis: </w:t>
      </w:r>
      <w:r>
        <w:rPr>
          <w:rFonts w:cs="Arial"/>
          <w:sz w:val="28"/>
          <w:szCs w:val="28"/>
        </w:rPr>
        <w:t xml:space="preserve">I.5o.P.10 P (10a.) Página: </w:t>
      </w:r>
      <w:r w:rsidR="001E6BAF">
        <w:rPr>
          <w:rFonts w:cs="Arial"/>
          <w:sz w:val="28"/>
          <w:szCs w:val="28"/>
        </w:rPr>
        <w:t>1336</w:t>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p>
    <w:p w:rsidR="009D659D" w:rsidRPr="009D659D" w:rsidRDefault="009D659D" w:rsidP="009D659D">
      <w:pPr>
        <w:spacing w:line="360" w:lineRule="auto"/>
        <w:rPr>
          <w:rFonts w:cs="Arial"/>
          <w:sz w:val="28"/>
          <w:szCs w:val="28"/>
        </w:rPr>
      </w:pPr>
      <w:r w:rsidRPr="009D659D">
        <w:rPr>
          <w:rFonts w:cs="Arial"/>
          <w:sz w:val="28"/>
          <w:szCs w:val="28"/>
        </w:rPr>
        <w:t>HOMICIDIO Y FEMINICIDIO. SUS SIMILITUDES Y DIFERENCIAS (LEGISLACIÓN PENAL DEL DISTRITO FEDERAL).</w:t>
      </w:r>
    </w:p>
    <w:p w:rsidR="009D659D" w:rsidRPr="009D659D" w:rsidRDefault="009D659D" w:rsidP="009D659D">
      <w:pPr>
        <w:spacing w:line="360" w:lineRule="auto"/>
        <w:rPr>
          <w:rFonts w:cs="Arial"/>
          <w:sz w:val="28"/>
          <w:szCs w:val="28"/>
        </w:rPr>
      </w:pP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p>
    <w:p w:rsidR="009D659D" w:rsidRDefault="009D659D" w:rsidP="009D659D">
      <w:pPr>
        <w:spacing w:line="360" w:lineRule="auto"/>
        <w:rPr>
          <w:rFonts w:cs="Arial"/>
          <w:sz w:val="28"/>
          <w:szCs w:val="28"/>
        </w:rPr>
      </w:pPr>
      <w:r w:rsidRPr="009D659D">
        <w:rPr>
          <w:rFonts w:cs="Arial"/>
          <w:sz w:val="28"/>
          <w:szCs w:val="28"/>
        </w:rPr>
        <w:t>Los delitos en cita, previstos y sancionados, respectivamente, en los artículos 123 y 148 Bis del Código Penal para el Distrito Federal, si bien, acorde a su título primero, donde se contienen, corresponden a aquellos ilícitos contra la vida y conforme a su estructura típica guardan ciertas similitudes, pues el segundo, al tratarse de un tipo especial y derivar del primero, participa en algunos de sus elementos conformadores (</w:t>
      </w:r>
      <w:proofErr w:type="spellStart"/>
      <w:r w:rsidRPr="009D659D">
        <w:rPr>
          <w:rFonts w:cs="Arial"/>
          <w:sz w:val="28"/>
          <w:szCs w:val="28"/>
        </w:rPr>
        <w:t>vgr</w:t>
      </w:r>
      <w:proofErr w:type="spellEnd"/>
      <w:r w:rsidRPr="009D659D">
        <w:rPr>
          <w:rFonts w:cs="Arial"/>
          <w:sz w:val="28"/>
          <w:szCs w:val="28"/>
        </w:rPr>
        <w:t xml:space="preserve">. privar de la vida), no menos verdad es que dada esa naturaleza (especial), se incluyen otros componentes que lo distinguen (por ejemplo, en cuanto a la calidad específica del sujeto pasivo, pues requiere que sea mujer; además que esa privación de la vida debe obedecer a razones de género; a saber, cuando la víctima presente signos de violencia sexual de cualquier tipo; se le hayan infligido lesiones infamantes, degradantes o mutilaciones, previas o posteriores a la privación de la vida, etcétera) y por tanto, lo revisten de autonomía con una estructura jurídica unitaria, contenido y ámbito de aplicación propios y marco de punibilidad autónomo; diferencia entre ambos tipos que queda contrastada aún más atendiendo a la ratio </w:t>
      </w:r>
      <w:proofErr w:type="spellStart"/>
      <w:r w:rsidRPr="009D659D">
        <w:rPr>
          <w:rFonts w:cs="Arial"/>
          <w:sz w:val="28"/>
          <w:szCs w:val="28"/>
        </w:rPr>
        <w:t>legis</w:t>
      </w:r>
      <w:proofErr w:type="spellEnd"/>
      <w:r w:rsidRPr="009D659D">
        <w:rPr>
          <w:rFonts w:cs="Arial"/>
          <w:sz w:val="28"/>
          <w:szCs w:val="28"/>
        </w:rPr>
        <w:t xml:space="preserve"> de la precitada figura especial, en virtud a que su creación deriva de la respuesta del Estado Mexicano -en el caso particular, de la legislación local-, al clamor y exigencia internacional de implementar mecanismos para prevenir, </w:t>
      </w:r>
      <w:r w:rsidRPr="009D659D">
        <w:rPr>
          <w:rFonts w:cs="Arial"/>
          <w:sz w:val="28"/>
          <w:szCs w:val="28"/>
        </w:rPr>
        <w:lastRenderedPageBreak/>
        <w:t>combatir y sancionar el creciente fenómeno de "homicidios" en contra de mujeres, por motivo de género.</w:t>
      </w:r>
    </w:p>
    <w:p w:rsidR="009655E0" w:rsidRDefault="009655E0" w:rsidP="009D659D">
      <w:pPr>
        <w:spacing w:line="360" w:lineRule="auto"/>
        <w:rPr>
          <w:rFonts w:cs="Arial"/>
          <w:sz w:val="28"/>
          <w:szCs w:val="28"/>
        </w:rPr>
      </w:pPr>
    </w:p>
    <w:p w:rsidR="00A8300D" w:rsidRPr="00A8300D" w:rsidRDefault="009655E0" w:rsidP="00A8300D">
      <w:pPr>
        <w:spacing w:line="360" w:lineRule="auto"/>
        <w:rPr>
          <w:rFonts w:cs="Arial"/>
          <w:sz w:val="28"/>
          <w:szCs w:val="28"/>
        </w:rPr>
      </w:pPr>
      <w:r>
        <w:rPr>
          <w:rFonts w:cs="Arial"/>
          <w:sz w:val="28"/>
          <w:szCs w:val="28"/>
        </w:rPr>
        <w:t>Décima Época</w:t>
      </w:r>
      <w:r>
        <w:rPr>
          <w:rFonts w:cs="Arial"/>
          <w:sz w:val="28"/>
          <w:szCs w:val="28"/>
        </w:rPr>
        <w:tab/>
      </w:r>
      <w:r>
        <w:rPr>
          <w:rFonts w:cs="Arial"/>
          <w:sz w:val="28"/>
          <w:szCs w:val="28"/>
        </w:rPr>
        <w:tab/>
      </w:r>
      <w:r>
        <w:rPr>
          <w:rFonts w:cs="Arial"/>
          <w:sz w:val="28"/>
          <w:szCs w:val="28"/>
        </w:rPr>
        <w:tab/>
      </w:r>
      <w:r w:rsidR="00A8300D" w:rsidRPr="00A8300D">
        <w:rPr>
          <w:rFonts w:cs="Arial"/>
          <w:sz w:val="28"/>
          <w:szCs w:val="28"/>
        </w:rPr>
        <w:tab/>
      </w:r>
      <w:r w:rsidR="00A8300D" w:rsidRPr="00A8300D">
        <w:rPr>
          <w:rFonts w:cs="Arial"/>
          <w:sz w:val="28"/>
          <w:szCs w:val="28"/>
        </w:rPr>
        <w:tab/>
      </w:r>
      <w:r w:rsidR="00A8300D" w:rsidRPr="00A8300D">
        <w:rPr>
          <w:rFonts w:cs="Arial"/>
          <w:sz w:val="28"/>
          <w:szCs w:val="28"/>
        </w:rPr>
        <w:tab/>
      </w:r>
      <w:r w:rsidR="00A8300D" w:rsidRPr="00A8300D">
        <w:rPr>
          <w:rFonts w:cs="Arial"/>
          <w:sz w:val="28"/>
          <w:szCs w:val="28"/>
        </w:rPr>
        <w:tab/>
      </w:r>
      <w:r w:rsidR="00A8300D" w:rsidRPr="00A8300D">
        <w:rPr>
          <w:rFonts w:cs="Arial"/>
          <w:sz w:val="28"/>
          <w:szCs w:val="28"/>
        </w:rPr>
        <w:tab/>
      </w:r>
      <w:r w:rsidR="00A8300D" w:rsidRPr="00A8300D">
        <w:rPr>
          <w:rFonts w:cs="Arial"/>
          <w:sz w:val="28"/>
          <w:szCs w:val="28"/>
        </w:rPr>
        <w:tab/>
      </w:r>
      <w:r w:rsidR="00A8300D" w:rsidRPr="00A8300D">
        <w:rPr>
          <w:rFonts w:cs="Arial"/>
          <w:sz w:val="28"/>
          <w:szCs w:val="28"/>
        </w:rPr>
        <w:tab/>
      </w:r>
    </w:p>
    <w:p w:rsidR="00A8300D" w:rsidRPr="00A8300D" w:rsidRDefault="00A8300D" w:rsidP="00A8300D">
      <w:pPr>
        <w:spacing w:line="360" w:lineRule="auto"/>
        <w:rPr>
          <w:rFonts w:cs="Arial"/>
          <w:sz w:val="28"/>
          <w:szCs w:val="28"/>
        </w:rPr>
      </w:pPr>
      <w:r>
        <w:rPr>
          <w:rFonts w:cs="Arial"/>
          <w:sz w:val="28"/>
          <w:szCs w:val="28"/>
        </w:rPr>
        <w:t xml:space="preserve">Instancia: </w:t>
      </w:r>
      <w:r w:rsidRPr="00A8300D">
        <w:rPr>
          <w:rFonts w:cs="Arial"/>
          <w:sz w:val="28"/>
          <w:szCs w:val="28"/>
        </w:rPr>
        <w:t>Tribunales Colegiados de Circuito</w:t>
      </w:r>
    </w:p>
    <w:p w:rsidR="00A8300D" w:rsidRPr="00A8300D" w:rsidRDefault="00A8300D" w:rsidP="00A8300D">
      <w:pPr>
        <w:spacing w:line="360" w:lineRule="auto"/>
        <w:rPr>
          <w:rFonts w:cs="Arial"/>
          <w:sz w:val="28"/>
          <w:szCs w:val="28"/>
        </w:rPr>
      </w:pPr>
      <w:r>
        <w:rPr>
          <w:rFonts w:cs="Arial"/>
          <w:sz w:val="28"/>
          <w:szCs w:val="28"/>
        </w:rPr>
        <w:t xml:space="preserve">Fuente: </w:t>
      </w:r>
      <w:r w:rsidRPr="00A8300D">
        <w:rPr>
          <w:rFonts w:cs="Arial"/>
          <w:sz w:val="28"/>
          <w:szCs w:val="28"/>
        </w:rPr>
        <w:t>Semanario Judicial de la Federación y su Gaceta, Libro XV, Diciembre de 2012, Tomo 2</w:t>
      </w:r>
    </w:p>
    <w:p w:rsidR="00A8300D" w:rsidRPr="00AE5158" w:rsidRDefault="00A8300D" w:rsidP="00A8300D">
      <w:pPr>
        <w:spacing w:line="360" w:lineRule="auto"/>
        <w:rPr>
          <w:rFonts w:cs="Arial"/>
          <w:sz w:val="28"/>
          <w:szCs w:val="28"/>
          <w:lang w:val="en-US"/>
        </w:rPr>
      </w:pPr>
      <w:r w:rsidRPr="00AE5158">
        <w:rPr>
          <w:rFonts w:cs="Arial"/>
          <w:sz w:val="28"/>
          <w:szCs w:val="28"/>
          <w:lang w:val="en-US"/>
        </w:rPr>
        <w:t>Tesis: I.5o.P.8 P (10a.)</w:t>
      </w:r>
      <w:r w:rsidRPr="00AE5158">
        <w:rPr>
          <w:rFonts w:cs="Arial"/>
          <w:sz w:val="28"/>
          <w:szCs w:val="28"/>
          <w:lang w:val="en-US"/>
        </w:rPr>
        <w:tab/>
      </w:r>
      <w:r w:rsidRPr="00AE5158">
        <w:rPr>
          <w:rFonts w:cs="Arial"/>
          <w:sz w:val="28"/>
          <w:szCs w:val="28"/>
          <w:lang w:val="en-US"/>
        </w:rPr>
        <w:tab/>
      </w:r>
      <w:r w:rsidRPr="00AE5158">
        <w:rPr>
          <w:rFonts w:cs="Arial"/>
          <w:sz w:val="28"/>
          <w:szCs w:val="28"/>
          <w:lang w:val="en-US"/>
        </w:rPr>
        <w:tab/>
      </w:r>
    </w:p>
    <w:p w:rsidR="00A8300D" w:rsidRPr="00A8300D" w:rsidRDefault="00A8300D" w:rsidP="00A8300D">
      <w:pPr>
        <w:spacing w:line="360" w:lineRule="auto"/>
        <w:rPr>
          <w:rFonts w:cs="Arial"/>
          <w:sz w:val="28"/>
          <w:szCs w:val="28"/>
        </w:rPr>
      </w:pPr>
      <w:r>
        <w:rPr>
          <w:rFonts w:cs="Arial"/>
          <w:sz w:val="28"/>
          <w:szCs w:val="28"/>
        </w:rPr>
        <w:t xml:space="preserve">Página: </w:t>
      </w:r>
      <w:r w:rsidRPr="00A8300D">
        <w:rPr>
          <w:rFonts w:cs="Arial"/>
          <w:sz w:val="28"/>
          <w:szCs w:val="28"/>
        </w:rPr>
        <w:t>1333</w:t>
      </w:r>
      <w:r w:rsidRPr="00A8300D">
        <w:rPr>
          <w:rFonts w:cs="Arial"/>
          <w:sz w:val="28"/>
          <w:szCs w:val="28"/>
        </w:rPr>
        <w:tab/>
      </w:r>
    </w:p>
    <w:p w:rsidR="00A8300D" w:rsidRPr="00A8300D" w:rsidRDefault="00A8300D" w:rsidP="00A8300D">
      <w:pPr>
        <w:spacing w:line="360" w:lineRule="auto"/>
        <w:rPr>
          <w:rFonts w:cs="Arial"/>
          <w:sz w:val="28"/>
          <w:szCs w:val="28"/>
        </w:rPr>
      </w:pPr>
      <w:r w:rsidRPr="00A8300D">
        <w:rPr>
          <w:rFonts w:cs="Arial"/>
          <w:sz w:val="28"/>
          <w:szCs w:val="28"/>
        </w:rPr>
        <w:tab/>
      </w:r>
      <w:r w:rsidRPr="00A8300D">
        <w:rPr>
          <w:rFonts w:cs="Arial"/>
          <w:sz w:val="28"/>
          <w:szCs w:val="28"/>
        </w:rPr>
        <w:tab/>
      </w:r>
      <w:r w:rsidRPr="00A8300D">
        <w:rPr>
          <w:rFonts w:cs="Arial"/>
          <w:sz w:val="28"/>
          <w:szCs w:val="28"/>
        </w:rPr>
        <w:tab/>
      </w:r>
      <w:r w:rsidRPr="00A8300D">
        <w:rPr>
          <w:rFonts w:cs="Arial"/>
          <w:sz w:val="28"/>
          <w:szCs w:val="28"/>
        </w:rPr>
        <w:tab/>
      </w:r>
      <w:r w:rsidRPr="00A8300D">
        <w:rPr>
          <w:rFonts w:cs="Arial"/>
          <w:sz w:val="28"/>
          <w:szCs w:val="28"/>
        </w:rPr>
        <w:tab/>
      </w:r>
      <w:r w:rsidRPr="00A8300D">
        <w:rPr>
          <w:rFonts w:cs="Arial"/>
          <w:sz w:val="28"/>
          <w:szCs w:val="28"/>
        </w:rPr>
        <w:tab/>
      </w:r>
      <w:r w:rsidRPr="00A8300D">
        <w:rPr>
          <w:rFonts w:cs="Arial"/>
          <w:sz w:val="28"/>
          <w:szCs w:val="28"/>
        </w:rPr>
        <w:tab/>
      </w:r>
      <w:r w:rsidRPr="00A8300D">
        <w:rPr>
          <w:rFonts w:cs="Arial"/>
          <w:sz w:val="28"/>
          <w:szCs w:val="28"/>
        </w:rPr>
        <w:tab/>
      </w:r>
    </w:p>
    <w:p w:rsidR="00A8300D" w:rsidRPr="00A8300D" w:rsidRDefault="00A8300D" w:rsidP="00A8300D">
      <w:pPr>
        <w:spacing w:line="360" w:lineRule="auto"/>
        <w:rPr>
          <w:rFonts w:cs="Arial"/>
          <w:sz w:val="28"/>
          <w:szCs w:val="28"/>
        </w:rPr>
      </w:pPr>
      <w:r w:rsidRPr="00A8300D">
        <w:rPr>
          <w:rFonts w:cs="Arial"/>
          <w:sz w:val="28"/>
          <w:szCs w:val="28"/>
        </w:rPr>
        <w:t>FEMINICIDIO. LA CREACIÓN DE ESE TIPO ESPECIAL, QUE PREVÉ SANCIONES MÁS SEVERAS RESPECTO DEL DELITO DE HOMICIDIO, NO VIOLA LA GARANTÍA DE IGUALDAD JURÍDICA DEL HOMBRE Y LA MUJER CONSAGRADA EN EL ARTÍCULO 4o. CONSTITUCIONAL (LEGISLACI</w:t>
      </w:r>
      <w:r>
        <w:rPr>
          <w:rFonts w:cs="Arial"/>
          <w:sz w:val="28"/>
          <w:szCs w:val="28"/>
        </w:rPr>
        <w:t>ÓN PENAL DEL DISTRITO FEDERAL).</w:t>
      </w:r>
      <w:r w:rsidRPr="00A8300D">
        <w:rPr>
          <w:rFonts w:cs="Arial"/>
          <w:sz w:val="28"/>
          <w:szCs w:val="28"/>
        </w:rPr>
        <w:tab/>
      </w:r>
      <w:r w:rsidRPr="00A8300D">
        <w:rPr>
          <w:rFonts w:cs="Arial"/>
          <w:sz w:val="28"/>
          <w:szCs w:val="28"/>
        </w:rPr>
        <w:tab/>
      </w:r>
      <w:r w:rsidRPr="00A8300D">
        <w:rPr>
          <w:rFonts w:cs="Arial"/>
          <w:sz w:val="28"/>
          <w:szCs w:val="28"/>
        </w:rPr>
        <w:tab/>
      </w:r>
      <w:r w:rsidRPr="00A8300D">
        <w:rPr>
          <w:rFonts w:cs="Arial"/>
          <w:sz w:val="28"/>
          <w:szCs w:val="28"/>
        </w:rPr>
        <w:tab/>
      </w:r>
      <w:r w:rsidRPr="00A8300D">
        <w:rPr>
          <w:rFonts w:cs="Arial"/>
          <w:sz w:val="28"/>
          <w:szCs w:val="28"/>
        </w:rPr>
        <w:tab/>
      </w:r>
      <w:r w:rsidRPr="00A8300D">
        <w:rPr>
          <w:rFonts w:cs="Arial"/>
          <w:sz w:val="28"/>
          <w:szCs w:val="28"/>
        </w:rPr>
        <w:tab/>
      </w:r>
      <w:r w:rsidRPr="00A8300D">
        <w:rPr>
          <w:rFonts w:cs="Arial"/>
          <w:sz w:val="28"/>
          <w:szCs w:val="28"/>
        </w:rPr>
        <w:tab/>
      </w:r>
    </w:p>
    <w:p w:rsidR="00A8300D" w:rsidRPr="00A8300D" w:rsidRDefault="00A8300D" w:rsidP="00A8300D">
      <w:pPr>
        <w:spacing w:line="360" w:lineRule="auto"/>
        <w:rPr>
          <w:rFonts w:cs="Arial"/>
          <w:sz w:val="28"/>
          <w:szCs w:val="28"/>
        </w:rPr>
      </w:pPr>
      <w:r w:rsidRPr="00A8300D">
        <w:rPr>
          <w:rFonts w:cs="Arial"/>
          <w:sz w:val="28"/>
          <w:szCs w:val="28"/>
        </w:rPr>
        <w:t xml:space="preserve">La inclusión del delito de feminicidio, previsto y sancionado en el artículo 148 Bis del Código Penal para el Distrito Federal, obedece a la decisión del Estado mexicano de recoger en su legislación interna, los criterios surgidos con motivo de las resoluciones de la Corte Interamericana de Derechos Humanos que le resultan obligatorios (al haber sido parte en las sentencias respectivas, al reconocer el sometimiento a las resoluciones de ese ente, conforme a la publicación en el Diario Oficial de la Federación de veinticuatro de febrero de mil novecientos noventa y nueve), entre ellos, implementar mecanismos para prevenir, combatir y sancionar el creciente fenómeno de ‘homicidios’ en contra de mujeres por razones de género, de tal manera que </w:t>
      </w:r>
      <w:r w:rsidRPr="00A8300D">
        <w:rPr>
          <w:rFonts w:cs="Arial"/>
          <w:sz w:val="28"/>
          <w:szCs w:val="28"/>
        </w:rPr>
        <w:lastRenderedPageBreak/>
        <w:t>la creación legislativa del feminicidio cumple con los criterios de objetividad-constitucionalidad, racionalidad y proporcionalidad que, justifica el trato diferenciado y de mayor tutela de los bienes jurídicos concernientes a la vida de la mujer y su dignidad, cuando estén en peligro o sean lesionados en ciertas circunstancias, ello en contraste a lo que acontece con el delito de homicidio propiamente dicho, de ahí la necesidad y justificación de su creación, a fin de prevenir y combatir tal problemática con mayor eficacia, por ello, el feminicidio no viola el principio de igualdad jurídica del hombre y la mujer, pues dicho principio debe entenderse como la exigencia constitucional de tratar igual a los iguales y desigual a los desiguales.</w:t>
      </w:r>
    </w:p>
    <w:p w:rsidR="009D659D" w:rsidRDefault="009D659D" w:rsidP="009D659D">
      <w:pPr>
        <w:spacing w:line="360" w:lineRule="auto"/>
        <w:rPr>
          <w:rFonts w:cs="Arial"/>
          <w:sz w:val="28"/>
          <w:szCs w:val="28"/>
        </w:rPr>
      </w:pPr>
    </w:p>
    <w:p w:rsidR="001E6BAF" w:rsidRDefault="001E6BAF" w:rsidP="009D659D">
      <w:pPr>
        <w:spacing w:line="360" w:lineRule="auto"/>
        <w:rPr>
          <w:rFonts w:cs="Arial"/>
          <w:sz w:val="28"/>
          <w:szCs w:val="28"/>
        </w:rPr>
      </w:pPr>
      <w:r>
        <w:rPr>
          <w:rFonts w:cs="Arial"/>
          <w:sz w:val="28"/>
          <w:szCs w:val="28"/>
        </w:rPr>
        <w:t xml:space="preserve">Citamos criterios de aquel año (2012) y no más actuales, en este caso, por una razón: eran los primeros esbozos para definir las diferencias entre el homicidio “típico o “común” de una mujer y el feminicidio. Temática que originó en su momento una fuerte </w:t>
      </w:r>
      <w:r w:rsidR="009655E0">
        <w:rPr>
          <w:rFonts w:cs="Arial"/>
          <w:sz w:val="28"/>
          <w:szCs w:val="28"/>
        </w:rPr>
        <w:t>polémica a nivel internacional, nacional y</w:t>
      </w:r>
      <w:r>
        <w:rPr>
          <w:rFonts w:cs="Arial"/>
          <w:sz w:val="28"/>
          <w:szCs w:val="28"/>
        </w:rPr>
        <w:t xml:space="preserve"> local; problema especialmente centrado en los elementos del tipo penal en cuestión, es decir, cómo debía el legislador separar de la manera más clara y atendiendo a todos los principios rectores del derecho penal un delito del otro, sin permitir las confusiones o errores al tipificar  estas figuras y procesar a los responsables por parte del ministerio público y del juzgador.</w:t>
      </w:r>
    </w:p>
    <w:p w:rsidR="00A8300D" w:rsidRDefault="00A8300D" w:rsidP="009D659D">
      <w:pPr>
        <w:spacing w:line="360" w:lineRule="auto"/>
        <w:rPr>
          <w:rFonts w:cs="Arial"/>
          <w:sz w:val="28"/>
          <w:szCs w:val="28"/>
        </w:rPr>
      </w:pPr>
    </w:p>
    <w:p w:rsidR="001E6BAF" w:rsidRDefault="00A8300D" w:rsidP="009D659D">
      <w:pPr>
        <w:spacing w:line="360" w:lineRule="auto"/>
        <w:rPr>
          <w:rFonts w:cs="Arial"/>
          <w:sz w:val="28"/>
          <w:szCs w:val="28"/>
        </w:rPr>
      </w:pPr>
      <w:r>
        <w:rPr>
          <w:rFonts w:cs="Arial"/>
          <w:sz w:val="28"/>
          <w:szCs w:val="28"/>
        </w:rPr>
        <w:t>También se dieron conflictos relacionados con el principio de igualdad jurídica entre mujeres y hombres, al considerar algunos especialistas en derecho que se vulneraba tal extremo, al crear un delito especial par</w:t>
      </w:r>
      <w:r w:rsidR="006774B3">
        <w:rPr>
          <w:rFonts w:cs="Arial"/>
          <w:sz w:val="28"/>
          <w:szCs w:val="28"/>
        </w:rPr>
        <w:t>a las mujeres</w:t>
      </w:r>
      <w:r>
        <w:rPr>
          <w:rFonts w:cs="Arial"/>
          <w:sz w:val="28"/>
          <w:szCs w:val="28"/>
        </w:rPr>
        <w:t>, y no así para los hombres; controversia que fue resuelta por la Corte en criterios como el ya señalado (Tesis: I.5o.P.8 P (10a.).</w:t>
      </w:r>
    </w:p>
    <w:p w:rsidR="00A8300D" w:rsidRDefault="00A8300D" w:rsidP="009D659D">
      <w:pPr>
        <w:spacing w:line="360" w:lineRule="auto"/>
        <w:rPr>
          <w:rFonts w:cs="Arial"/>
          <w:sz w:val="28"/>
          <w:szCs w:val="28"/>
        </w:rPr>
      </w:pPr>
    </w:p>
    <w:p w:rsidR="00732EC1" w:rsidRDefault="00732EC1" w:rsidP="009D659D">
      <w:pPr>
        <w:spacing w:line="360" w:lineRule="auto"/>
        <w:rPr>
          <w:rFonts w:cs="Arial"/>
          <w:sz w:val="28"/>
          <w:szCs w:val="28"/>
        </w:rPr>
      </w:pPr>
      <w:r>
        <w:rPr>
          <w:rFonts w:cs="Arial"/>
          <w:sz w:val="28"/>
          <w:szCs w:val="28"/>
        </w:rPr>
        <w:t>Se debe anotar que en México los homicidios de mujeres se mantienen a la alza de acuerdo a los indicadores oficiales y a las cifras proporcionadas por organizaciones de la sociedad civil. En fecha reciente, la secretaria de gobernación, Olga Sánchez Cordero, manifestó ante los medios nacionales lo siguiente:</w:t>
      </w:r>
    </w:p>
    <w:p w:rsidR="00732EC1" w:rsidRDefault="00732EC1" w:rsidP="009D659D">
      <w:pPr>
        <w:spacing w:line="360" w:lineRule="auto"/>
        <w:rPr>
          <w:rFonts w:cs="Arial"/>
          <w:sz w:val="28"/>
          <w:szCs w:val="28"/>
        </w:rPr>
      </w:pPr>
    </w:p>
    <w:p w:rsidR="00732EC1" w:rsidRDefault="00732EC1" w:rsidP="009D659D">
      <w:pPr>
        <w:spacing w:line="360" w:lineRule="auto"/>
        <w:rPr>
          <w:rFonts w:cs="Arial"/>
          <w:sz w:val="28"/>
          <w:szCs w:val="28"/>
        </w:rPr>
      </w:pPr>
      <w:r>
        <w:rPr>
          <w:rFonts w:cs="Arial"/>
          <w:sz w:val="28"/>
          <w:szCs w:val="28"/>
        </w:rPr>
        <w:t>“</w:t>
      </w:r>
      <w:r w:rsidRPr="00732EC1">
        <w:rPr>
          <w:rFonts w:cs="Arial"/>
          <w:sz w:val="28"/>
          <w:szCs w:val="28"/>
        </w:rPr>
        <w:t>En México son asesinadas 9 mujeres y niñas todos los días, cada  160 minutos se comete un feminicidio</w:t>
      </w:r>
      <w:r>
        <w:rPr>
          <w:rFonts w:cs="Arial"/>
          <w:sz w:val="28"/>
          <w:szCs w:val="28"/>
        </w:rPr>
        <w:t>.</w:t>
      </w:r>
    </w:p>
    <w:p w:rsidR="00732EC1" w:rsidRDefault="00732EC1" w:rsidP="009D659D">
      <w:pPr>
        <w:spacing w:line="360" w:lineRule="auto"/>
        <w:rPr>
          <w:rFonts w:cs="Arial"/>
          <w:sz w:val="28"/>
          <w:szCs w:val="28"/>
        </w:rPr>
      </w:pPr>
      <w:r>
        <w:rPr>
          <w:rFonts w:cs="Arial"/>
          <w:sz w:val="28"/>
          <w:szCs w:val="28"/>
        </w:rPr>
        <w:t>…</w:t>
      </w:r>
      <w:r w:rsidRPr="00732EC1">
        <w:t xml:space="preserve"> </w:t>
      </w:r>
      <w:r w:rsidRPr="00732EC1">
        <w:rPr>
          <w:rFonts w:cs="Arial"/>
          <w:sz w:val="28"/>
          <w:szCs w:val="28"/>
        </w:rPr>
        <w:t>el 2018 alcanzó la "escalofriante" cifra de 3.580 feminicidios.</w:t>
      </w:r>
    </w:p>
    <w:p w:rsidR="00732EC1" w:rsidRDefault="00732EC1" w:rsidP="009D659D">
      <w:pPr>
        <w:spacing w:line="360" w:lineRule="auto"/>
        <w:rPr>
          <w:rFonts w:cs="Arial"/>
          <w:sz w:val="28"/>
          <w:szCs w:val="28"/>
        </w:rPr>
      </w:pPr>
      <w:r>
        <w:rPr>
          <w:rFonts w:cs="Arial"/>
          <w:sz w:val="28"/>
          <w:szCs w:val="28"/>
        </w:rPr>
        <w:t>…</w:t>
      </w:r>
      <w:r w:rsidRPr="00732EC1">
        <w:t xml:space="preserve"> </w:t>
      </w:r>
      <w:r w:rsidRPr="00732EC1">
        <w:rPr>
          <w:rFonts w:cs="Arial"/>
          <w:sz w:val="28"/>
          <w:szCs w:val="28"/>
        </w:rPr>
        <w:t>los asesinatos de niñas son los que más han aumentado.</w:t>
      </w:r>
    </w:p>
    <w:p w:rsidR="00732EC1" w:rsidRDefault="00732EC1" w:rsidP="009D659D">
      <w:pPr>
        <w:spacing w:line="360" w:lineRule="auto"/>
        <w:rPr>
          <w:rFonts w:cs="Arial"/>
          <w:b/>
          <w:sz w:val="28"/>
          <w:szCs w:val="28"/>
        </w:rPr>
      </w:pPr>
      <w:r w:rsidRPr="00732EC1">
        <w:rPr>
          <w:rFonts w:cs="Arial"/>
          <w:sz w:val="28"/>
          <w:szCs w:val="28"/>
        </w:rPr>
        <w:t>La grave crisis de derechos humanos por las que ha atravesado nuestro país ha afectado en mayor medida y fuerza a las niñas y a las mujeres pues en los últimos años tanto la violencia común como la violencia de la delincuencia organizada se ha ensañado en contra de ellas; así lo demuestra el incremento de los índices de violencia y también las 33 solicitudes de declaratoria de Alerta de Violencia de Género que han sido solicitada</w:t>
      </w:r>
      <w:r>
        <w:rPr>
          <w:rFonts w:cs="Arial"/>
          <w:sz w:val="28"/>
          <w:szCs w:val="28"/>
        </w:rPr>
        <w:t xml:space="preserve">….” </w:t>
      </w:r>
      <w:r w:rsidRPr="00732EC1">
        <w:rPr>
          <w:rFonts w:cs="Arial"/>
          <w:b/>
          <w:sz w:val="28"/>
          <w:szCs w:val="28"/>
        </w:rPr>
        <w:t>Fin de la cita textual.</w:t>
      </w:r>
    </w:p>
    <w:p w:rsidR="00665929" w:rsidRPr="00732EC1" w:rsidRDefault="00665929" w:rsidP="009D659D">
      <w:pPr>
        <w:spacing w:line="360" w:lineRule="auto"/>
        <w:rPr>
          <w:rFonts w:cs="Arial"/>
          <w:b/>
          <w:sz w:val="28"/>
          <w:szCs w:val="28"/>
        </w:rPr>
      </w:pPr>
    </w:p>
    <w:p w:rsidR="00A8300D" w:rsidRDefault="00732EC1" w:rsidP="009D659D">
      <w:pPr>
        <w:spacing w:line="360" w:lineRule="auto"/>
        <w:rPr>
          <w:rFonts w:cs="Arial"/>
          <w:sz w:val="28"/>
          <w:szCs w:val="28"/>
        </w:rPr>
      </w:pPr>
      <w:r w:rsidRPr="00732EC1">
        <w:rPr>
          <w:rFonts w:cs="Arial"/>
          <w:sz w:val="28"/>
          <w:szCs w:val="28"/>
        </w:rPr>
        <w:t>Además de las demandas sociales que piden un plan integral de acciones preventivas, de contención y correctivas para frenar los feminicid</w:t>
      </w:r>
      <w:r w:rsidR="009655E0">
        <w:rPr>
          <w:rFonts w:cs="Arial"/>
          <w:sz w:val="28"/>
          <w:szCs w:val="28"/>
        </w:rPr>
        <w:t>ios y los homicidios de mujeres;</w:t>
      </w:r>
      <w:r w:rsidRPr="00732EC1">
        <w:rPr>
          <w:rFonts w:cs="Arial"/>
          <w:sz w:val="28"/>
          <w:szCs w:val="28"/>
        </w:rPr>
        <w:t xml:space="preserve"> </w:t>
      </w:r>
      <w:r w:rsidR="00665929">
        <w:rPr>
          <w:rFonts w:cs="Arial"/>
          <w:sz w:val="28"/>
          <w:szCs w:val="28"/>
        </w:rPr>
        <w:t>desde hace meses, forma parte de la agenda nacional el tema que se refiere a la necesidad de que todos las entida</w:t>
      </w:r>
      <w:r w:rsidR="009655E0">
        <w:rPr>
          <w:rFonts w:cs="Arial"/>
          <w:sz w:val="28"/>
          <w:szCs w:val="28"/>
        </w:rPr>
        <w:t>des federativas homologuen sus códigos p</w:t>
      </w:r>
      <w:r w:rsidR="00665929">
        <w:rPr>
          <w:rFonts w:cs="Arial"/>
          <w:sz w:val="28"/>
          <w:szCs w:val="28"/>
        </w:rPr>
        <w:t xml:space="preserve">enales </w:t>
      </w:r>
      <w:r w:rsidR="009655E0">
        <w:rPr>
          <w:rFonts w:cs="Arial"/>
          <w:sz w:val="28"/>
          <w:szCs w:val="28"/>
        </w:rPr>
        <w:t xml:space="preserve">con el Código Penal Federal </w:t>
      </w:r>
      <w:r w:rsidR="00665929">
        <w:rPr>
          <w:rFonts w:cs="Arial"/>
          <w:sz w:val="28"/>
          <w:szCs w:val="28"/>
        </w:rPr>
        <w:t xml:space="preserve">en los referente al delito multicitado, para que en todo el país se cuente con un tipo penal único e igual, impidiendo así configuraciones que, no en todos </w:t>
      </w:r>
      <w:r w:rsidR="00665929">
        <w:rPr>
          <w:rFonts w:cs="Arial"/>
          <w:sz w:val="28"/>
          <w:szCs w:val="28"/>
        </w:rPr>
        <w:lastRenderedPageBreak/>
        <w:t>los casos son eficientes o establecen elementos que limitan y sujetan a este tipo de asesinatos a condicionantes poco realistas, que además, impiden que un feminicidio se tipifique como tal, a</w:t>
      </w:r>
      <w:r w:rsidR="003E7B37">
        <w:rPr>
          <w:rFonts w:cs="Arial"/>
          <w:sz w:val="28"/>
          <w:szCs w:val="28"/>
        </w:rPr>
        <w:t>l</w:t>
      </w:r>
      <w:r w:rsidR="00665929">
        <w:rPr>
          <w:rFonts w:cs="Arial"/>
          <w:sz w:val="28"/>
          <w:szCs w:val="28"/>
        </w:rPr>
        <w:t xml:space="preserve"> no</w:t>
      </w:r>
      <w:r w:rsidR="009655E0">
        <w:rPr>
          <w:rFonts w:cs="Arial"/>
          <w:sz w:val="28"/>
          <w:szCs w:val="28"/>
        </w:rPr>
        <w:t xml:space="preserve"> cumplirse alguno</w:t>
      </w:r>
      <w:r w:rsidR="006774B3">
        <w:rPr>
          <w:rFonts w:cs="Arial"/>
          <w:sz w:val="28"/>
          <w:szCs w:val="28"/>
        </w:rPr>
        <w:t xml:space="preserve"> de estos peculiares elementos</w:t>
      </w:r>
      <w:r w:rsidR="00665929">
        <w:rPr>
          <w:rFonts w:cs="Arial"/>
          <w:sz w:val="28"/>
          <w:szCs w:val="28"/>
        </w:rPr>
        <w:t xml:space="preserve"> establecidos en</w:t>
      </w:r>
      <w:r w:rsidR="009655E0">
        <w:rPr>
          <w:rFonts w:cs="Arial"/>
          <w:sz w:val="28"/>
          <w:szCs w:val="28"/>
        </w:rPr>
        <w:t xml:space="preserve"> algunas entidades federativas. </w:t>
      </w:r>
    </w:p>
    <w:p w:rsidR="009655E0" w:rsidRDefault="009655E0" w:rsidP="009D659D">
      <w:pPr>
        <w:spacing w:line="360" w:lineRule="auto"/>
        <w:rPr>
          <w:rFonts w:cs="Arial"/>
          <w:sz w:val="28"/>
          <w:szCs w:val="28"/>
        </w:rPr>
      </w:pPr>
    </w:p>
    <w:p w:rsidR="00665929" w:rsidRDefault="00480267" w:rsidP="009D659D">
      <w:pPr>
        <w:spacing w:line="360" w:lineRule="auto"/>
        <w:rPr>
          <w:rFonts w:cs="Arial"/>
          <w:sz w:val="28"/>
          <w:szCs w:val="28"/>
        </w:rPr>
      </w:pPr>
      <w:r>
        <w:rPr>
          <w:rFonts w:cs="Arial"/>
          <w:sz w:val="28"/>
          <w:szCs w:val="28"/>
        </w:rPr>
        <w:t>Actualmente, el delito de feminicidio está contemplado en los Códigos Penal Federal y del Estado de Coahuila, de la siguiente manera:</w:t>
      </w:r>
    </w:p>
    <w:p w:rsidR="00480267" w:rsidRDefault="00480267" w:rsidP="009D659D">
      <w:pPr>
        <w:spacing w:line="360" w:lineRule="auto"/>
        <w:rPr>
          <w:rFonts w:cs="Arial"/>
          <w:sz w:val="28"/>
          <w:szCs w:val="28"/>
        </w:rPr>
      </w:pPr>
    </w:p>
    <w:p w:rsidR="00480267" w:rsidRPr="00480267" w:rsidRDefault="00480267" w:rsidP="009D659D">
      <w:pPr>
        <w:spacing w:line="360" w:lineRule="auto"/>
        <w:rPr>
          <w:rFonts w:cs="Arial"/>
          <w:b/>
          <w:sz w:val="28"/>
          <w:szCs w:val="28"/>
        </w:rPr>
      </w:pPr>
      <w:r w:rsidRPr="00480267">
        <w:rPr>
          <w:rFonts w:cs="Arial"/>
          <w:b/>
          <w:sz w:val="28"/>
          <w:szCs w:val="28"/>
        </w:rPr>
        <w:t>Código Penal Federal                             Código Penal de Coahuila</w:t>
      </w:r>
    </w:p>
    <w:tbl>
      <w:tblPr>
        <w:tblStyle w:val="Tablaconcuadrcula"/>
        <w:tblW w:w="0" w:type="auto"/>
        <w:tblLayout w:type="fixed"/>
        <w:tblLook w:val="04A0" w:firstRow="1" w:lastRow="0" w:firstColumn="1" w:lastColumn="0" w:noHBand="0" w:noVBand="1"/>
      </w:tblPr>
      <w:tblGrid>
        <w:gridCol w:w="4248"/>
        <w:gridCol w:w="4580"/>
      </w:tblGrid>
      <w:tr w:rsidR="00480267" w:rsidTr="00480267">
        <w:tc>
          <w:tcPr>
            <w:tcW w:w="4248" w:type="dxa"/>
          </w:tcPr>
          <w:p w:rsidR="00480267" w:rsidRPr="00460993" w:rsidRDefault="00480267" w:rsidP="00480267">
            <w:pPr>
              <w:pStyle w:val="Texto"/>
              <w:spacing w:after="0" w:line="240" w:lineRule="auto"/>
              <w:ind w:firstLine="0"/>
              <w:jc w:val="center"/>
              <w:rPr>
                <w:b/>
                <w:color w:val="000000"/>
                <w:sz w:val="22"/>
                <w:szCs w:val="22"/>
              </w:rPr>
            </w:pPr>
            <w:r w:rsidRPr="00460993">
              <w:rPr>
                <w:b/>
                <w:color w:val="000000"/>
                <w:sz w:val="22"/>
                <w:szCs w:val="22"/>
              </w:rPr>
              <w:t>Capítulo V</w:t>
            </w:r>
          </w:p>
          <w:p w:rsidR="00480267" w:rsidRPr="00460993" w:rsidRDefault="00480267" w:rsidP="00480267">
            <w:pPr>
              <w:pStyle w:val="Texto"/>
              <w:spacing w:after="0" w:line="240" w:lineRule="auto"/>
              <w:ind w:firstLine="0"/>
              <w:jc w:val="center"/>
              <w:rPr>
                <w:b/>
                <w:color w:val="000000"/>
                <w:sz w:val="22"/>
                <w:szCs w:val="22"/>
              </w:rPr>
            </w:pPr>
            <w:r w:rsidRPr="00460993">
              <w:rPr>
                <w:b/>
                <w:color w:val="000000"/>
                <w:sz w:val="22"/>
                <w:szCs w:val="22"/>
              </w:rPr>
              <w:t>Feminicidio</w:t>
            </w:r>
          </w:p>
          <w:p w:rsidR="00480267" w:rsidRPr="00460993" w:rsidRDefault="00480267" w:rsidP="00480267">
            <w:pPr>
              <w:pStyle w:val="Texto"/>
              <w:spacing w:after="0" w:line="240" w:lineRule="auto"/>
              <w:ind w:firstLine="0"/>
              <w:jc w:val="center"/>
              <w:rPr>
                <w:b/>
                <w:color w:val="000000"/>
                <w:sz w:val="20"/>
              </w:rPr>
            </w:pPr>
          </w:p>
          <w:p w:rsidR="00480267" w:rsidRPr="00460993" w:rsidRDefault="00480267" w:rsidP="00480267">
            <w:pPr>
              <w:pStyle w:val="Texto"/>
              <w:spacing w:after="0" w:line="240" w:lineRule="auto"/>
              <w:rPr>
                <w:color w:val="000000"/>
                <w:sz w:val="20"/>
              </w:rPr>
            </w:pPr>
            <w:bookmarkStart w:id="2" w:name="Artículo_325"/>
            <w:r w:rsidRPr="00460993">
              <w:rPr>
                <w:b/>
                <w:color w:val="000000"/>
                <w:sz w:val="20"/>
              </w:rPr>
              <w:t>Artículo 325</w:t>
            </w:r>
            <w:bookmarkEnd w:id="2"/>
            <w:r w:rsidRPr="00460993">
              <w:rPr>
                <w:b/>
                <w:color w:val="000000"/>
                <w:sz w:val="20"/>
              </w:rPr>
              <w:t>.</w:t>
            </w:r>
            <w:r w:rsidRPr="00460993">
              <w:rPr>
                <w:color w:val="000000"/>
                <w:sz w:val="20"/>
              </w:rPr>
              <w:t xml:space="preserve"> Comete el delito de feminicidio quien prive de la vida a una mujer por razones de género. Se considera que existen razones de género cuando concurra alguna de las siguientes circunstancias:</w:t>
            </w:r>
          </w:p>
          <w:p w:rsidR="00480267" w:rsidRPr="00460993" w:rsidRDefault="00480267" w:rsidP="00480267">
            <w:pPr>
              <w:pStyle w:val="Texto"/>
              <w:spacing w:after="0" w:line="240" w:lineRule="auto"/>
              <w:rPr>
                <w:color w:val="000000"/>
                <w:sz w:val="20"/>
              </w:rPr>
            </w:pPr>
          </w:p>
          <w:p w:rsidR="00480267" w:rsidRPr="00460993" w:rsidRDefault="00480267" w:rsidP="00480267">
            <w:pPr>
              <w:pStyle w:val="Texto"/>
              <w:spacing w:after="0" w:line="240" w:lineRule="auto"/>
              <w:ind w:left="720" w:hanging="431"/>
              <w:rPr>
                <w:color w:val="000000"/>
                <w:sz w:val="20"/>
              </w:rPr>
            </w:pPr>
            <w:r w:rsidRPr="00460993">
              <w:rPr>
                <w:b/>
                <w:color w:val="000000"/>
                <w:sz w:val="20"/>
              </w:rPr>
              <w:t xml:space="preserve">I. </w:t>
            </w:r>
            <w:r w:rsidRPr="00460993">
              <w:rPr>
                <w:b/>
                <w:color w:val="000000"/>
                <w:sz w:val="20"/>
              </w:rPr>
              <w:tab/>
            </w:r>
            <w:r w:rsidRPr="00460993">
              <w:rPr>
                <w:color w:val="000000"/>
                <w:sz w:val="20"/>
              </w:rPr>
              <w:t>La víctima presente signos de violencia sexual de cualquier tipo;</w:t>
            </w:r>
          </w:p>
          <w:p w:rsidR="00480267" w:rsidRPr="00460993" w:rsidRDefault="00480267" w:rsidP="00480267">
            <w:pPr>
              <w:pStyle w:val="Texto"/>
              <w:spacing w:after="0" w:line="240" w:lineRule="auto"/>
              <w:ind w:left="720" w:hanging="431"/>
              <w:rPr>
                <w:color w:val="000000"/>
                <w:sz w:val="20"/>
              </w:rPr>
            </w:pPr>
          </w:p>
          <w:p w:rsidR="00480267" w:rsidRPr="00480267" w:rsidRDefault="00480267" w:rsidP="00480267">
            <w:pPr>
              <w:pStyle w:val="Texto"/>
              <w:spacing w:after="0" w:line="240" w:lineRule="auto"/>
              <w:ind w:left="720" w:hanging="431"/>
              <w:rPr>
                <w:b/>
                <w:color w:val="000000"/>
                <w:sz w:val="20"/>
                <w:u w:val="single"/>
              </w:rPr>
            </w:pPr>
            <w:r w:rsidRPr="00460993">
              <w:rPr>
                <w:b/>
                <w:color w:val="000000"/>
                <w:sz w:val="20"/>
              </w:rPr>
              <w:t xml:space="preserve">II. </w:t>
            </w:r>
            <w:r w:rsidRPr="00460993">
              <w:rPr>
                <w:b/>
                <w:color w:val="000000"/>
                <w:sz w:val="20"/>
              </w:rPr>
              <w:tab/>
            </w:r>
            <w:r w:rsidRPr="00460993">
              <w:rPr>
                <w:color w:val="000000"/>
                <w:sz w:val="20"/>
              </w:rPr>
              <w:t xml:space="preserve">A la víctima se le hayan infligido lesiones o mutilaciones infamantes o degradantes, previas o posteriores a la privación </w:t>
            </w:r>
            <w:r w:rsidRPr="00480267">
              <w:rPr>
                <w:color w:val="000000"/>
                <w:sz w:val="20"/>
                <w:u w:val="single"/>
              </w:rPr>
              <w:t xml:space="preserve">de la vida </w:t>
            </w:r>
            <w:r w:rsidRPr="00480267">
              <w:rPr>
                <w:b/>
                <w:color w:val="000000"/>
                <w:sz w:val="20"/>
                <w:u w:val="single"/>
              </w:rPr>
              <w:t>o actos de necrofilia;</w:t>
            </w:r>
          </w:p>
          <w:p w:rsidR="00480267" w:rsidRPr="00460993" w:rsidRDefault="00480267" w:rsidP="00480267">
            <w:pPr>
              <w:pStyle w:val="Texto"/>
              <w:spacing w:after="0" w:line="240" w:lineRule="auto"/>
              <w:ind w:left="720" w:hanging="431"/>
              <w:rPr>
                <w:color w:val="000000"/>
                <w:sz w:val="20"/>
              </w:rPr>
            </w:pPr>
          </w:p>
          <w:p w:rsidR="00480267" w:rsidRPr="00460993" w:rsidRDefault="00480267" w:rsidP="00480267">
            <w:pPr>
              <w:pStyle w:val="Texto"/>
              <w:spacing w:after="0" w:line="240" w:lineRule="auto"/>
              <w:ind w:left="720" w:hanging="431"/>
              <w:rPr>
                <w:color w:val="000000"/>
                <w:sz w:val="20"/>
              </w:rPr>
            </w:pPr>
            <w:r w:rsidRPr="00460993">
              <w:rPr>
                <w:b/>
                <w:color w:val="000000"/>
                <w:sz w:val="20"/>
              </w:rPr>
              <w:t xml:space="preserve">III. </w:t>
            </w:r>
            <w:r w:rsidRPr="00460993">
              <w:rPr>
                <w:b/>
                <w:color w:val="000000"/>
                <w:sz w:val="20"/>
              </w:rPr>
              <w:tab/>
            </w:r>
            <w:r w:rsidRPr="00460993">
              <w:rPr>
                <w:color w:val="000000"/>
                <w:sz w:val="20"/>
              </w:rPr>
              <w:t>Existan antecedentes o datos de cualquier tipo de violencia en el ámbito familiar, laboral o escolar, del sujeto activo en contra de la víctima;</w:t>
            </w:r>
          </w:p>
          <w:p w:rsidR="00480267" w:rsidRPr="00460993" w:rsidRDefault="00480267" w:rsidP="00480267">
            <w:pPr>
              <w:pStyle w:val="Texto"/>
              <w:spacing w:after="0" w:line="240" w:lineRule="auto"/>
              <w:ind w:left="720" w:hanging="431"/>
              <w:rPr>
                <w:color w:val="000000"/>
                <w:sz w:val="20"/>
              </w:rPr>
            </w:pPr>
          </w:p>
          <w:p w:rsidR="00480267" w:rsidRPr="00460993" w:rsidRDefault="00480267" w:rsidP="00480267">
            <w:pPr>
              <w:pStyle w:val="Texto"/>
              <w:spacing w:after="0" w:line="240" w:lineRule="auto"/>
              <w:ind w:left="720" w:hanging="431"/>
              <w:rPr>
                <w:color w:val="000000"/>
                <w:sz w:val="20"/>
              </w:rPr>
            </w:pPr>
            <w:r w:rsidRPr="00460993">
              <w:rPr>
                <w:b/>
                <w:color w:val="000000"/>
                <w:sz w:val="20"/>
              </w:rPr>
              <w:t xml:space="preserve">IV. </w:t>
            </w:r>
            <w:r w:rsidRPr="00460993">
              <w:rPr>
                <w:b/>
                <w:color w:val="000000"/>
                <w:sz w:val="20"/>
              </w:rPr>
              <w:tab/>
            </w:r>
            <w:r w:rsidRPr="00460993">
              <w:rPr>
                <w:color w:val="000000"/>
                <w:sz w:val="20"/>
              </w:rPr>
              <w:t>Haya existido entre el activo y la víctima una relación sentimental, afectiva o de confianza;</w:t>
            </w:r>
          </w:p>
          <w:p w:rsidR="00480267" w:rsidRPr="00460993" w:rsidRDefault="00480267" w:rsidP="00480267">
            <w:pPr>
              <w:pStyle w:val="Texto"/>
              <w:spacing w:after="0" w:line="240" w:lineRule="auto"/>
              <w:ind w:left="720" w:hanging="431"/>
              <w:rPr>
                <w:color w:val="000000"/>
                <w:sz w:val="20"/>
              </w:rPr>
            </w:pPr>
          </w:p>
          <w:p w:rsidR="00480267" w:rsidRPr="00217AF1" w:rsidRDefault="00480267" w:rsidP="00480267">
            <w:pPr>
              <w:pStyle w:val="Texto"/>
              <w:spacing w:after="0" w:line="240" w:lineRule="auto"/>
              <w:ind w:left="720" w:hanging="431"/>
              <w:rPr>
                <w:b/>
                <w:color w:val="000000"/>
                <w:sz w:val="20"/>
                <w:u w:val="single"/>
              </w:rPr>
            </w:pPr>
            <w:r w:rsidRPr="00217AF1">
              <w:rPr>
                <w:b/>
                <w:color w:val="000000"/>
                <w:sz w:val="20"/>
                <w:u w:val="single"/>
              </w:rPr>
              <w:t xml:space="preserve">V. </w:t>
            </w:r>
            <w:r w:rsidRPr="00217AF1">
              <w:rPr>
                <w:b/>
                <w:color w:val="000000"/>
                <w:sz w:val="20"/>
                <w:u w:val="single"/>
              </w:rPr>
              <w:tab/>
              <w:t>Existan datos que establezcan que hubo amenazas relacionadas con el hecho delictuoso, acoso o lesiones del sujeto activo en contra de la víctima;</w:t>
            </w:r>
          </w:p>
          <w:p w:rsidR="00480267" w:rsidRPr="00460993" w:rsidRDefault="00480267" w:rsidP="00480267">
            <w:pPr>
              <w:pStyle w:val="Texto"/>
              <w:spacing w:after="0" w:line="240" w:lineRule="auto"/>
              <w:ind w:left="720" w:hanging="431"/>
              <w:rPr>
                <w:color w:val="000000"/>
                <w:sz w:val="20"/>
              </w:rPr>
            </w:pPr>
          </w:p>
          <w:p w:rsidR="00480267" w:rsidRPr="00217AF1" w:rsidRDefault="00480267" w:rsidP="00480267">
            <w:pPr>
              <w:pStyle w:val="Texto"/>
              <w:spacing w:after="0" w:line="240" w:lineRule="auto"/>
              <w:ind w:left="720" w:hanging="431"/>
              <w:rPr>
                <w:b/>
                <w:color w:val="000000"/>
                <w:sz w:val="20"/>
                <w:u w:val="single"/>
              </w:rPr>
            </w:pPr>
            <w:r w:rsidRPr="00217AF1">
              <w:rPr>
                <w:b/>
                <w:color w:val="000000"/>
                <w:sz w:val="20"/>
                <w:u w:val="single"/>
              </w:rPr>
              <w:lastRenderedPageBreak/>
              <w:t xml:space="preserve">VI. </w:t>
            </w:r>
            <w:r w:rsidRPr="00217AF1">
              <w:rPr>
                <w:b/>
                <w:color w:val="000000"/>
                <w:sz w:val="20"/>
                <w:u w:val="single"/>
              </w:rPr>
              <w:tab/>
              <w:t>La víctima haya sido incomunicada, cualquiera que sea el tiempo previo a la privación de la vida;</w:t>
            </w:r>
          </w:p>
          <w:p w:rsidR="00480267" w:rsidRPr="00460993" w:rsidRDefault="00480267" w:rsidP="00480267">
            <w:pPr>
              <w:pStyle w:val="Texto"/>
              <w:spacing w:after="0" w:line="240" w:lineRule="auto"/>
              <w:ind w:left="720" w:hanging="431"/>
              <w:rPr>
                <w:color w:val="000000"/>
                <w:sz w:val="20"/>
              </w:rPr>
            </w:pPr>
          </w:p>
          <w:p w:rsidR="00480267" w:rsidRPr="00460993" w:rsidRDefault="00480267" w:rsidP="00480267">
            <w:pPr>
              <w:pStyle w:val="Texto"/>
              <w:spacing w:after="0" w:line="240" w:lineRule="auto"/>
              <w:ind w:left="720" w:hanging="431"/>
              <w:rPr>
                <w:color w:val="000000"/>
                <w:sz w:val="20"/>
              </w:rPr>
            </w:pPr>
            <w:r w:rsidRPr="00460993">
              <w:rPr>
                <w:b/>
                <w:color w:val="000000"/>
                <w:sz w:val="20"/>
              </w:rPr>
              <w:t xml:space="preserve">VII. </w:t>
            </w:r>
            <w:r w:rsidRPr="00460993">
              <w:rPr>
                <w:b/>
                <w:color w:val="000000"/>
                <w:sz w:val="20"/>
              </w:rPr>
              <w:tab/>
            </w:r>
            <w:r w:rsidRPr="00460993">
              <w:rPr>
                <w:color w:val="000000"/>
                <w:sz w:val="20"/>
              </w:rPr>
              <w:t>El cuerpo de la víctima sea expuesto o exhibido en un lugar público.</w:t>
            </w:r>
          </w:p>
          <w:p w:rsidR="00480267" w:rsidRPr="00460993" w:rsidRDefault="00480267" w:rsidP="00480267">
            <w:pPr>
              <w:pStyle w:val="Texto"/>
              <w:spacing w:after="0" w:line="240" w:lineRule="auto"/>
              <w:rPr>
                <w:color w:val="000000"/>
                <w:sz w:val="20"/>
              </w:rPr>
            </w:pPr>
          </w:p>
          <w:p w:rsidR="00480267" w:rsidRPr="00460993" w:rsidRDefault="00480267" w:rsidP="00480267">
            <w:pPr>
              <w:pStyle w:val="Texto"/>
              <w:spacing w:after="0" w:line="240" w:lineRule="auto"/>
              <w:rPr>
                <w:color w:val="000000"/>
                <w:sz w:val="20"/>
              </w:rPr>
            </w:pPr>
            <w:r w:rsidRPr="00460993">
              <w:rPr>
                <w:color w:val="000000"/>
                <w:sz w:val="20"/>
              </w:rPr>
              <w:t xml:space="preserve">A quien cometa el delito de feminicidio se le impondrán de </w:t>
            </w:r>
            <w:r w:rsidRPr="00317904">
              <w:rPr>
                <w:b/>
                <w:color w:val="000000"/>
                <w:sz w:val="20"/>
                <w:u w:val="single"/>
              </w:rPr>
              <w:t>cuarenta a sesenta años</w:t>
            </w:r>
            <w:r w:rsidRPr="00460993">
              <w:rPr>
                <w:color w:val="000000"/>
                <w:sz w:val="20"/>
              </w:rPr>
              <w:t xml:space="preserve"> de prisión y de quinientos a mil días multa.</w:t>
            </w:r>
          </w:p>
          <w:p w:rsidR="00480267" w:rsidRPr="00460993" w:rsidRDefault="00480267" w:rsidP="00480267">
            <w:pPr>
              <w:pStyle w:val="Texto"/>
              <w:spacing w:after="0" w:line="240" w:lineRule="auto"/>
              <w:rPr>
                <w:color w:val="000000"/>
                <w:sz w:val="20"/>
              </w:rPr>
            </w:pPr>
          </w:p>
          <w:p w:rsidR="00480267" w:rsidRPr="00460993" w:rsidRDefault="00480267" w:rsidP="00480267">
            <w:pPr>
              <w:pStyle w:val="Texto"/>
              <w:spacing w:after="0" w:line="240" w:lineRule="auto"/>
              <w:rPr>
                <w:color w:val="000000"/>
                <w:sz w:val="20"/>
              </w:rPr>
            </w:pPr>
            <w:r w:rsidRPr="00460993">
              <w:rPr>
                <w:color w:val="000000"/>
                <w:sz w:val="20"/>
              </w:rPr>
              <w:t>Además de las sanciones descritas en el presente artículo, el sujeto activo perderá todos los derechos con relación a la víctima, incluidos los de carácter sucesorio.</w:t>
            </w:r>
          </w:p>
          <w:p w:rsidR="00480267" w:rsidRPr="00460993" w:rsidRDefault="00480267" w:rsidP="00480267">
            <w:pPr>
              <w:pStyle w:val="Texto"/>
              <w:spacing w:after="0" w:line="240" w:lineRule="auto"/>
              <w:rPr>
                <w:color w:val="000000"/>
                <w:sz w:val="20"/>
              </w:rPr>
            </w:pPr>
          </w:p>
          <w:p w:rsidR="00480267" w:rsidRPr="00460993" w:rsidRDefault="00480267" w:rsidP="00480267">
            <w:pPr>
              <w:pStyle w:val="Texto"/>
              <w:spacing w:after="0" w:line="240" w:lineRule="auto"/>
              <w:rPr>
                <w:color w:val="000000"/>
                <w:sz w:val="20"/>
              </w:rPr>
            </w:pPr>
            <w:r w:rsidRPr="00460993">
              <w:rPr>
                <w:color w:val="000000"/>
                <w:sz w:val="20"/>
              </w:rPr>
              <w:t>En caso de que no se acredite el feminicidio, se aplicarán las reglas del homicidio.</w:t>
            </w:r>
          </w:p>
          <w:p w:rsidR="00480267" w:rsidRPr="00460993" w:rsidRDefault="00480267" w:rsidP="00480267">
            <w:pPr>
              <w:pStyle w:val="Texto"/>
              <w:spacing w:after="0" w:line="240" w:lineRule="auto"/>
              <w:rPr>
                <w:color w:val="000000"/>
                <w:sz w:val="20"/>
              </w:rPr>
            </w:pPr>
          </w:p>
          <w:p w:rsidR="00480267" w:rsidRPr="00460993" w:rsidRDefault="00480267" w:rsidP="00480267">
            <w:pPr>
              <w:pStyle w:val="Texto"/>
              <w:spacing w:after="0" w:line="240" w:lineRule="auto"/>
              <w:rPr>
                <w:color w:val="000000"/>
                <w:sz w:val="20"/>
              </w:rPr>
            </w:pPr>
            <w:r w:rsidRPr="00460993">
              <w:rPr>
                <w:color w:val="000000"/>
                <w:sz w:val="20"/>
              </w:rP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p w:rsidR="00480267" w:rsidRDefault="00480267" w:rsidP="009D659D">
            <w:pPr>
              <w:spacing w:line="360" w:lineRule="auto"/>
              <w:rPr>
                <w:rFonts w:cs="Arial"/>
                <w:sz w:val="28"/>
                <w:szCs w:val="28"/>
              </w:rPr>
            </w:pPr>
          </w:p>
        </w:tc>
        <w:tc>
          <w:tcPr>
            <w:tcW w:w="4580" w:type="dxa"/>
          </w:tcPr>
          <w:p w:rsidR="00480267" w:rsidRPr="00480267" w:rsidRDefault="00480267" w:rsidP="00480267">
            <w:pPr>
              <w:tabs>
                <w:tab w:val="left" w:pos="5970"/>
              </w:tabs>
              <w:rPr>
                <w:rFonts w:cs="Arial"/>
                <w:b/>
                <w:szCs w:val="24"/>
              </w:rPr>
            </w:pPr>
            <w:r w:rsidRPr="00480267">
              <w:rPr>
                <w:rFonts w:cs="Arial"/>
                <w:b/>
                <w:szCs w:val="24"/>
              </w:rPr>
              <w:lastRenderedPageBreak/>
              <w:t>Artículo 188 (Tipo penal complementado de feminicidio)</w:t>
            </w:r>
          </w:p>
          <w:p w:rsidR="00480267" w:rsidRPr="00480267" w:rsidRDefault="00480267" w:rsidP="00480267">
            <w:pPr>
              <w:tabs>
                <w:tab w:val="left" w:pos="5970"/>
              </w:tabs>
              <w:rPr>
                <w:rFonts w:cs="Arial"/>
                <w:szCs w:val="24"/>
              </w:rPr>
            </w:pPr>
            <w:r w:rsidRPr="00480267">
              <w:rPr>
                <w:rFonts w:cs="Arial"/>
                <w:szCs w:val="24"/>
              </w:rPr>
              <w:tab/>
            </w:r>
          </w:p>
          <w:p w:rsidR="00480267" w:rsidRPr="00480267" w:rsidRDefault="00480267" w:rsidP="00480267">
            <w:pPr>
              <w:tabs>
                <w:tab w:val="left" w:pos="1260"/>
                <w:tab w:val="left" w:pos="1620"/>
              </w:tabs>
              <w:rPr>
                <w:rFonts w:cs="Arial"/>
                <w:szCs w:val="24"/>
              </w:rPr>
            </w:pPr>
            <w:r w:rsidRPr="00480267">
              <w:rPr>
                <w:rFonts w:cs="Arial"/>
                <w:szCs w:val="24"/>
              </w:rPr>
              <w:t xml:space="preserve">Se aplicará prisión de </w:t>
            </w:r>
            <w:r w:rsidRPr="00317904">
              <w:rPr>
                <w:rFonts w:cs="Arial"/>
                <w:b/>
                <w:szCs w:val="24"/>
                <w:u w:val="single"/>
              </w:rPr>
              <w:t>veinte a cincuenta años</w:t>
            </w:r>
            <w:r w:rsidRPr="00480267">
              <w:rPr>
                <w:rFonts w:cs="Arial"/>
                <w:szCs w:val="24"/>
              </w:rPr>
              <w:t xml:space="preserve"> y multa, al que prive de la vida a una mujer por razón de género. Se considera que existe razón de género cuando concurra cualquiera de las siguientes circunstancias: </w:t>
            </w:r>
          </w:p>
          <w:p w:rsidR="00480267" w:rsidRPr="00480267" w:rsidRDefault="00480267" w:rsidP="00480267">
            <w:pPr>
              <w:tabs>
                <w:tab w:val="left" w:pos="1260"/>
                <w:tab w:val="left" w:pos="1620"/>
              </w:tabs>
              <w:rPr>
                <w:rFonts w:cs="Arial"/>
                <w:szCs w:val="24"/>
              </w:rPr>
            </w:pPr>
          </w:p>
          <w:p w:rsidR="00480267" w:rsidRPr="00480267" w:rsidRDefault="00480267" w:rsidP="00480267">
            <w:pPr>
              <w:ind w:left="454" w:hanging="454"/>
              <w:rPr>
                <w:rFonts w:cs="Arial"/>
                <w:szCs w:val="24"/>
              </w:rPr>
            </w:pPr>
            <w:r w:rsidRPr="00480267">
              <w:rPr>
                <w:rFonts w:cs="Arial"/>
                <w:b/>
                <w:szCs w:val="24"/>
              </w:rPr>
              <w:t>I.</w:t>
            </w:r>
            <w:r w:rsidRPr="00480267">
              <w:rPr>
                <w:rFonts w:cs="Arial"/>
                <w:szCs w:val="24"/>
              </w:rPr>
              <w:t xml:space="preserve"> </w:t>
            </w:r>
            <w:r w:rsidRPr="00480267">
              <w:rPr>
                <w:rFonts w:cs="Arial"/>
                <w:szCs w:val="24"/>
              </w:rPr>
              <w:tab/>
              <w:t xml:space="preserve">Presente signos de violencia sexual de cualquier tipo, previa o posterior a la privación de la vida de la víctima infligida por el sujeto activo; </w:t>
            </w:r>
          </w:p>
          <w:p w:rsidR="00480267" w:rsidRPr="00480267" w:rsidRDefault="00480267" w:rsidP="00480267">
            <w:pPr>
              <w:ind w:left="454" w:hanging="454"/>
              <w:rPr>
                <w:rFonts w:cs="Arial"/>
                <w:szCs w:val="24"/>
              </w:rPr>
            </w:pPr>
          </w:p>
          <w:p w:rsidR="00480267" w:rsidRPr="00480267" w:rsidRDefault="00480267" w:rsidP="00480267">
            <w:pPr>
              <w:ind w:left="454" w:hanging="454"/>
              <w:rPr>
                <w:rFonts w:cs="Arial"/>
                <w:b/>
                <w:szCs w:val="24"/>
                <w:u w:val="single"/>
              </w:rPr>
            </w:pPr>
            <w:r w:rsidRPr="00480267">
              <w:rPr>
                <w:rFonts w:cs="Arial"/>
                <w:b/>
                <w:szCs w:val="24"/>
              </w:rPr>
              <w:t>II.</w:t>
            </w:r>
            <w:r w:rsidRPr="00480267">
              <w:rPr>
                <w:rFonts w:cs="Arial"/>
                <w:szCs w:val="24"/>
              </w:rPr>
              <w:t xml:space="preserve"> </w:t>
            </w:r>
            <w:r w:rsidRPr="00480267">
              <w:rPr>
                <w:rFonts w:cs="Arial"/>
                <w:szCs w:val="24"/>
              </w:rPr>
              <w:tab/>
              <w:t xml:space="preserve">Se le haya infligido por el sujeto activo una o más lesiones o mutilaciones infamantes o degradantes en zonas genitales o en cualquier otra, previa </w:t>
            </w:r>
            <w:r w:rsidRPr="00480267">
              <w:rPr>
                <w:rFonts w:cs="Arial"/>
                <w:b/>
                <w:szCs w:val="24"/>
              </w:rPr>
              <w:t xml:space="preserve">o </w:t>
            </w:r>
            <w:r w:rsidRPr="00480267">
              <w:rPr>
                <w:rFonts w:cs="Arial"/>
                <w:b/>
                <w:szCs w:val="24"/>
                <w:u w:val="single"/>
              </w:rPr>
              <w:t xml:space="preserve">posteriormente a la privación de la vida; </w:t>
            </w:r>
          </w:p>
          <w:p w:rsidR="00480267" w:rsidRPr="00480267" w:rsidRDefault="00480267" w:rsidP="00480267">
            <w:pPr>
              <w:ind w:left="454" w:hanging="454"/>
              <w:rPr>
                <w:rFonts w:cs="Arial"/>
                <w:szCs w:val="24"/>
              </w:rPr>
            </w:pPr>
          </w:p>
          <w:p w:rsidR="00480267" w:rsidRPr="00480267" w:rsidRDefault="00480267" w:rsidP="00480267">
            <w:pPr>
              <w:ind w:left="454" w:hanging="454"/>
              <w:rPr>
                <w:rFonts w:cs="Arial"/>
                <w:szCs w:val="24"/>
              </w:rPr>
            </w:pPr>
            <w:r w:rsidRPr="00480267">
              <w:rPr>
                <w:rFonts w:cs="Arial"/>
                <w:b/>
                <w:szCs w:val="24"/>
              </w:rPr>
              <w:t>III.</w:t>
            </w:r>
            <w:r w:rsidRPr="00480267">
              <w:rPr>
                <w:rFonts w:cs="Arial"/>
                <w:szCs w:val="24"/>
              </w:rPr>
              <w:t xml:space="preserve"> </w:t>
            </w:r>
            <w:r w:rsidRPr="00480267">
              <w:rPr>
                <w:rFonts w:cs="Arial"/>
                <w:szCs w:val="24"/>
              </w:rPr>
              <w:tab/>
              <w:t xml:space="preserve">Existan antecedentes o datos de cualquier tipo de violencia o discriminación por género en el ámbito familiar, laboral, o escolar, del sujeto activo contra la víctima; </w:t>
            </w:r>
          </w:p>
          <w:p w:rsidR="00480267" w:rsidRPr="00480267" w:rsidRDefault="00480267" w:rsidP="00480267">
            <w:pPr>
              <w:ind w:left="454" w:hanging="454"/>
              <w:rPr>
                <w:rFonts w:cs="Arial"/>
                <w:szCs w:val="24"/>
              </w:rPr>
            </w:pPr>
          </w:p>
          <w:p w:rsidR="00480267" w:rsidRPr="00480267" w:rsidRDefault="00480267" w:rsidP="00480267">
            <w:pPr>
              <w:ind w:left="454" w:hanging="454"/>
              <w:rPr>
                <w:rFonts w:cs="Arial"/>
                <w:szCs w:val="24"/>
              </w:rPr>
            </w:pPr>
            <w:r w:rsidRPr="00480267">
              <w:rPr>
                <w:rFonts w:cs="Arial"/>
                <w:b/>
                <w:szCs w:val="24"/>
              </w:rPr>
              <w:t>IV.</w:t>
            </w:r>
            <w:r w:rsidRPr="00480267">
              <w:rPr>
                <w:rFonts w:cs="Arial"/>
                <w:szCs w:val="24"/>
              </w:rPr>
              <w:t xml:space="preserve"> </w:t>
            </w:r>
            <w:r w:rsidRPr="00480267">
              <w:rPr>
                <w:rFonts w:cs="Arial"/>
                <w:szCs w:val="24"/>
              </w:rPr>
              <w:tab/>
              <w:t xml:space="preserve">Haya existido entre el sujeto activo y la víctima una relación sentimental, afectiva o de confianza; </w:t>
            </w:r>
          </w:p>
          <w:p w:rsidR="00480267" w:rsidRPr="00480267" w:rsidRDefault="00480267" w:rsidP="00480267">
            <w:pPr>
              <w:ind w:left="454" w:hanging="454"/>
              <w:rPr>
                <w:rFonts w:cs="Arial"/>
                <w:szCs w:val="24"/>
              </w:rPr>
            </w:pPr>
          </w:p>
          <w:p w:rsidR="00480267" w:rsidRPr="00480267" w:rsidRDefault="00480267" w:rsidP="00480267">
            <w:pPr>
              <w:ind w:left="454" w:hanging="454"/>
              <w:rPr>
                <w:rFonts w:cs="Arial"/>
                <w:szCs w:val="24"/>
              </w:rPr>
            </w:pPr>
            <w:r w:rsidRPr="00480267">
              <w:rPr>
                <w:rFonts w:cs="Arial"/>
                <w:b/>
                <w:szCs w:val="24"/>
              </w:rPr>
              <w:t>V.</w:t>
            </w:r>
            <w:r w:rsidRPr="00480267">
              <w:rPr>
                <w:rFonts w:cs="Arial"/>
                <w:szCs w:val="24"/>
              </w:rPr>
              <w:t xml:space="preserve"> </w:t>
            </w:r>
            <w:r w:rsidRPr="00480267">
              <w:rPr>
                <w:rFonts w:cs="Arial"/>
                <w:szCs w:val="24"/>
              </w:rPr>
              <w:tab/>
              <w:t xml:space="preserve">El cuerpo sea expuesto, depositado o arrojado en un lugar público, en circunstancias que degraden o menosprecien a la víctima. </w:t>
            </w:r>
          </w:p>
          <w:p w:rsidR="00480267" w:rsidRPr="00480267" w:rsidRDefault="00480267" w:rsidP="00480267">
            <w:pPr>
              <w:tabs>
                <w:tab w:val="left" w:pos="1260"/>
                <w:tab w:val="left" w:pos="1620"/>
              </w:tabs>
              <w:rPr>
                <w:rFonts w:cs="Arial"/>
                <w:szCs w:val="24"/>
              </w:rPr>
            </w:pPr>
          </w:p>
          <w:p w:rsidR="00480267" w:rsidRPr="00480267" w:rsidRDefault="00480267" w:rsidP="00480267">
            <w:pPr>
              <w:tabs>
                <w:tab w:val="left" w:pos="1260"/>
                <w:tab w:val="left" w:pos="1620"/>
              </w:tabs>
              <w:rPr>
                <w:rFonts w:cs="Arial"/>
                <w:szCs w:val="24"/>
              </w:rPr>
            </w:pPr>
            <w:r w:rsidRPr="00480267">
              <w:rPr>
                <w:rFonts w:cs="Arial"/>
                <w:szCs w:val="24"/>
              </w:rPr>
              <w:lastRenderedPageBreak/>
              <w:t>Además de la sanción anterior, el sujeto activo perderá todos los derechos con relación a la víctima, incluidos los de carácter sucesorio.</w:t>
            </w:r>
          </w:p>
          <w:p w:rsidR="00480267" w:rsidRPr="00480267" w:rsidRDefault="00480267" w:rsidP="00480267">
            <w:pPr>
              <w:tabs>
                <w:tab w:val="left" w:pos="1260"/>
                <w:tab w:val="left" w:pos="1620"/>
              </w:tabs>
              <w:rPr>
                <w:rFonts w:cs="Arial"/>
                <w:szCs w:val="24"/>
              </w:rPr>
            </w:pPr>
          </w:p>
          <w:p w:rsidR="00480267" w:rsidRPr="00480267" w:rsidRDefault="00480267" w:rsidP="00480267">
            <w:pPr>
              <w:tabs>
                <w:tab w:val="left" w:pos="1260"/>
                <w:tab w:val="left" w:pos="1620"/>
              </w:tabs>
              <w:rPr>
                <w:rFonts w:cs="Arial"/>
                <w:szCs w:val="24"/>
              </w:rPr>
            </w:pPr>
            <w:r w:rsidRPr="00480267">
              <w:rPr>
                <w:rFonts w:cs="Arial"/>
                <w:szCs w:val="24"/>
              </w:rPr>
              <w:t xml:space="preserve">En caso de que no se acredite el feminicidio, se aplicarán las reglas del homicidio. </w:t>
            </w:r>
          </w:p>
          <w:p w:rsidR="00480267" w:rsidRPr="00480267" w:rsidRDefault="00480267" w:rsidP="00480267">
            <w:pPr>
              <w:rPr>
                <w:rFonts w:cs="Arial"/>
                <w:szCs w:val="24"/>
              </w:rPr>
            </w:pPr>
          </w:p>
          <w:p w:rsidR="00480267" w:rsidRPr="00480267" w:rsidRDefault="00480267" w:rsidP="00480267">
            <w:pPr>
              <w:rPr>
                <w:rFonts w:cs="Arial"/>
                <w:szCs w:val="24"/>
              </w:rPr>
            </w:pPr>
            <w:r w:rsidRPr="00480267">
              <w:rPr>
                <w:rFonts w:cs="Arial"/>
                <w:szCs w:val="24"/>
              </w:rPr>
              <w:t>Al servidor público que con motivo de sus funciones y atribuciones conozca del delito de feminicidio y por acción u omisión realice prácticas dilatorias en la procuración y administración de justicia se le impondrán de cinco a diez años de prisión, de quinientos a mil días multa e inhabilitación del cargo o comisión que desempeñe de cinco a diez años.</w:t>
            </w:r>
          </w:p>
          <w:p w:rsidR="00480267" w:rsidRPr="00480267" w:rsidRDefault="00480267" w:rsidP="00480267">
            <w:pPr>
              <w:jc w:val="center"/>
              <w:rPr>
                <w:rFonts w:cs="Arial"/>
                <w:b/>
                <w:szCs w:val="24"/>
              </w:rPr>
            </w:pPr>
          </w:p>
          <w:p w:rsidR="00480267" w:rsidRDefault="00480267" w:rsidP="009D659D">
            <w:pPr>
              <w:spacing w:line="360" w:lineRule="auto"/>
              <w:rPr>
                <w:rFonts w:cs="Arial"/>
                <w:sz w:val="28"/>
                <w:szCs w:val="28"/>
              </w:rPr>
            </w:pPr>
          </w:p>
        </w:tc>
      </w:tr>
    </w:tbl>
    <w:p w:rsidR="00665929" w:rsidRDefault="00217AF1" w:rsidP="009D659D">
      <w:pPr>
        <w:spacing w:line="360" w:lineRule="auto"/>
        <w:rPr>
          <w:rFonts w:cs="Arial"/>
          <w:sz w:val="28"/>
          <w:szCs w:val="28"/>
        </w:rPr>
      </w:pPr>
      <w:r>
        <w:rPr>
          <w:rFonts w:cs="Arial"/>
          <w:sz w:val="28"/>
          <w:szCs w:val="28"/>
        </w:rPr>
        <w:lastRenderedPageBreak/>
        <w:t>Como se aprecia, el último párrafo de la fracción II, y las fracciones V y VI del artículo 325 del Código Penal Federal establecen diferencias con relación al mismo delito tip</w:t>
      </w:r>
      <w:r w:rsidR="006461CD">
        <w:rPr>
          <w:rFonts w:cs="Arial"/>
          <w:sz w:val="28"/>
          <w:szCs w:val="28"/>
        </w:rPr>
        <w:t>ificado en nuestro Código Penal; de igual forma, la fracción VII n</w:t>
      </w:r>
      <w:r w:rsidR="009655E0">
        <w:rPr>
          <w:rFonts w:cs="Arial"/>
          <w:sz w:val="28"/>
          <w:szCs w:val="28"/>
        </w:rPr>
        <w:t>o incluye que el cuerpo se deja</w:t>
      </w:r>
      <w:r w:rsidR="006461CD">
        <w:rPr>
          <w:rFonts w:cs="Arial"/>
          <w:sz w:val="28"/>
          <w:szCs w:val="28"/>
        </w:rPr>
        <w:t>do en un lugar público en circunstancias que degraden o menosprecien a la víctima, ya que, de acuerdo al Código Penal Federal, basta con que se le deje en un lugar público.</w:t>
      </w:r>
    </w:p>
    <w:p w:rsidR="00217AF1" w:rsidRDefault="00217AF1" w:rsidP="009D659D">
      <w:pPr>
        <w:spacing w:line="360" w:lineRule="auto"/>
        <w:rPr>
          <w:rFonts w:cs="Arial"/>
          <w:sz w:val="28"/>
          <w:szCs w:val="28"/>
        </w:rPr>
      </w:pPr>
    </w:p>
    <w:p w:rsidR="00217AF1" w:rsidRPr="00732EC1" w:rsidRDefault="00217AF1" w:rsidP="009D659D">
      <w:pPr>
        <w:spacing w:line="360" w:lineRule="auto"/>
        <w:rPr>
          <w:rFonts w:cs="Arial"/>
          <w:sz w:val="28"/>
          <w:szCs w:val="28"/>
        </w:rPr>
      </w:pPr>
      <w:r>
        <w:rPr>
          <w:rFonts w:cs="Arial"/>
          <w:sz w:val="28"/>
          <w:szCs w:val="28"/>
        </w:rPr>
        <w:t>Por estas consideraciones y, en base al reclamo social y legislativo para que este delito sea homologado en todo el país, consideramos necesaria la presente iniciativa de reforma.</w:t>
      </w:r>
    </w:p>
    <w:p w:rsidR="00F762D5" w:rsidRPr="00F762D5" w:rsidRDefault="00F762D5" w:rsidP="00774181">
      <w:pPr>
        <w:spacing w:line="360" w:lineRule="auto"/>
        <w:rPr>
          <w:rFonts w:cs="Arial"/>
          <w:sz w:val="24"/>
          <w:szCs w:val="24"/>
        </w:rPr>
      </w:pPr>
    </w:p>
    <w:p w:rsidR="00774181" w:rsidRPr="00C90F61" w:rsidRDefault="00774181" w:rsidP="00774181">
      <w:pPr>
        <w:spacing w:line="360" w:lineRule="auto"/>
        <w:rPr>
          <w:rFonts w:cs="Arial"/>
          <w:sz w:val="28"/>
          <w:szCs w:val="28"/>
        </w:rPr>
      </w:pPr>
      <w:r w:rsidRPr="00C90F61">
        <w:rPr>
          <w:rFonts w:cs="Arial"/>
          <w:sz w:val="28"/>
          <w:szCs w:val="28"/>
        </w:rPr>
        <w:t>Por todo lo expuesto, tenemos a bien presentar la presente iniciativa con proyecto de:</w:t>
      </w:r>
    </w:p>
    <w:p w:rsidR="00774181" w:rsidRPr="00C90F61" w:rsidRDefault="00774181" w:rsidP="00774181">
      <w:pPr>
        <w:spacing w:line="360" w:lineRule="auto"/>
        <w:jc w:val="center"/>
        <w:rPr>
          <w:rFonts w:cs="Arial"/>
          <w:sz w:val="28"/>
          <w:szCs w:val="28"/>
        </w:rPr>
      </w:pPr>
      <w:r w:rsidRPr="00C90F61">
        <w:rPr>
          <w:rFonts w:cs="Arial"/>
          <w:sz w:val="28"/>
          <w:szCs w:val="28"/>
        </w:rPr>
        <w:t>DECRETO</w:t>
      </w:r>
    </w:p>
    <w:p w:rsidR="00774181" w:rsidRPr="00C90F61" w:rsidRDefault="00774181" w:rsidP="00774181">
      <w:pPr>
        <w:spacing w:line="360" w:lineRule="auto"/>
        <w:rPr>
          <w:rFonts w:cs="Arial"/>
          <w:b/>
          <w:sz w:val="28"/>
          <w:szCs w:val="28"/>
        </w:rPr>
      </w:pPr>
    </w:p>
    <w:p w:rsidR="00774181" w:rsidRDefault="00774181" w:rsidP="00774181">
      <w:pPr>
        <w:spacing w:line="360" w:lineRule="auto"/>
        <w:rPr>
          <w:rFonts w:cs="Arial"/>
          <w:sz w:val="28"/>
          <w:szCs w:val="28"/>
        </w:rPr>
      </w:pPr>
      <w:r w:rsidRPr="00751A45">
        <w:rPr>
          <w:rFonts w:cs="Arial"/>
          <w:b/>
          <w:sz w:val="28"/>
          <w:szCs w:val="28"/>
        </w:rPr>
        <w:t>ARTÍCULO ÚNICO</w:t>
      </w:r>
      <w:r w:rsidR="00217AF1">
        <w:rPr>
          <w:rFonts w:cs="Arial"/>
          <w:b/>
          <w:sz w:val="28"/>
          <w:szCs w:val="28"/>
        </w:rPr>
        <w:t>: Se modifica el contenido de</w:t>
      </w:r>
      <w:r w:rsidR="00317904">
        <w:rPr>
          <w:rFonts w:cs="Arial"/>
          <w:b/>
          <w:sz w:val="28"/>
          <w:szCs w:val="28"/>
        </w:rPr>
        <w:t>l segundo párrafo, y se modifica también el contenido de</w:t>
      </w:r>
      <w:r w:rsidR="00217AF1">
        <w:rPr>
          <w:rFonts w:cs="Arial"/>
          <w:b/>
          <w:sz w:val="28"/>
          <w:szCs w:val="28"/>
        </w:rPr>
        <w:t xml:space="preserve"> la fracción</w:t>
      </w:r>
      <w:r w:rsidR="00317904">
        <w:rPr>
          <w:rFonts w:cs="Arial"/>
          <w:b/>
          <w:sz w:val="28"/>
          <w:szCs w:val="28"/>
        </w:rPr>
        <w:t xml:space="preserve"> II;  agregando</w:t>
      </w:r>
      <w:r w:rsidR="00974ECE">
        <w:rPr>
          <w:rFonts w:cs="Arial"/>
          <w:b/>
          <w:sz w:val="28"/>
          <w:szCs w:val="28"/>
        </w:rPr>
        <w:t xml:space="preserve"> un nuevo contenido a la fracción</w:t>
      </w:r>
      <w:r w:rsidR="00217AF1">
        <w:rPr>
          <w:rFonts w:cs="Arial"/>
          <w:b/>
          <w:sz w:val="28"/>
          <w:szCs w:val="28"/>
        </w:rPr>
        <w:t xml:space="preserve"> V, recorriendo el contenido actual a la fracción VII, que</w:t>
      </w:r>
      <w:r w:rsidR="00974ECE">
        <w:rPr>
          <w:rFonts w:cs="Arial"/>
          <w:b/>
          <w:sz w:val="28"/>
          <w:szCs w:val="28"/>
        </w:rPr>
        <w:t xml:space="preserve"> se crea</w:t>
      </w:r>
      <w:r w:rsidR="006461CD">
        <w:rPr>
          <w:rFonts w:cs="Arial"/>
          <w:b/>
          <w:sz w:val="28"/>
          <w:szCs w:val="28"/>
        </w:rPr>
        <w:t xml:space="preserve"> y modifica en su texto</w:t>
      </w:r>
      <w:r w:rsidR="00974ECE">
        <w:rPr>
          <w:rFonts w:cs="Arial"/>
          <w:b/>
          <w:sz w:val="28"/>
          <w:szCs w:val="28"/>
        </w:rPr>
        <w:t>, al tiempo que se crea</w:t>
      </w:r>
      <w:r w:rsidR="00217AF1">
        <w:rPr>
          <w:rFonts w:cs="Arial"/>
          <w:b/>
          <w:sz w:val="28"/>
          <w:szCs w:val="28"/>
        </w:rPr>
        <w:t xml:space="preserve"> también la fracción VI del artículo 188 </w:t>
      </w:r>
      <w:r w:rsidR="00F762D5">
        <w:rPr>
          <w:rFonts w:cs="Arial"/>
          <w:b/>
          <w:sz w:val="28"/>
          <w:szCs w:val="28"/>
        </w:rPr>
        <w:t xml:space="preserve"> del </w:t>
      </w:r>
      <w:r w:rsidR="009D659D">
        <w:rPr>
          <w:rFonts w:cs="Arial"/>
          <w:b/>
          <w:sz w:val="28"/>
          <w:szCs w:val="28"/>
        </w:rPr>
        <w:t xml:space="preserve"> Código Penal de Coahuila</w:t>
      </w:r>
      <w:r w:rsidR="006774B3">
        <w:rPr>
          <w:rFonts w:cs="Arial"/>
          <w:b/>
          <w:sz w:val="28"/>
          <w:szCs w:val="28"/>
        </w:rPr>
        <w:t xml:space="preserve"> de Zaragoza</w:t>
      </w:r>
      <w:r w:rsidRPr="00751A45">
        <w:rPr>
          <w:rFonts w:cs="Arial"/>
          <w:b/>
          <w:sz w:val="28"/>
          <w:szCs w:val="28"/>
        </w:rPr>
        <w:t>, para quedar como sigue</w:t>
      </w:r>
      <w:r>
        <w:rPr>
          <w:rFonts w:cs="Arial"/>
          <w:sz w:val="28"/>
          <w:szCs w:val="28"/>
        </w:rPr>
        <w:t>:</w:t>
      </w:r>
    </w:p>
    <w:p w:rsidR="00774181" w:rsidRDefault="00774181" w:rsidP="00774181">
      <w:pPr>
        <w:rPr>
          <w:rFonts w:eastAsia="Calibri" w:cs="Arial"/>
          <w:b/>
          <w:sz w:val="32"/>
          <w:szCs w:val="32"/>
        </w:rPr>
      </w:pPr>
    </w:p>
    <w:p w:rsidR="00317904" w:rsidRDefault="009D659D" w:rsidP="00317904">
      <w:pPr>
        <w:rPr>
          <w:rFonts w:cs="Arial"/>
          <w:b/>
          <w:bCs/>
          <w:sz w:val="28"/>
          <w:szCs w:val="28"/>
        </w:rPr>
      </w:pPr>
      <w:r>
        <w:rPr>
          <w:rFonts w:cs="Arial"/>
          <w:b/>
          <w:bCs/>
          <w:sz w:val="28"/>
          <w:szCs w:val="28"/>
        </w:rPr>
        <w:t xml:space="preserve"> </w:t>
      </w:r>
      <w:r w:rsidR="00317904" w:rsidRPr="00317904">
        <w:rPr>
          <w:rFonts w:cs="Arial"/>
          <w:b/>
          <w:bCs/>
          <w:sz w:val="28"/>
          <w:szCs w:val="28"/>
        </w:rPr>
        <w:t xml:space="preserve">Artículo 188 </w:t>
      </w:r>
      <w:r w:rsidR="00317904">
        <w:rPr>
          <w:rFonts w:cs="Arial"/>
          <w:b/>
          <w:bCs/>
          <w:sz w:val="28"/>
          <w:szCs w:val="28"/>
        </w:rPr>
        <w:t>Primer párrafo….</w:t>
      </w:r>
    </w:p>
    <w:p w:rsidR="00317904" w:rsidRPr="00317904" w:rsidRDefault="00317904" w:rsidP="00317904">
      <w:pPr>
        <w:rPr>
          <w:rFonts w:cs="Arial"/>
          <w:b/>
          <w:bCs/>
          <w:sz w:val="28"/>
          <w:szCs w:val="28"/>
        </w:rPr>
      </w:pPr>
    </w:p>
    <w:p w:rsidR="00317904" w:rsidRPr="00317904" w:rsidRDefault="00317904" w:rsidP="00317904">
      <w:pPr>
        <w:rPr>
          <w:rFonts w:cs="Arial"/>
          <w:bCs/>
          <w:sz w:val="28"/>
          <w:szCs w:val="28"/>
        </w:rPr>
      </w:pPr>
      <w:r w:rsidRPr="00317904">
        <w:rPr>
          <w:rFonts w:cs="Arial"/>
          <w:bCs/>
          <w:sz w:val="28"/>
          <w:szCs w:val="28"/>
        </w:rPr>
        <w:t xml:space="preserve">Se aplicará prisión de </w:t>
      </w:r>
      <w:r w:rsidRPr="00317904">
        <w:rPr>
          <w:rFonts w:cs="Arial"/>
          <w:b/>
          <w:bCs/>
          <w:sz w:val="28"/>
          <w:szCs w:val="28"/>
        </w:rPr>
        <w:t>cuarenta a sesenta</w:t>
      </w:r>
      <w:r w:rsidRPr="00317904">
        <w:rPr>
          <w:rFonts w:cs="Arial"/>
          <w:bCs/>
          <w:sz w:val="28"/>
          <w:szCs w:val="28"/>
        </w:rPr>
        <w:t xml:space="preserve"> años y multa, al que prive de la vida a una mujer por razón de género. Se considera que existe razón de género cuando concurra cualquiera de las siguientes circunstancias: </w:t>
      </w:r>
    </w:p>
    <w:p w:rsidR="00317904" w:rsidRPr="00317904" w:rsidRDefault="00317904" w:rsidP="00317904">
      <w:pPr>
        <w:rPr>
          <w:rFonts w:cs="Arial"/>
          <w:bCs/>
          <w:sz w:val="28"/>
          <w:szCs w:val="28"/>
        </w:rPr>
      </w:pPr>
    </w:p>
    <w:p w:rsidR="00317904" w:rsidRPr="00317904" w:rsidRDefault="00317904" w:rsidP="00317904">
      <w:pPr>
        <w:rPr>
          <w:rFonts w:cs="Arial"/>
          <w:bCs/>
          <w:sz w:val="28"/>
          <w:szCs w:val="28"/>
        </w:rPr>
      </w:pPr>
      <w:r>
        <w:rPr>
          <w:rFonts w:cs="Arial"/>
          <w:bCs/>
          <w:sz w:val="28"/>
          <w:szCs w:val="28"/>
        </w:rPr>
        <w:t>I….</w:t>
      </w:r>
    </w:p>
    <w:p w:rsidR="00317904" w:rsidRPr="00317904" w:rsidRDefault="00317904" w:rsidP="00317904">
      <w:pPr>
        <w:rPr>
          <w:rFonts w:cs="Arial"/>
          <w:bCs/>
          <w:sz w:val="28"/>
          <w:szCs w:val="28"/>
        </w:rPr>
      </w:pPr>
    </w:p>
    <w:p w:rsidR="00317904" w:rsidRPr="00317904" w:rsidRDefault="00317904" w:rsidP="00317904">
      <w:pPr>
        <w:rPr>
          <w:rFonts w:cs="Arial"/>
          <w:b/>
          <w:bCs/>
          <w:sz w:val="28"/>
          <w:szCs w:val="28"/>
        </w:rPr>
      </w:pPr>
      <w:r w:rsidRPr="00317904">
        <w:rPr>
          <w:rFonts w:cs="Arial"/>
          <w:bCs/>
          <w:sz w:val="28"/>
          <w:szCs w:val="28"/>
        </w:rPr>
        <w:t xml:space="preserve">II. </w:t>
      </w:r>
      <w:r w:rsidRPr="00317904">
        <w:rPr>
          <w:rFonts w:cs="Arial"/>
          <w:bCs/>
          <w:sz w:val="28"/>
          <w:szCs w:val="28"/>
        </w:rPr>
        <w:tab/>
        <w:t>Se le haya infligido por el sujeto activo una o más lesiones o mutilaciones infamantes o degradantes en zonas genitales o en cualquier otra, previa o posteriormente a la privación d</w:t>
      </w:r>
      <w:r>
        <w:rPr>
          <w:rFonts w:cs="Arial"/>
          <w:bCs/>
          <w:sz w:val="28"/>
          <w:szCs w:val="28"/>
        </w:rPr>
        <w:t xml:space="preserve">e la vida </w:t>
      </w:r>
      <w:r w:rsidRPr="00317904">
        <w:rPr>
          <w:rFonts w:cs="Arial"/>
          <w:b/>
          <w:bCs/>
          <w:sz w:val="28"/>
          <w:szCs w:val="28"/>
        </w:rPr>
        <w:t>o actos de necrofilia</w:t>
      </w:r>
      <w:r>
        <w:rPr>
          <w:rFonts w:cs="Arial"/>
          <w:b/>
          <w:bCs/>
          <w:sz w:val="28"/>
          <w:szCs w:val="28"/>
        </w:rPr>
        <w:t>.</w:t>
      </w:r>
    </w:p>
    <w:p w:rsidR="00317904" w:rsidRPr="00317904" w:rsidRDefault="00317904" w:rsidP="00317904">
      <w:pPr>
        <w:rPr>
          <w:rFonts w:cs="Arial"/>
          <w:bCs/>
          <w:sz w:val="28"/>
          <w:szCs w:val="28"/>
        </w:rPr>
      </w:pPr>
    </w:p>
    <w:p w:rsidR="00317904" w:rsidRPr="00317904" w:rsidRDefault="00317904" w:rsidP="00317904">
      <w:pPr>
        <w:rPr>
          <w:rFonts w:cs="Arial"/>
          <w:bCs/>
          <w:sz w:val="28"/>
          <w:szCs w:val="28"/>
        </w:rPr>
      </w:pPr>
      <w:r>
        <w:rPr>
          <w:rFonts w:cs="Arial"/>
          <w:bCs/>
          <w:sz w:val="28"/>
          <w:szCs w:val="28"/>
        </w:rPr>
        <w:t>III….</w:t>
      </w:r>
    </w:p>
    <w:p w:rsidR="00317904" w:rsidRPr="00317904" w:rsidRDefault="00317904" w:rsidP="00317904">
      <w:pPr>
        <w:rPr>
          <w:rFonts w:cs="Arial"/>
          <w:bCs/>
          <w:sz w:val="28"/>
          <w:szCs w:val="28"/>
        </w:rPr>
      </w:pPr>
    </w:p>
    <w:p w:rsidR="00317904" w:rsidRPr="00317904" w:rsidRDefault="00317904" w:rsidP="00317904">
      <w:pPr>
        <w:rPr>
          <w:rFonts w:cs="Arial"/>
          <w:bCs/>
          <w:sz w:val="28"/>
          <w:szCs w:val="28"/>
        </w:rPr>
      </w:pPr>
      <w:r>
        <w:rPr>
          <w:rFonts w:cs="Arial"/>
          <w:bCs/>
          <w:sz w:val="28"/>
          <w:szCs w:val="28"/>
        </w:rPr>
        <w:t>IV….</w:t>
      </w:r>
    </w:p>
    <w:p w:rsidR="00317904" w:rsidRPr="00317904" w:rsidRDefault="00317904" w:rsidP="00317904">
      <w:pPr>
        <w:rPr>
          <w:rFonts w:cs="Arial"/>
          <w:bCs/>
          <w:sz w:val="28"/>
          <w:szCs w:val="28"/>
        </w:rPr>
      </w:pPr>
    </w:p>
    <w:p w:rsidR="00317904" w:rsidRPr="006461CD" w:rsidRDefault="00317904" w:rsidP="00317904">
      <w:pPr>
        <w:rPr>
          <w:rFonts w:cs="Arial"/>
          <w:b/>
          <w:bCs/>
          <w:sz w:val="28"/>
          <w:szCs w:val="28"/>
        </w:rPr>
      </w:pPr>
      <w:r w:rsidRPr="006461CD">
        <w:rPr>
          <w:rFonts w:cs="Arial"/>
          <w:b/>
          <w:bCs/>
          <w:sz w:val="28"/>
          <w:szCs w:val="28"/>
        </w:rPr>
        <w:t>V. Existan datos que establezcan que hubo amenazas relacionadas con el hecho delictuoso, acoso o lesiones del sujeto activo en contra de la víctima;</w:t>
      </w:r>
    </w:p>
    <w:p w:rsidR="00317904" w:rsidRPr="006461CD" w:rsidRDefault="00317904" w:rsidP="00317904">
      <w:pPr>
        <w:rPr>
          <w:rFonts w:cs="Arial"/>
          <w:b/>
          <w:bCs/>
          <w:sz w:val="28"/>
          <w:szCs w:val="28"/>
        </w:rPr>
      </w:pPr>
    </w:p>
    <w:p w:rsidR="00317904" w:rsidRPr="006461CD" w:rsidRDefault="00317904" w:rsidP="00317904">
      <w:pPr>
        <w:rPr>
          <w:rFonts w:cs="Arial"/>
          <w:b/>
          <w:bCs/>
          <w:sz w:val="28"/>
          <w:szCs w:val="28"/>
        </w:rPr>
      </w:pPr>
      <w:r w:rsidRPr="006461CD">
        <w:rPr>
          <w:rFonts w:cs="Arial"/>
          <w:b/>
          <w:bCs/>
          <w:sz w:val="28"/>
          <w:szCs w:val="28"/>
        </w:rPr>
        <w:lastRenderedPageBreak/>
        <w:t>VI. La víctima haya sido incomunicada, cualquiera que sea el tiempo previo a la privación de la vida;</w:t>
      </w:r>
    </w:p>
    <w:p w:rsidR="00317904" w:rsidRPr="006461CD" w:rsidRDefault="00317904" w:rsidP="00317904">
      <w:pPr>
        <w:rPr>
          <w:rFonts w:cs="Arial"/>
          <w:b/>
          <w:bCs/>
          <w:sz w:val="28"/>
          <w:szCs w:val="28"/>
        </w:rPr>
      </w:pPr>
    </w:p>
    <w:p w:rsidR="00365BD3" w:rsidRPr="006461CD" w:rsidRDefault="006461CD" w:rsidP="00317904">
      <w:pPr>
        <w:rPr>
          <w:rFonts w:cs="Arial"/>
          <w:b/>
          <w:sz w:val="28"/>
          <w:szCs w:val="28"/>
        </w:rPr>
      </w:pPr>
      <w:r w:rsidRPr="006461CD">
        <w:rPr>
          <w:rFonts w:cs="Arial"/>
          <w:b/>
          <w:bCs/>
          <w:sz w:val="28"/>
          <w:szCs w:val="28"/>
        </w:rPr>
        <w:t>VI</w:t>
      </w:r>
      <w:r>
        <w:rPr>
          <w:rFonts w:cs="Arial"/>
          <w:b/>
          <w:bCs/>
          <w:sz w:val="28"/>
          <w:szCs w:val="28"/>
        </w:rPr>
        <w:t>I</w:t>
      </w:r>
      <w:r w:rsidRPr="006461CD">
        <w:rPr>
          <w:rFonts w:cs="Arial"/>
          <w:b/>
          <w:bCs/>
          <w:sz w:val="28"/>
          <w:szCs w:val="28"/>
        </w:rPr>
        <w:t xml:space="preserve">. </w:t>
      </w:r>
      <w:r w:rsidR="00317904" w:rsidRPr="006461CD">
        <w:rPr>
          <w:rFonts w:cs="Arial"/>
          <w:b/>
          <w:bCs/>
          <w:sz w:val="28"/>
          <w:szCs w:val="28"/>
        </w:rPr>
        <w:t xml:space="preserve">El cuerpo sea expuesto, depositado </w:t>
      </w:r>
      <w:r>
        <w:rPr>
          <w:rFonts w:cs="Arial"/>
          <w:b/>
          <w:bCs/>
          <w:sz w:val="28"/>
          <w:szCs w:val="28"/>
        </w:rPr>
        <w:t>o arrojado en un lugar público.</w:t>
      </w:r>
    </w:p>
    <w:p w:rsidR="00365BD3" w:rsidRPr="00317904" w:rsidRDefault="00365BD3" w:rsidP="00365BD3">
      <w:pPr>
        <w:rPr>
          <w:rFonts w:cs="Arial"/>
          <w:sz w:val="28"/>
          <w:szCs w:val="28"/>
        </w:rPr>
      </w:pPr>
      <w:r w:rsidRPr="00317904">
        <w:rPr>
          <w:rFonts w:cs="Arial"/>
          <w:sz w:val="28"/>
          <w:szCs w:val="28"/>
        </w:rPr>
        <w:t>……</w:t>
      </w:r>
    </w:p>
    <w:p w:rsidR="00F762D5" w:rsidRPr="00317904" w:rsidRDefault="00F762D5" w:rsidP="00774181">
      <w:pPr>
        <w:rPr>
          <w:rFonts w:eastAsia="Calibri" w:cs="Arial"/>
          <w:sz w:val="28"/>
          <w:szCs w:val="28"/>
        </w:rPr>
      </w:pPr>
    </w:p>
    <w:p w:rsidR="00774181" w:rsidRPr="00C90F61" w:rsidRDefault="00774181" w:rsidP="00774181">
      <w:pPr>
        <w:spacing w:line="360" w:lineRule="auto"/>
        <w:jc w:val="center"/>
        <w:rPr>
          <w:rFonts w:cs="Arial"/>
          <w:sz w:val="28"/>
          <w:szCs w:val="28"/>
        </w:rPr>
      </w:pPr>
      <w:r w:rsidRPr="00C90F61">
        <w:rPr>
          <w:rFonts w:cs="Arial"/>
          <w:sz w:val="28"/>
          <w:szCs w:val="28"/>
        </w:rPr>
        <w:t>TRANSITORIOS</w:t>
      </w:r>
    </w:p>
    <w:p w:rsidR="00774181" w:rsidRPr="00C90F61" w:rsidRDefault="00774181" w:rsidP="00774181">
      <w:pPr>
        <w:spacing w:line="360" w:lineRule="auto"/>
        <w:rPr>
          <w:rFonts w:cs="Arial"/>
          <w:sz w:val="28"/>
          <w:szCs w:val="28"/>
        </w:rPr>
      </w:pPr>
    </w:p>
    <w:p w:rsidR="00774181" w:rsidRDefault="00F762D5" w:rsidP="00774181">
      <w:pPr>
        <w:spacing w:line="360" w:lineRule="auto"/>
        <w:rPr>
          <w:rFonts w:cs="Arial"/>
          <w:sz w:val="28"/>
          <w:szCs w:val="28"/>
        </w:rPr>
      </w:pPr>
      <w:r>
        <w:rPr>
          <w:rFonts w:cs="Arial"/>
          <w:sz w:val="28"/>
          <w:szCs w:val="28"/>
        </w:rPr>
        <w:t>Único</w:t>
      </w:r>
      <w:r w:rsidR="00774181" w:rsidRPr="00C90F61">
        <w:rPr>
          <w:rFonts w:cs="Arial"/>
          <w:sz w:val="28"/>
          <w:szCs w:val="28"/>
        </w:rPr>
        <w:t>. -  El presente Decreto entrará en vigor al día siguiente de su publicación en el Periódico Oficial del Estado.</w:t>
      </w:r>
    </w:p>
    <w:p w:rsidR="00774181" w:rsidRDefault="00774181" w:rsidP="00774181">
      <w:pPr>
        <w:spacing w:line="360" w:lineRule="auto"/>
        <w:rPr>
          <w:rFonts w:cs="Arial"/>
          <w:sz w:val="28"/>
          <w:szCs w:val="28"/>
        </w:rPr>
      </w:pPr>
    </w:p>
    <w:p w:rsidR="00774181" w:rsidRPr="00C90F61" w:rsidRDefault="00F762D5" w:rsidP="00774181">
      <w:pPr>
        <w:spacing w:line="360" w:lineRule="auto"/>
        <w:rPr>
          <w:rFonts w:cs="Arial"/>
          <w:sz w:val="28"/>
          <w:szCs w:val="28"/>
        </w:rPr>
      </w:pPr>
      <w:r>
        <w:rPr>
          <w:rFonts w:cs="Arial"/>
          <w:color w:val="FF0000"/>
          <w:sz w:val="28"/>
          <w:szCs w:val="28"/>
        </w:rPr>
        <w:t xml:space="preserve"> </w:t>
      </w:r>
    </w:p>
    <w:p w:rsidR="00774181" w:rsidRPr="00C90F61" w:rsidRDefault="00774181" w:rsidP="00ED78CD">
      <w:pPr>
        <w:pStyle w:val="Ttulo5"/>
        <w:spacing w:line="360" w:lineRule="auto"/>
        <w:jc w:val="center"/>
        <w:rPr>
          <w:rFonts w:ascii="Arial" w:hAnsi="Arial" w:cs="Arial"/>
          <w:color w:val="auto"/>
          <w:sz w:val="28"/>
          <w:szCs w:val="28"/>
          <w:lang w:val="es-ES_tradnl"/>
        </w:rPr>
      </w:pPr>
      <w:r w:rsidRPr="00C90F61">
        <w:rPr>
          <w:rFonts w:ascii="Arial" w:hAnsi="Arial" w:cs="Arial"/>
          <w:color w:val="auto"/>
          <w:sz w:val="28"/>
          <w:szCs w:val="28"/>
          <w:lang w:val="es-ES_tradnl"/>
        </w:rPr>
        <w:t>ATENTAMENTE</w:t>
      </w:r>
    </w:p>
    <w:p w:rsidR="00774181" w:rsidRDefault="00774181" w:rsidP="00ED78CD">
      <w:pPr>
        <w:spacing w:line="360" w:lineRule="auto"/>
        <w:jc w:val="center"/>
        <w:rPr>
          <w:rFonts w:cs="Arial"/>
          <w:sz w:val="28"/>
          <w:szCs w:val="28"/>
        </w:rPr>
      </w:pPr>
      <w:r w:rsidRPr="00C90F61">
        <w:rPr>
          <w:rFonts w:cs="Arial"/>
          <w:sz w:val="28"/>
          <w:szCs w:val="28"/>
        </w:rPr>
        <w:t>“POR UNA PATRIA ORDENADA Y GENEROSA Y UNA VIDA MEJOR Y MÁS DIGNA PARA TODOS”</w:t>
      </w:r>
    </w:p>
    <w:p w:rsidR="00692146" w:rsidRPr="00C90F61" w:rsidRDefault="00692146" w:rsidP="00ED78CD">
      <w:pPr>
        <w:spacing w:line="360" w:lineRule="auto"/>
        <w:jc w:val="center"/>
        <w:rPr>
          <w:rFonts w:cs="Arial"/>
          <w:sz w:val="28"/>
          <w:szCs w:val="28"/>
        </w:rPr>
      </w:pPr>
    </w:p>
    <w:p w:rsidR="00774181" w:rsidRPr="00C90F61" w:rsidRDefault="00774181" w:rsidP="00ED78CD">
      <w:pPr>
        <w:spacing w:line="360" w:lineRule="auto"/>
        <w:jc w:val="center"/>
        <w:rPr>
          <w:rFonts w:cs="Arial"/>
          <w:b/>
          <w:bCs/>
          <w:sz w:val="28"/>
          <w:szCs w:val="28"/>
        </w:rPr>
      </w:pPr>
      <w:r w:rsidRPr="00C90F61">
        <w:rPr>
          <w:rFonts w:cs="Arial"/>
          <w:b/>
          <w:bCs/>
          <w:sz w:val="28"/>
          <w:szCs w:val="28"/>
        </w:rPr>
        <w:t>GRUPO PARLAMENTARIO “DEL PARTIDO ACCION NACIONAL”</w:t>
      </w:r>
    </w:p>
    <w:p w:rsidR="00774181" w:rsidRPr="00C90F61" w:rsidRDefault="00774181" w:rsidP="00ED78CD">
      <w:pPr>
        <w:pStyle w:val="Ttulo2"/>
        <w:spacing w:line="360" w:lineRule="auto"/>
        <w:jc w:val="center"/>
        <w:rPr>
          <w:rFonts w:ascii="Arial" w:hAnsi="Arial" w:cs="Arial"/>
          <w:color w:val="auto"/>
          <w:sz w:val="28"/>
          <w:szCs w:val="28"/>
        </w:rPr>
      </w:pPr>
      <w:r w:rsidRPr="00C90F61">
        <w:rPr>
          <w:rFonts w:ascii="Arial" w:hAnsi="Arial" w:cs="Arial"/>
          <w:color w:val="auto"/>
          <w:sz w:val="28"/>
          <w:szCs w:val="28"/>
        </w:rPr>
        <w:t>Sa</w:t>
      </w:r>
      <w:r w:rsidR="009D659D">
        <w:rPr>
          <w:rFonts w:ascii="Arial" w:hAnsi="Arial" w:cs="Arial"/>
          <w:color w:val="auto"/>
          <w:sz w:val="28"/>
          <w:szCs w:val="28"/>
        </w:rPr>
        <w:t>ltillo, Coahuila de Zaragoza, 20</w:t>
      </w:r>
      <w:r>
        <w:rPr>
          <w:rFonts w:ascii="Arial" w:hAnsi="Arial" w:cs="Arial"/>
          <w:color w:val="auto"/>
          <w:sz w:val="28"/>
          <w:szCs w:val="28"/>
        </w:rPr>
        <w:t xml:space="preserve"> de marzo de 2019</w:t>
      </w:r>
    </w:p>
    <w:p w:rsidR="00ED78CD" w:rsidRPr="00876DE5" w:rsidRDefault="00ED78CD" w:rsidP="00ED78CD">
      <w:pPr>
        <w:rPr>
          <w:sz w:val="24"/>
          <w:szCs w:val="24"/>
        </w:rPr>
      </w:pPr>
      <w:r w:rsidRPr="00876DE5">
        <w:rPr>
          <w:noProof/>
          <w:sz w:val="24"/>
          <w:szCs w:val="24"/>
          <w:lang w:eastAsia="es-MX"/>
        </w:rPr>
        <w:t xml:space="preserve"> </w:t>
      </w:r>
    </w:p>
    <w:p w:rsidR="00ED78CD" w:rsidRPr="00876DE5" w:rsidRDefault="00ED78CD" w:rsidP="00ED78CD">
      <w:pPr>
        <w:jc w:val="center"/>
        <w:rPr>
          <w:rFonts w:cs="Arial"/>
          <w:b/>
          <w:sz w:val="24"/>
          <w:szCs w:val="24"/>
        </w:rPr>
      </w:pPr>
    </w:p>
    <w:p w:rsidR="00ED78CD" w:rsidRDefault="00ED78CD" w:rsidP="00ED78CD">
      <w:pPr>
        <w:tabs>
          <w:tab w:val="left" w:pos="5056"/>
        </w:tabs>
        <w:jc w:val="center"/>
        <w:rPr>
          <w:rFonts w:cs="Arial"/>
          <w:b/>
        </w:rPr>
      </w:pPr>
    </w:p>
    <w:p w:rsidR="00ED78CD" w:rsidRDefault="00ED78CD" w:rsidP="00ED78CD">
      <w:pPr>
        <w:tabs>
          <w:tab w:val="left" w:pos="5056"/>
        </w:tabs>
        <w:jc w:val="center"/>
        <w:rPr>
          <w:rFonts w:cs="Arial"/>
          <w:b/>
        </w:rPr>
      </w:pPr>
    </w:p>
    <w:p w:rsidR="00ED78CD" w:rsidRDefault="00ED78CD" w:rsidP="00ED78CD">
      <w:pPr>
        <w:tabs>
          <w:tab w:val="left" w:pos="5056"/>
        </w:tabs>
        <w:jc w:val="center"/>
        <w:rPr>
          <w:rFonts w:cs="Arial"/>
          <w:b/>
        </w:rPr>
      </w:pPr>
      <w:r>
        <w:rPr>
          <w:rFonts w:cs="Arial"/>
          <w:b/>
        </w:rPr>
        <w:t>DIP. MARIA EUGENIA CAZARES MARTINEZ</w:t>
      </w:r>
    </w:p>
    <w:p w:rsidR="00ED78CD" w:rsidRDefault="00ED78CD" w:rsidP="00ED78CD">
      <w:pPr>
        <w:tabs>
          <w:tab w:val="left" w:pos="5056"/>
        </w:tabs>
        <w:rPr>
          <w:rFonts w:cs="Arial"/>
          <w:b/>
        </w:rPr>
      </w:pPr>
    </w:p>
    <w:p w:rsidR="00ED78CD" w:rsidRDefault="00ED78CD" w:rsidP="00ED78CD">
      <w:pPr>
        <w:tabs>
          <w:tab w:val="left" w:pos="5056"/>
        </w:tabs>
        <w:rPr>
          <w:rFonts w:cs="Arial"/>
          <w:b/>
        </w:rPr>
      </w:pPr>
    </w:p>
    <w:p w:rsidR="00ED78CD" w:rsidRDefault="00ED78CD" w:rsidP="00ED78CD">
      <w:pPr>
        <w:tabs>
          <w:tab w:val="left" w:pos="5056"/>
        </w:tabs>
        <w:rPr>
          <w:rFonts w:cs="Arial"/>
          <w:b/>
        </w:rPr>
      </w:pPr>
    </w:p>
    <w:p w:rsidR="00ED78CD" w:rsidRDefault="00ED78CD" w:rsidP="00ED78CD">
      <w:pPr>
        <w:tabs>
          <w:tab w:val="left" w:pos="5056"/>
        </w:tabs>
        <w:rPr>
          <w:rFonts w:cs="Arial"/>
          <w:b/>
        </w:rPr>
      </w:pPr>
    </w:p>
    <w:p w:rsidR="00ED78CD" w:rsidRDefault="00ED78CD" w:rsidP="00ED78CD">
      <w:pPr>
        <w:tabs>
          <w:tab w:val="left" w:pos="5056"/>
        </w:tabs>
        <w:rPr>
          <w:rFonts w:cs="Arial"/>
          <w:b/>
        </w:rPr>
      </w:pPr>
    </w:p>
    <w:p w:rsidR="00ED78CD" w:rsidRDefault="00ED78CD" w:rsidP="00ED78CD">
      <w:pPr>
        <w:tabs>
          <w:tab w:val="left" w:pos="5056"/>
        </w:tabs>
        <w:rPr>
          <w:rFonts w:cs="Arial"/>
          <w:b/>
        </w:rPr>
      </w:pPr>
    </w:p>
    <w:p w:rsidR="00ED78CD" w:rsidRDefault="00ED78CD" w:rsidP="00ED78CD">
      <w:pPr>
        <w:tabs>
          <w:tab w:val="left" w:pos="5056"/>
        </w:tabs>
        <w:rPr>
          <w:rFonts w:cs="Arial"/>
          <w:b/>
        </w:rPr>
      </w:pPr>
    </w:p>
    <w:p w:rsidR="00ED78CD" w:rsidRDefault="00ED78CD" w:rsidP="00ED78CD">
      <w:pPr>
        <w:tabs>
          <w:tab w:val="left" w:pos="5056"/>
        </w:tabs>
        <w:rPr>
          <w:rFonts w:cs="Arial"/>
          <w:b/>
        </w:rPr>
      </w:pPr>
    </w:p>
    <w:p w:rsidR="00ED78CD" w:rsidRDefault="00ED78CD" w:rsidP="00ED78CD">
      <w:pPr>
        <w:tabs>
          <w:tab w:val="left" w:pos="5056"/>
        </w:tabs>
        <w:rPr>
          <w:rFonts w:cs="Arial"/>
          <w:b/>
        </w:rPr>
      </w:pPr>
      <w:r>
        <w:rPr>
          <w:rFonts w:cs="Arial"/>
          <w:b/>
        </w:rPr>
        <w:t>DIP. MARCELO DE JESUS TORRES CORIÑO</w:t>
      </w:r>
      <w:r>
        <w:rPr>
          <w:rFonts w:cs="Arial"/>
          <w:b/>
        </w:rPr>
        <w:tab/>
      </w:r>
      <w:r>
        <w:rPr>
          <w:rFonts w:cs="Arial"/>
          <w:b/>
        </w:rPr>
        <w:tab/>
        <w:t>DIP. BLANCA EPPEN CANALES</w:t>
      </w:r>
    </w:p>
    <w:p w:rsidR="00ED78CD" w:rsidRDefault="00ED78CD" w:rsidP="00ED78CD">
      <w:pPr>
        <w:tabs>
          <w:tab w:val="left" w:pos="5056"/>
        </w:tabs>
        <w:rPr>
          <w:rFonts w:cs="Arial"/>
          <w:b/>
        </w:rPr>
      </w:pPr>
    </w:p>
    <w:p w:rsidR="00ED78CD" w:rsidRDefault="00ED78CD" w:rsidP="00ED78CD">
      <w:pPr>
        <w:tabs>
          <w:tab w:val="left" w:pos="5056"/>
        </w:tabs>
        <w:rPr>
          <w:rFonts w:cs="Arial"/>
          <w:b/>
        </w:rPr>
      </w:pPr>
    </w:p>
    <w:p w:rsidR="00ED78CD" w:rsidRDefault="00ED78CD" w:rsidP="00ED78CD">
      <w:pPr>
        <w:tabs>
          <w:tab w:val="left" w:pos="5056"/>
        </w:tabs>
        <w:rPr>
          <w:rFonts w:cs="Arial"/>
          <w:b/>
        </w:rPr>
      </w:pPr>
    </w:p>
    <w:p w:rsidR="00ED78CD" w:rsidRDefault="00ED78CD" w:rsidP="00ED78CD">
      <w:pPr>
        <w:tabs>
          <w:tab w:val="left" w:pos="5056"/>
        </w:tabs>
        <w:ind w:right="-518"/>
        <w:rPr>
          <w:rFonts w:cs="Arial"/>
          <w:b/>
        </w:rPr>
      </w:pPr>
    </w:p>
    <w:p w:rsidR="00344F81" w:rsidRDefault="00344F81" w:rsidP="00ED78CD">
      <w:pPr>
        <w:tabs>
          <w:tab w:val="left" w:pos="5056"/>
        </w:tabs>
        <w:ind w:right="-518"/>
        <w:rPr>
          <w:rFonts w:cs="Arial"/>
          <w:b/>
        </w:rPr>
      </w:pPr>
    </w:p>
    <w:p w:rsidR="00344F81" w:rsidRDefault="00344F81" w:rsidP="00ED78CD">
      <w:pPr>
        <w:tabs>
          <w:tab w:val="left" w:pos="5056"/>
        </w:tabs>
        <w:ind w:right="-518"/>
        <w:rPr>
          <w:rFonts w:cs="Arial"/>
          <w:b/>
        </w:rPr>
      </w:pPr>
    </w:p>
    <w:p w:rsidR="00344F81" w:rsidRDefault="00344F81" w:rsidP="00ED78CD">
      <w:pPr>
        <w:tabs>
          <w:tab w:val="left" w:pos="5056"/>
        </w:tabs>
        <w:ind w:right="-518"/>
        <w:rPr>
          <w:rFonts w:cs="Arial"/>
          <w:b/>
        </w:rPr>
      </w:pPr>
    </w:p>
    <w:p w:rsidR="00344F81" w:rsidRDefault="00344F81" w:rsidP="00ED78CD">
      <w:pPr>
        <w:tabs>
          <w:tab w:val="left" w:pos="5056"/>
        </w:tabs>
        <w:ind w:right="-518"/>
        <w:rPr>
          <w:rFonts w:cs="Arial"/>
          <w:b/>
        </w:rPr>
      </w:pPr>
    </w:p>
    <w:p w:rsidR="00344F81" w:rsidRDefault="00344F81" w:rsidP="00ED78CD">
      <w:pPr>
        <w:tabs>
          <w:tab w:val="left" w:pos="5056"/>
        </w:tabs>
        <w:ind w:right="-518"/>
        <w:rPr>
          <w:rFonts w:cs="Arial"/>
          <w:b/>
        </w:rPr>
      </w:pPr>
    </w:p>
    <w:p w:rsidR="00344F81" w:rsidRDefault="00344F81" w:rsidP="00ED78CD">
      <w:pPr>
        <w:tabs>
          <w:tab w:val="left" w:pos="5056"/>
        </w:tabs>
        <w:ind w:right="-518"/>
        <w:rPr>
          <w:rFonts w:cs="Arial"/>
          <w:b/>
        </w:rPr>
      </w:pPr>
    </w:p>
    <w:p w:rsidR="00344F81" w:rsidRDefault="00344F81" w:rsidP="00ED78CD">
      <w:pPr>
        <w:tabs>
          <w:tab w:val="left" w:pos="5056"/>
        </w:tabs>
        <w:ind w:right="-518"/>
        <w:rPr>
          <w:rFonts w:cs="Arial"/>
          <w:b/>
        </w:rPr>
      </w:pPr>
    </w:p>
    <w:p w:rsidR="00ED78CD" w:rsidRDefault="00ED78CD" w:rsidP="00ED78CD">
      <w:pPr>
        <w:tabs>
          <w:tab w:val="left" w:pos="5056"/>
        </w:tabs>
        <w:ind w:right="-518"/>
        <w:rPr>
          <w:rFonts w:cs="Arial"/>
          <w:b/>
        </w:rPr>
      </w:pPr>
    </w:p>
    <w:p w:rsidR="00ED78CD" w:rsidRDefault="00ED78CD" w:rsidP="00ED78CD">
      <w:pPr>
        <w:tabs>
          <w:tab w:val="left" w:pos="5056"/>
        </w:tabs>
        <w:ind w:right="-518"/>
        <w:rPr>
          <w:rFonts w:cs="Arial"/>
          <w:b/>
        </w:rPr>
      </w:pPr>
    </w:p>
    <w:p w:rsidR="00ED78CD" w:rsidRDefault="00ED78CD" w:rsidP="00ED78CD">
      <w:pPr>
        <w:tabs>
          <w:tab w:val="left" w:pos="5056"/>
        </w:tabs>
        <w:ind w:right="-518"/>
        <w:rPr>
          <w:rFonts w:cs="Arial"/>
          <w:b/>
        </w:rPr>
      </w:pPr>
    </w:p>
    <w:p w:rsidR="00ED78CD" w:rsidRDefault="00ED78CD" w:rsidP="00ED78CD">
      <w:pPr>
        <w:tabs>
          <w:tab w:val="left" w:pos="5056"/>
        </w:tabs>
        <w:ind w:right="-518"/>
        <w:rPr>
          <w:rFonts w:cs="Arial"/>
          <w:b/>
        </w:rPr>
      </w:pPr>
    </w:p>
    <w:p w:rsidR="00ED78CD" w:rsidRDefault="00ED78CD" w:rsidP="00ED78CD">
      <w:pPr>
        <w:tabs>
          <w:tab w:val="left" w:pos="5056"/>
        </w:tabs>
        <w:ind w:right="-518"/>
        <w:rPr>
          <w:rFonts w:cs="Arial"/>
          <w:b/>
        </w:rPr>
      </w:pPr>
      <w:r>
        <w:rPr>
          <w:rFonts w:cs="Arial"/>
          <w:b/>
        </w:rPr>
        <w:t>DIP. JUAN CARLOS GUERRA LÓPEZ NEGRETE                   DIP. FERNANDO IZAGUIRRE VALDES</w:t>
      </w:r>
    </w:p>
    <w:p w:rsidR="00ED78CD" w:rsidRDefault="00ED78CD" w:rsidP="00ED78CD">
      <w:pPr>
        <w:tabs>
          <w:tab w:val="left" w:pos="5056"/>
        </w:tabs>
        <w:rPr>
          <w:rFonts w:cs="Arial"/>
          <w:b/>
        </w:rPr>
      </w:pPr>
    </w:p>
    <w:p w:rsidR="0080447E" w:rsidRDefault="0080447E" w:rsidP="00ED78CD">
      <w:pPr>
        <w:tabs>
          <w:tab w:val="left" w:pos="5056"/>
        </w:tabs>
        <w:rPr>
          <w:rFonts w:cs="Arial"/>
          <w:b/>
        </w:rPr>
      </w:pPr>
    </w:p>
    <w:p w:rsidR="0080447E" w:rsidRDefault="0080447E" w:rsidP="00ED78CD">
      <w:pPr>
        <w:tabs>
          <w:tab w:val="left" w:pos="5056"/>
        </w:tabs>
        <w:rPr>
          <w:rFonts w:cs="Arial"/>
          <w:b/>
        </w:rPr>
      </w:pPr>
    </w:p>
    <w:p w:rsidR="00ED78CD" w:rsidRDefault="00ED78CD" w:rsidP="00ED78CD">
      <w:pPr>
        <w:tabs>
          <w:tab w:val="left" w:pos="5056"/>
        </w:tabs>
        <w:rPr>
          <w:rFonts w:cs="Arial"/>
          <w:b/>
        </w:rPr>
      </w:pPr>
    </w:p>
    <w:p w:rsidR="00ED78CD" w:rsidRDefault="00ED78CD" w:rsidP="00ED78CD">
      <w:pPr>
        <w:tabs>
          <w:tab w:val="left" w:pos="5056"/>
        </w:tabs>
        <w:rPr>
          <w:rFonts w:cs="Arial"/>
          <w:b/>
        </w:rPr>
      </w:pPr>
    </w:p>
    <w:p w:rsidR="00ED78CD" w:rsidRDefault="00ED78CD" w:rsidP="00ED78CD">
      <w:pPr>
        <w:tabs>
          <w:tab w:val="left" w:pos="5056"/>
        </w:tabs>
        <w:rPr>
          <w:rFonts w:cs="Arial"/>
          <w:b/>
        </w:rPr>
      </w:pPr>
    </w:p>
    <w:p w:rsidR="00ED78CD" w:rsidRDefault="00ED78CD" w:rsidP="00ED78CD">
      <w:pPr>
        <w:tabs>
          <w:tab w:val="left" w:pos="5056"/>
        </w:tabs>
        <w:rPr>
          <w:rFonts w:cs="Arial"/>
          <w:b/>
        </w:rPr>
      </w:pPr>
    </w:p>
    <w:p w:rsidR="00ED78CD" w:rsidRDefault="00ED78CD" w:rsidP="00ED78CD">
      <w:pPr>
        <w:tabs>
          <w:tab w:val="left" w:pos="5056"/>
        </w:tabs>
        <w:rPr>
          <w:rFonts w:cs="Arial"/>
          <w:b/>
        </w:rPr>
      </w:pPr>
    </w:p>
    <w:p w:rsidR="00ED78CD" w:rsidRDefault="00ED78CD" w:rsidP="00ED78CD">
      <w:pPr>
        <w:tabs>
          <w:tab w:val="left" w:pos="5056"/>
        </w:tabs>
        <w:rPr>
          <w:rFonts w:cs="Arial"/>
          <w:b/>
        </w:rPr>
      </w:pPr>
      <w:r>
        <w:rPr>
          <w:rFonts w:cs="Arial"/>
          <w:b/>
        </w:rPr>
        <w:t>DIP. ROSA NILDA GONZÁLEZ NORIEGA                    DIP. GABRIELA ZAPOPAN GARZA GALVÁN</w:t>
      </w:r>
    </w:p>
    <w:p w:rsidR="00ED78CD" w:rsidRDefault="00ED78CD" w:rsidP="00ED78CD">
      <w:pPr>
        <w:tabs>
          <w:tab w:val="left" w:pos="5056"/>
        </w:tabs>
        <w:rPr>
          <w:rFonts w:cs="Arial"/>
          <w:b/>
        </w:rPr>
      </w:pPr>
    </w:p>
    <w:p w:rsidR="00ED78CD" w:rsidRDefault="00ED78CD" w:rsidP="00ED78CD">
      <w:pPr>
        <w:tabs>
          <w:tab w:val="left" w:pos="5056"/>
        </w:tabs>
        <w:rPr>
          <w:rFonts w:cs="Arial"/>
          <w:b/>
        </w:rPr>
      </w:pPr>
    </w:p>
    <w:p w:rsidR="0080447E" w:rsidRDefault="0080447E" w:rsidP="00ED78CD">
      <w:pPr>
        <w:tabs>
          <w:tab w:val="left" w:pos="5056"/>
        </w:tabs>
        <w:rPr>
          <w:rFonts w:cs="Arial"/>
          <w:b/>
        </w:rPr>
      </w:pPr>
    </w:p>
    <w:p w:rsidR="0080447E" w:rsidRDefault="0080447E" w:rsidP="00ED78CD">
      <w:pPr>
        <w:tabs>
          <w:tab w:val="left" w:pos="5056"/>
        </w:tabs>
        <w:rPr>
          <w:rFonts w:cs="Arial"/>
          <w:b/>
        </w:rPr>
      </w:pPr>
    </w:p>
    <w:p w:rsidR="00ED78CD" w:rsidRDefault="00ED78CD" w:rsidP="00ED78CD">
      <w:pPr>
        <w:tabs>
          <w:tab w:val="left" w:pos="5056"/>
        </w:tabs>
        <w:rPr>
          <w:rFonts w:cs="Arial"/>
          <w:b/>
        </w:rPr>
      </w:pPr>
    </w:p>
    <w:p w:rsidR="00ED78CD" w:rsidRDefault="00ED78CD" w:rsidP="00ED78CD">
      <w:pPr>
        <w:tabs>
          <w:tab w:val="left" w:pos="5056"/>
        </w:tabs>
        <w:rPr>
          <w:rFonts w:cs="Arial"/>
          <w:b/>
        </w:rPr>
      </w:pPr>
    </w:p>
    <w:p w:rsidR="00ED78CD" w:rsidRDefault="00ED78CD" w:rsidP="00ED78CD">
      <w:pPr>
        <w:tabs>
          <w:tab w:val="left" w:pos="5056"/>
        </w:tabs>
        <w:rPr>
          <w:rFonts w:cs="Arial"/>
          <w:b/>
        </w:rPr>
      </w:pPr>
      <w:r>
        <w:rPr>
          <w:rFonts w:cs="Arial"/>
          <w:b/>
        </w:rPr>
        <w:t>DIP. JUAN ANTONIO GARCÍA VILLA                  DIP. GERARDO ABRAHAM AGUADO GÓMEZ</w:t>
      </w:r>
    </w:p>
    <w:p w:rsidR="00774181" w:rsidRDefault="00774181" w:rsidP="00F74E69"/>
    <w:p w:rsidR="00344F81" w:rsidRDefault="00344F81" w:rsidP="00F74E69"/>
    <w:p w:rsidR="00344F81" w:rsidRDefault="00344F81" w:rsidP="00F74E69"/>
    <w:p w:rsidR="00344F81" w:rsidRPr="00F74E69" w:rsidRDefault="00344F81" w:rsidP="00F74E69"/>
    <w:sectPr w:rsidR="00344F81" w:rsidRPr="00F74E69" w:rsidSect="00C22A44">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5F2" w:rsidRDefault="00E465F2" w:rsidP="00FC24F1">
      <w:r>
        <w:separator/>
      </w:r>
    </w:p>
  </w:endnote>
  <w:endnote w:type="continuationSeparator" w:id="0">
    <w:p w:rsidR="00E465F2" w:rsidRDefault="00E465F2" w:rsidP="00FC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5F2" w:rsidRDefault="00E465F2" w:rsidP="00FC24F1">
      <w:r>
        <w:separator/>
      </w:r>
    </w:p>
  </w:footnote>
  <w:footnote w:type="continuationSeparator" w:id="0">
    <w:p w:rsidR="00E465F2" w:rsidRDefault="00E465F2" w:rsidP="00FC2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F1" w:rsidRPr="00F81E38" w:rsidRDefault="00C22A44" w:rsidP="00FC24F1">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1A7001E4" wp14:editId="5605571A">
          <wp:simplePos x="0" y="0"/>
          <wp:positionH relativeFrom="column">
            <wp:posOffset>5455260</wp:posOffset>
          </wp:positionH>
          <wp:positionV relativeFrom="paragraph">
            <wp:posOffset>-49251</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4F094DC3" wp14:editId="32F9017D">
          <wp:simplePos x="0" y="0"/>
          <wp:positionH relativeFrom="column">
            <wp:posOffset>-315925</wp:posOffset>
          </wp:positionH>
          <wp:positionV relativeFrom="paragraph">
            <wp:posOffset>-51435</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4F1" w:rsidRPr="00F81E38">
      <w:rPr>
        <w:rFonts w:ascii="Times New Roman" w:hAnsi="Times New Roman" w:cs="Arial"/>
        <w:bCs/>
        <w:smallCaps/>
        <w:spacing w:val="20"/>
        <w:sz w:val="32"/>
        <w:szCs w:val="32"/>
      </w:rPr>
      <w:t xml:space="preserve">Congreso del Estado Independiente, </w:t>
    </w:r>
  </w:p>
  <w:p w:rsidR="00FC24F1" w:rsidRPr="00F81E38" w:rsidRDefault="00FC24F1" w:rsidP="00FC24F1">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FC24F1" w:rsidRDefault="00FC24F1" w:rsidP="00FC24F1">
    <w:pPr>
      <w:pStyle w:val="Encabezado"/>
      <w:ind w:right="49"/>
      <w:jc w:val="center"/>
    </w:pPr>
  </w:p>
  <w:p w:rsidR="00FC24F1" w:rsidRPr="00792090" w:rsidRDefault="0082342B" w:rsidP="00FC24F1">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FC24F1" w:rsidRDefault="00FC24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 w15:restartNumberingAfterBreak="0">
    <w:nsid w:val="074C22B8"/>
    <w:multiLevelType w:val="hybridMultilevel"/>
    <w:tmpl w:val="9806922E"/>
    <w:lvl w:ilvl="0" w:tplc="8B2A66E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20BB4"/>
    <w:multiLevelType w:val="hybridMultilevel"/>
    <w:tmpl w:val="3892834C"/>
    <w:lvl w:ilvl="0" w:tplc="208C07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88E68D9"/>
    <w:multiLevelType w:val="hybridMultilevel"/>
    <w:tmpl w:val="1D8E4B42"/>
    <w:lvl w:ilvl="0" w:tplc="82B495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734BC4"/>
    <w:multiLevelType w:val="hybridMultilevel"/>
    <w:tmpl w:val="E6ACDEF6"/>
    <w:lvl w:ilvl="0" w:tplc="D9EE1690">
      <w:start w:val="6"/>
      <w:numFmt w:val="bullet"/>
      <w:lvlText w:val=""/>
      <w:lvlJc w:val="left"/>
      <w:pPr>
        <w:ind w:left="859" w:hanging="360"/>
      </w:pPr>
      <w:rPr>
        <w:rFonts w:ascii="Symbol" w:eastAsia="Calibri" w:hAnsi="Symbol" w:cs="Arial" w:hint="default"/>
      </w:rPr>
    </w:lvl>
    <w:lvl w:ilvl="1" w:tplc="080A0003" w:tentative="1">
      <w:start w:val="1"/>
      <w:numFmt w:val="bullet"/>
      <w:lvlText w:val="o"/>
      <w:lvlJc w:val="left"/>
      <w:pPr>
        <w:ind w:left="1579" w:hanging="360"/>
      </w:pPr>
      <w:rPr>
        <w:rFonts w:ascii="Courier New" w:hAnsi="Courier New" w:cs="Courier New" w:hint="default"/>
      </w:rPr>
    </w:lvl>
    <w:lvl w:ilvl="2" w:tplc="080A0005" w:tentative="1">
      <w:start w:val="1"/>
      <w:numFmt w:val="bullet"/>
      <w:lvlText w:val=""/>
      <w:lvlJc w:val="left"/>
      <w:pPr>
        <w:ind w:left="2299" w:hanging="360"/>
      </w:pPr>
      <w:rPr>
        <w:rFonts w:ascii="Wingdings" w:hAnsi="Wingdings" w:hint="default"/>
      </w:rPr>
    </w:lvl>
    <w:lvl w:ilvl="3" w:tplc="080A0001" w:tentative="1">
      <w:start w:val="1"/>
      <w:numFmt w:val="bullet"/>
      <w:lvlText w:val=""/>
      <w:lvlJc w:val="left"/>
      <w:pPr>
        <w:ind w:left="3019" w:hanging="360"/>
      </w:pPr>
      <w:rPr>
        <w:rFonts w:ascii="Symbol" w:hAnsi="Symbol" w:hint="default"/>
      </w:rPr>
    </w:lvl>
    <w:lvl w:ilvl="4" w:tplc="080A0003" w:tentative="1">
      <w:start w:val="1"/>
      <w:numFmt w:val="bullet"/>
      <w:lvlText w:val="o"/>
      <w:lvlJc w:val="left"/>
      <w:pPr>
        <w:ind w:left="3739" w:hanging="360"/>
      </w:pPr>
      <w:rPr>
        <w:rFonts w:ascii="Courier New" w:hAnsi="Courier New" w:cs="Courier New" w:hint="default"/>
      </w:rPr>
    </w:lvl>
    <w:lvl w:ilvl="5" w:tplc="080A0005" w:tentative="1">
      <w:start w:val="1"/>
      <w:numFmt w:val="bullet"/>
      <w:lvlText w:val=""/>
      <w:lvlJc w:val="left"/>
      <w:pPr>
        <w:ind w:left="4459" w:hanging="360"/>
      </w:pPr>
      <w:rPr>
        <w:rFonts w:ascii="Wingdings" w:hAnsi="Wingdings" w:hint="default"/>
      </w:rPr>
    </w:lvl>
    <w:lvl w:ilvl="6" w:tplc="080A0001" w:tentative="1">
      <w:start w:val="1"/>
      <w:numFmt w:val="bullet"/>
      <w:lvlText w:val=""/>
      <w:lvlJc w:val="left"/>
      <w:pPr>
        <w:ind w:left="5179" w:hanging="360"/>
      </w:pPr>
      <w:rPr>
        <w:rFonts w:ascii="Symbol" w:hAnsi="Symbol" w:hint="default"/>
      </w:rPr>
    </w:lvl>
    <w:lvl w:ilvl="7" w:tplc="080A0003" w:tentative="1">
      <w:start w:val="1"/>
      <w:numFmt w:val="bullet"/>
      <w:lvlText w:val="o"/>
      <w:lvlJc w:val="left"/>
      <w:pPr>
        <w:ind w:left="5899" w:hanging="360"/>
      </w:pPr>
      <w:rPr>
        <w:rFonts w:ascii="Courier New" w:hAnsi="Courier New" w:cs="Courier New" w:hint="default"/>
      </w:rPr>
    </w:lvl>
    <w:lvl w:ilvl="8" w:tplc="080A0005" w:tentative="1">
      <w:start w:val="1"/>
      <w:numFmt w:val="bullet"/>
      <w:lvlText w:val=""/>
      <w:lvlJc w:val="left"/>
      <w:pPr>
        <w:ind w:left="6619" w:hanging="360"/>
      </w:pPr>
      <w:rPr>
        <w:rFonts w:ascii="Wingdings" w:hAnsi="Wingdings" w:hint="default"/>
      </w:rPr>
    </w:lvl>
  </w:abstractNum>
  <w:abstractNum w:abstractNumId="5" w15:restartNumberingAfterBreak="0">
    <w:nsid w:val="12644A55"/>
    <w:multiLevelType w:val="hybridMultilevel"/>
    <w:tmpl w:val="015803C4"/>
    <w:lvl w:ilvl="0" w:tplc="8214BB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723210"/>
    <w:multiLevelType w:val="hybridMultilevel"/>
    <w:tmpl w:val="AF249506"/>
    <w:lvl w:ilvl="0" w:tplc="98768BB2">
      <w:start w:val="13"/>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B141D5"/>
    <w:multiLevelType w:val="hybridMultilevel"/>
    <w:tmpl w:val="6076F48C"/>
    <w:lvl w:ilvl="0" w:tplc="6DA0223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4D1F1F"/>
    <w:multiLevelType w:val="hybridMultilevel"/>
    <w:tmpl w:val="57E08E74"/>
    <w:lvl w:ilvl="0" w:tplc="9C30542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8D3083"/>
    <w:multiLevelType w:val="hybridMultilevel"/>
    <w:tmpl w:val="AAB8D8EC"/>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3" w15:restartNumberingAfterBreak="0">
    <w:nsid w:val="77E845BD"/>
    <w:multiLevelType w:val="hybridMultilevel"/>
    <w:tmpl w:val="E4FC217C"/>
    <w:lvl w:ilvl="0" w:tplc="534290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6"/>
  </w:num>
  <w:num w:numId="5">
    <w:abstractNumId w:val="8"/>
  </w:num>
  <w:num w:numId="6">
    <w:abstractNumId w:val="0"/>
  </w:num>
  <w:num w:numId="7">
    <w:abstractNumId w:val="2"/>
  </w:num>
  <w:num w:numId="8">
    <w:abstractNumId w:val="4"/>
  </w:num>
  <w:num w:numId="9">
    <w:abstractNumId w:val="0"/>
  </w:num>
  <w:num w:numId="10">
    <w:abstractNumId w:val="12"/>
  </w:num>
  <w:num w:numId="11">
    <w:abstractNumId w:val="2"/>
  </w:num>
  <w:num w:numId="12">
    <w:abstractNumId w:val="1"/>
  </w:num>
  <w:num w:numId="13">
    <w:abstractNumId w:val="11"/>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8"/>
    <w:rsid w:val="0000024D"/>
    <w:rsid w:val="000017AF"/>
    <w:rsid w:val="00013644"/>
    <w:rsid w:val="00026C2F"/>
    <w:rsid w:val="000369C1"/>
    <w:rsid w:val="00036E64"/>
    <w:rsid w:val="00037710"/>
    <w:rsid w:val="0004082C"/>
    <w:rsid w:val="000419F4"/>
    <w:rsid w:val="00051298"/>
    <w:rsid w:val="00077CAC"/>
    <w:rsid w:val="00082751"/>
    <w:rsid w:val="000868B1"/>
    <w:rsid w:val="00087819"/>
    <w:rsid w:val="000A26DB"/>
    <w:rsid w:val="000A2D73"/>
    <w:rsid w:val="000B2AA6"/>
    <w:rsid w:val="000C18A6"/>
    <w:rsid w:val="000E175B"/>
    <w:rsid w:val="000E31E7"/>
    <w:rsid w:val="000F0E90"/>
    <w:rsid w:val="000F37AA"/>
    <w:rsid w:val="000F64CA"/>
    <w:rsid w:val="0010116B"/>
    <w:rsid w:val="00105012"/>
    <w:rsid w:val="001135EA"/>
    <w:rsid w:val="001158C5"/>
    <w:rsid w:val="00115997"/>
    <w:rsid w:val="00122BA5"/>
    <w:rsid w:val="00131CC3"/>
    <w:rsid w:val="0015233A"/>
    <w:rsid w:val="00170195"/>
    <w:rsid w:val="00181670"/>
    <w:rsid w:val="001A29D3"/>
    <w:rsid w:val="001A58DD"/>
    <w:rsid w:val="001B133A"/>
    <w:rsid w:val="001B5EF4"/>
    <w:rsid w:val="001D4578"/>
    <w:rsid w:val="001D60AE"/>
    <w:rsid w:val="001E0ED3"/>
    <w:rsid w:val="001E6BAF"/>
    <w:rsid w:val="001F3461"/>
    <w:rsid w:val="001F71ED"/>
    <w:rsid w:val="0020703D"/>
    <w:rsid w:val="00217417"/>
    <w:rsid w:val="00217AF1"/>
    <w:rsid w:val="00227346"/>
    <w:rsid w:val="00227D21"/>
    <w:rsid w:val="002339E2"/>
    <w:rsid w:val="00240C5E"/>
    <w:rsid w:val="00242E16"/>
    <w:rsid w:val="00253D91"/>
    <w:rsid w:val="002542F7"/>
    <w:rsid w:val="0026097B"/>
    <w:rsid w:val="002840D2"/>
    <w:rsid w:val="0028775F"/>
    <w:rsid w:val="00295267"/>
    <w:rsid w:val="00296935"/>
    <w:rsid w:val="002A05F0"/>
    <w:rsid w:val="002A6328"/>
    <w:rsid w:val="002A706C"/>
    <w:rsid w:val="002C2490"/>
    <w:rsid w:val="002C3589"/>
    <w:rsid w:val="002C5C49"/>
    <w:rsid w:val="002D1B86"/>
    <w:rsid w:val="002F5574"/>
    <w:rsid w:val="00301F8F"/>
    <w:rsid w:val="00317904"/>
    <w:rsid w:val="00331272"/>
    <w:rsid w:val="00340E73"/>
    <w:rsid w:val="00344F81"/>
    <w:rsid w:val="0036442E"/>
    <w:rsid w:val="00365BD3"/>
    <w:rsid w:val="00374E4A"/>
    <w:rsid w:val="003A2EF7"/>
    <w:rsid w:val="003A61FB"/>
    <w:rsid w:val="003E7B37"/>
    <w:rsid w:val="00401E7A"/>
    <w:rsid w:val="00406B65"/>
    <w:rsid w:val="0041203E"/>
    <w:rsid w:val="00442E32"/>
    <w:rsid w:val="00442ECA"/>
    <w:rsid w:val="004574A7"/>
    <w:rsid w:val="00480267"/>
    <w:rsid w:val="0048090E"/>
    <w:rsid w:val="00495E0F"/>
    <w:rsid w:val="00496709"/>
    <w:rsid w:val="00497045"/>
    <w:rsid w:val="004A11B9"/>
    <w:rsid w:val="004B55DC"/>
    <w:rsid w:val="004C426C"/>
    <w:rsid w:val="004C49F0"/>
    <w:rsid w:val="004C7F3E"/>
    <w:rsid w:val="004E275A"/>
    <w:rsid w:val="00500634"/>
    <w:rsid w:val="00500A68"/>
    <w:rsid w:val="00523DC2"/>
    <w:rsid w:val="00537239"/>
    <w:rsid w:val="00540A9A"/>
    <w:rsid w:val="0055131D"/>
    <w:rsid w:val="00555D9A"/>
    <w:rsid w:val="005560AC"/>
    <w:rsid w:val="00564817"/>
    <w:rsid w:val="00577B95"/>
    <w:rsid w:val="005A0635"/>
    <w:rsid w:val="005A1CDB"/>
    <w:rsid w:val="005B5108"/>
    <w:rsid w:val="005B5E38"/>
    <w:rsid w:val="005C68D0"/>
    <w:rsid w:val="005D0758"/>
    <w:rsid w:val="005D61DC"/>
    <w:rsid w:val="00621716"/>
    <w:rsid w:val="00622643"/>
    <w:rsid w:val="00623570"/>
    <w:rsid w:val="0062382B"/>
    <w:rsid w:val="00625242"/>
    <w:rsid w:val="0063082A"/>
    <w:rsid w:val="006452CD"/>
    <w:rsid w:val="006461CD"/>
    <w:rsid w:val="0064699A"/>
    <w:rsid w:val="00651C5A"/>
    <w:rsid w:val="00665929"/>
    <w:rsid w:val="00674F20"/>
    <w:rsid w:val="006774B3"/>
    <w:rsid w:val="00687EBB"/>
    <w:rsid w:val="00692146"/>
    <w:rsid w:val="006A40C0"/>
    <w:rsid w:val="006A6FC1"/>
    <w:rsid w:val="006A766B"/>
    <w:rsid w:val="006B1D6A"/>
    <w:rsid w:val="006C77A3"/>
    <w:rsid w:val="006D68C2"/>
    <w:rsid w:val="006E0027"/>
    <w:rsid w:val="006E1EFD"/>
    <w:rsid w:val="006E5F61"/>
    <w:rsid w:val="006F7920"/>
    <w:rsid w:val="00702A32"/>
    <w:rsid w:val="00704713"/>
    <w:rsid w:val="00713A19"/>
    <w:rsid w:val="00716C4E"/>
    <w:rsid w:val="00724F7E"/>
    <w:rsid w:val="007265C5"/>
    <w:rsid w:val="00732EC1"/>
    <w:rsid w:val="007338F5"/>
    <w:rsid w:val="007413C5"/>
    <w:rsid w:val="00751C7B"/>
    <w:rsid w:val="00760045"/>
    <w:rsid w:val="00761ED5"/>
    <w:rsid w:val="00774181"/>
    <w:rsid w:val="00775873"/>
    <w:rsid w:val="007850B8"/>
    <w:rsid w:val="00785879"/>
    <w:rsid w:val="0079372F"/>
    <w:rsid w:val="007957BE"/>
    <w:rsid w:val="007B5CF5"/>
    <w:rsid w:val="007E678D"/>
    <w:rsid w:val="007E73B1"/>
    <w:rsid w:val="007F4FDF"/>
    <w:rsid w:val="007F64BA"/>
    <w:rsid w:val="007F6509"/>
    <w:rsid w:val="0080447E"/>
    <w:rsid w:val="0082342B"/>
    <w:rsid w:val="00842537"/>
    <w:rsid w:val="00852A03"/>
    <w:rsid w:val="0086280F"/>
    <w:rsid w:val="00872C86"/>
    <w:rsid w:val="00886968"/>
    <w:rsid w:val="00887782"/>
    <w:rsid w:val="00887C50"/>
    <w:rsid w:val="008B4A81"/>
    <w:rsid w:val="008B64F6"/>
    <w:rsid w:val="008C030F"/>
    <w:rsid w:val="008C1B21"/>
    <w:rsid w:val="008F64C1"/>
    <w:rsid w:val="00903AB3"/>
    <w:rsid w:val="00911BEC"/>
    <w:rsid w:val="00913B87"/>
    <w:rsid w:val="00921254"/>
    <w:rsid w:val="009370DC"/>
    <w:rsid w:val="00950E76"/>
    <w:rsid w:val="00960B50"/>
    <w:rsid w:val="009655E0"/>
    <w:rsid w:val="00967F3A"/>
    <w:rsid w:val="00973B55"/>
    <w:rsid w:val="00974ECE"/>
    <w:rsid w:val="00982F71"/>
    <w:rsid w:val="00986006"/>
    <w:rsid w:val="009942C4"/>
    <w:rsid w:val="009964FF"/>
    <w:rsid w:val="009A51E1"/>
    <w:rsid w:val="009C10E6"/>
    <w:rsid w:val="009C69C2"/>
    <w:rsid w:val="009D2C85"/>
    <w:rsid w:val="009D3C29"/>
    <w:rsid w:val="009D630C"/>
    <w:rsid w:val="009D659D"/>
    <w:rsid w:val="009D6702"/>
    <w:rsid w:val="009D69E7"/>
    <w:rsid w:val="009F5FF2"/>
    <w:rsid w:val="00A00132"/>
    <w:rsid w:val="00A02283"/>
    <w:rsid w:val="00A12C37"/>
    <w:rsid w:val="00A522E6"/>
    <w:rsid w:val="00A5696C"/>
    <w:rsid w:val="00A615EC"/>
    <w:rsid w:val="00A6370D"/>
    <w:rsid w:val="00A6397D"/>
    <w:rsid w:val="00A70C60"/>
    <w:rsid w:val="00A710F1"/>
    <w:rsid w:val="00A776E9"/>
    <w:rsid w:val="00A82A8F"/>
    <w:rsid w:val="00A8300D"/>
    <w:rsid w:val="00A85B13"/>
    <w:rsid w:val="00A87412"/>
    <w:rsid w:val="00A90CF2"/>
    <w:rsid w:val="00A95FD3"/>
    <w:rsid w:val="00A97585"/>
    <w:rsid w:val="00AA02A8"/>
    <w:rsid w:val="00AA402C"/>
    <w:rsid w:val="00AC0975"/>
    <w:rsid w:val="00AC24A3"/>
    <w:rsid w:val="00AC4350"/>
    <w:rsid w:val="00AD6AD1"/>
    <w:rsid w:val="00AE5158"/>
    <w:rsid w:val="00AF3B64"/>
    <w:rsid w:val="00AF6770"/>
    <w:rsid w:val="00AF79A1"/>
    <w:rsid w:val="00B047AE"/>
    <w:rsid w:val="00B13FC7"/>
    <w:rsid w:val="00B24E30"/>
    <w:rsid w:val="00B2633E"/>
    <w:rsid w:val="00B54A11"/>
    <w:rsid w:val="00B67435"/>
    <w:rsid w:val="00B8505C"/>
    <w:rsid w:val="00BB2795"/>
    <w:rsid w:val="00BB7DE6"/>
    <w:rsid w:val="00BC5170"/>
    <w:rsid w:val="00BD38A6"/>
    <w:rsid w:val="00BE16EA"/>
    <w:rsid w:val="00C00140"/>
    <w:rsid w:val="00C05CBB"/>
    <w:rsid w:val="00C13CD5"/>
    <w:rsid w:val="00C22A44"/>
    <w:rsid w:val="00C24727"/>
    <w:rsid w:val="00C35ED0"/>
    <w:rsid w:val="00C744D8"/>
    <w:rsid w:val="00C7786F"/>
    <w:rsid w:val="00C81422"/>
    <w:rsid w:val="00C90E97"/>
    <w:rsid w:val="00C9325A"/>
    <w:rsid w:val="00CA04E1"/>
    <w:rsid w:val="00CA2764"/>
    <w:rsid w:val="00CC2563"/>
    <w:rsid w:val="00CD3EC0"/>
    <w:rsid w:val="00CD47FC"/>
    <w:rsid w:val="00CE13D6"/>
    <w:rsid w:val="00CE5FD7"/>
    <w:rsid w:val="00CE798E"/>
    <w:rsid w:val="00CF331E"/>
    <w:rsid w:val="00CF3647"/>
    <w:rsid w:val="00D0218B"/>
    <w:rsid w:val="00D11E05"/>
    <w:rsid w:val="00D25C3B"/>
    <w:rsid w:val="00D32548"/>
    <w:rsid w:val="00D45435"/>
    <w:rsid w:val="00D5280E"/>
    <w:rsid w:val="00D642C4"/>
    <w:rsid w:val="00D67340"/>
    <w:rsid w:val="00D72969"/>
    <w:rsid w:val="00D73DB1"/>
    <w:rsid w:val="00D77C55"/>
    <w:rsid w:val="00D873E4"/>
    <w:rsid w:val="00D94C15"/>
    <w:rsid w:val="00D96914"/>
    <w:rsid w:val="00DA7B46"/>
    <w:rsid w:val="00DC08B1"/>
    <w:rsid w:val="00DC7BF7"/>
    <w:rsid w:val="00DD39B3"/>
    <w:rsid w:val="00DE4567"/>
    <w:rsid w:val="00DF1492"/>
    <w:rsid w:val="00DF4F42"/>
    <w:rsid w:val="00DF733C"/>
    <w:rsid w:val="00E10932"/>
    <w:rsid w:val="00E15243"/>
    <w:rsid w:val="00E23DC9"/>
    <w:rsid w:val="00E3132B"/>
    <w:rsid w:val="00E33F12"/>
    <w:rsid w:val="00E465F2"/>
    <w:rsid w:val="00E56C68"/>
    <w:rsid w:val="00E56EA5"/>
    <w:rsid w:val="00E60953"/>
    <w:rsid w:val="00E93789"/>
    <w:rsid w:val="00E94B36"/>
    <w:rsid w:val="00EA4449"/>
    <w:rsid w:val="00EC5F9D"/>
    <w:rsid w:val="00ED3129"/>
    <w:rsid w:val="00ED6EC0"/>
    <w:rsid w:val="00ED78CD"/>
    <w:rsid w:val="00EF3B62"/>
    <w:rsid w:val="00EF5533"/>
    <w:rsid w:val="00F00E3A"/>
    <w:rsid w:val="00F03D33"/>
    <w:rsid w:val="00F069ED"/>
    <w:rsid w:val="00F20164"/>
    <w:rsid w:val="00F229DC"/>
    <w:rsid w:val="00F27599"/>
    <w:rsid w:val="00F30CB5"/>
    <w:rsid w:val="00F322A4"/>
    <w:rsid w:val="00F405A4"/>
    <w:rsid w:val="00F61ACC"/>
    <w:rsid w:val="00F74E69"/>
    <w:rsid w:val="00F762D5"/>
    <w:rsid w:val="00F82D63"/>
    <w:rsid w:val="00F93FAE"/>
    <w:rsid w:val="00F95D56"/>
    <w:rsid w:val="00F96F9F"/>
    <w:rsid w:val="00FA5A78"/>
    <w:rsid w:val="00FA709D"/>
    <w:rsid w:val="00FA75F6"/>
    <w:rsid w:val="00FB0B46"/>
    <w:rsid w:val="00FB2374"/>
    <w:rsid w:val="00FC24F1"/>
    <w:rsid w:val="00FD53DB"/>
    <w:rsid w:val="00FD54C2"/>
    <w:rsid w:val="00FE1B62"/>
    <w:rsid w:val="00FF17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DBB4"/>
  <w15:chartTrackingRefBased/>
  <w15:docId w15:val="{63A76988-4007-4EFA-B556-DE90A71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F61"/>
    <w:pPr>
      <w:spacing w:after="0" w:line="240" w:lineRule="auto"/>
      <w:jc w:val="both"/>
    </w:pPr>
    <w:rPr>
      <w:rFonts w:ascii="Arial" w:eastAsia="Times New Roman" w:hAnsi="Arial" w:cs="Times New Roman"/>
      <w:sz w:val="20"/>
      <w:szCs w:val="20"/>
      <w:lang w:eastAsia="es-ES"/>
    </w:rPr>
  </w:style>
  <w:style w:type="paragraph" w:styleId="Ttulo2">
    <w:name w:val="heading 2"/>
    <w:basedOn w:val="Normal"/>
    <w:next w:val="Normal"/>
    <w:link w:val="Ttulo2Car"/>
    <w:uiPriority w:val="9"/>
    <w:semiHidden/>
    <w:unhideWhenUsed/>
    <w:qFormat/>
    <w:rsid w:val="0077418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qFormat/>
    <w:rsid w:val="002542F7"/>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4F1"/>
    <w:pPr>
      <w:tabs>
        <w:tab w:val="center" w:pos="4419"/>
        <w:tab w:val="right" w:pos="8838"/>
      </w:tabs>
    </w:pPr>
  </w:style>
  <w:style w:type="character" w:customStyle="1" w:styleId="EncabezadoCar">
    <w:name w:val="Encabezado Car"/>
    <w:basedOn w:val="Fuentedeprrafopredeter"/>
    <w:link w:val="Encabezado"/>
    <w:uiPriority w:val="99"/>
    <w:rsid w:val="00FC24F1"/>
  </w:style>
  <w:style w:type="paragraph" w:styleId="Piedepgina">
    <w:name w:val="footer"/>
    <w:basedOn w:val="Normal"/>
    <w:link w:val="PiedepginaCar"/>
    <w:uiPriority w:val="99"/>
    <w:unhideWhenUsed/>
    <w:rsid w:val="00FC24F1"/>
    <w:pPr>
      <w:tabs>
        <w:tab w:val="center" w:pos="4419"/>
        <w:tab w:val="right" w:pos="8838"/>
      </w:tabs>
    </w:pPr>
  </w:style>
  <w:style w:type="character" w:customStyle="1" w:styleId="PiedepginaCar">
    <w:name w:val="Pie de página Car"/>
    <w:basedOn w:val="Fuentedeprrafopredeter"/>
    <w:link w:val="Piedepgina"/>
    <w:uiPriority w:val="99"/>
    <w:rsid w:val="00FC24F1"/>
  </w:style>
  <w:style w:type="paragraph" w:styleId="Textodeglobo">
    <w:name w:val="Balloon Text"/>
    <w:basedOn w:val="Normal"/>
    <w:link w:val="TextodegloboCar"/>
    <w:uiPriority w:val="99"/>
    <w:semiHidden/>
    <w:unhideWhenUsed/>
    <w:rsid w:val="006E5F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5F61"/>
    <w:rPr>
      <w:rFonts w:ascii="Segoe UI" w:eastAsia="Times New Roman" w:hAnsi="Segoe UI" w:cs="Segoe UI"/>
      <w:sz w:val="18"/>
      <w:szCs w:val="18"/>
      <w:lang w:eastAsia="es-ES"/>
    </w:rPr>
  </w:style>
  <w:style w:type="character" w:styleId="nfasis">
    <w:name w:val="Emphasis"/>
    <w:basedOn w:val="Fuentedeprrafopredeter"/>
    <w:uiPriority w:val="20"/>
    <w:qFormat/>
    <w:rsid w:val="00A70C60"/>
    <w:rPr>
      <w:i/>
      <w:iCs/>
    </w:rPr>
  </w:style>
  <w:style w:type="paragraph" w:styleId="Prrafodelista">
    <w:name w:val="List Paragraph"/>
    <w:basedOn w:val="Normal"/>
    <w:qFormat/>
    <w:rsid w:val="00227D21"/>
    <w:pPr>
      <w:ind w:left="720"/>
      <w:contextualSpacing/>
    </w:pPr>
  </w:style>
  <w:style w:type="character" w:customStyle="1" w:styleId="Ttulo5Car">
    <w:name w:val="Título 5 Car"/>
    <w:basedOn w:val="Fuentedeprrafopredeter"/>
    <w:link w:val="Ttulo5"/>
    <w:uiPriority w:val="9"/>
    <w:rsid w:val="002542F7"/>
    <w:rPr>
      <w:rFonts w:ascii="Cambria" w:eastAsia="Times New Roman" w:hAnsi="Cambria" w:cs="Times New Roman"/>
      <w:color w:val="243F60"/>
      <w:sz w:val="20"/>
      <w:szCs w:val="20"/>
      <w:lang w:eastAsia="es-ES"/>
    </w:rPr>
  </w:style>
  <w:style w:type="paragraph" w:styleId="Textoindependiente2">
    <w:name w:val="Body Text 2"/>
    <w:basedOn w:val="Normal"/>
    <w:link w:val="Textoindependiente2Car"/>
    <w:uiPriority w:val="99"/>
    <w:unhideWhenUsed/>
    <w:rsid w:val="002542F7"/>
    <w:pPr>
      <w:spacing w:after="120" w:line="480" w:lineRule="auto"/>
    </w:pPr>
  </w:style>
  <w:style w:type="character" w:customStyle="1" w:styleId="Textoindependiente2Car">
    <w:name w:val="Texto independiente 2 Car"/>
    <w:basedOn w:val="Fuentedeprrafopredeter"/>
    <w:link w:val="Textoindependiente2"/>
    <w:uiPriority w:val="99"/>
    <w:rsid w:val="002542F7"/>
    <w:rPr>
      <w:rFonts w:ascii="Arial" w:eastAsia="Times New Roman" w:hAnsi="Arial" w:cs="Times New Roman"/>
      <w:sz w:val="20"/>
      <w:szCs w:val="20"/>
      <w:lang w:eastAsia="es-ES"/>
    </w:rPr>
  </w:style>
  <w:style w:type="character" w:styleId="Hipervnculo">
    <w:name w:val="Hyperlink"/>
    <w:basedOn w:val="Fuentedeprrafopredeter"/>
    <w:uiPriority w:val="99"/>
    <w:unhideWhenUsed/>
    <w:rsid w:val="002542F7"/>
    <w:rPr>
      <w:color w:val="0000FF"/>
      <w:u w:val="single"/>
    </w:rPr>
  </w:style>
  <w:style w:type="character" w:styleId="Textoennegrita">
    <w:name w:val="Strong"/>
    <w:basedOn w:val="Fuentedeprrafopredeter"/>
    <w:uiPriority w:val="22"/>
    <w:qFormat/>
    <w:rsid w:val="002542F7"/>
    <w:rPr>
      <w:b/>
      <w:bCs/>
    </w:rPr>
  </w:style>
  <w:style w:type="character" w:customStyle="1" w:styleId="Ttulo2Car">
    <w:name w:val="Título 2 Car"/>
    <w:basedOn w:val="Fuentedeprrafopredeter"/>
    <w:link w:val="Ttulo2"/>
    <w:uiPriority w:val="9"/>
    <w:semiHidden/>
    <w:rsid w:val="00774181"/>
    <w:rPr>
      <w:rFonts w:asciiTheme="majorHAnsi" w:eastAsiaTheme="majorEastAsia" w:hAnsiTheme="majorHAnsi" w:cstheme="majorBidi"/>
      <w:color w:val="2E74B5" w:themeColor="accent1" w:themeShade="BF"/>
      <w:sz w:val="26"/>
      <w:szCs w:val="26"/>
      <w:lang w:eastAsia="es-ES"/>
    </w:rPr>
  </w:style>
  <w:style w:type="paragraph" w:customStyle="1" w:styleId="Texto">
    <w:name w:val="Texto"/>
    <w:aliases w:val="independiente,independiente Car Car Car"/>
    <w:basedOn w:val="Normal"/>
    <w:qFormat/>
    <w:rsid w:val="00774181"/>
    <w:pPr>
      <w:spacing w:after="101" w:line="216" w:lineRule="exact"/>
      <w:ind w:firstLine="288"/>
    </w:pPr>
    <w:rPr>
      <w:rFonts w:cs="Arial"/>
      <w:sz w:val="18"/>
      <w:szCs w:val="18"/>
      <w:lang w:eastAsia="es-MX"/>
    </w:rPr>
  </w:style>
  <w:style w:type="character" w:styleId="Refdecomentario">
    <w:name w:val="annotation reference"/>
    <w:basedOn w:val="Fuentedeprrafopredeter"/>
    <w:uiPriority w:val="99"/>
    <w:semiHidden/>
    <w:unhideWhenUsed/>
    <w:rsid w:val="00732EC1"/>
    <w:rPr>
      <w:sz w:val="16"/>
      <w:szCs w:val="16"/>
    </w:rPr>
  </w:style>
  <w:style w:type="paragraph" w:styleId="Textocomentario">
    <w:name w:val="annotation text"/>
    <w:basedOn w:val="Normal"/>
    <w:link w:val="TextocomentarioCar"/>
    <w:uiPriority w:val="99"/>
    <w:semiHidden/>
    <w:unhideWhenUsed/>
    <w:rsid w:val="00732EC1"/>
  </w:style>
  <w:style w:type="character" w:customStyle="1" w:styleId="TextocomentarioCar">
    <w:name w:val="Texto comentario Car"/>
    <w:basedOn w:val="Fuentedeprrafopredeter"/>
    <w:link w:val="Textocomentario"/>
    <w:uiPriority w:val="99"/>
    <w:semiHidden/>
    <w:rsid w:val="00732EC1"/>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32EC1"/>
    <w:rPr>
      <w:b/>
      <w:bCs/>
    </w:rPr>
  </w:style>
  <w:style w:type="character" w:customStyle="1" w:styleId="AsuntodelcomentarioCar">
    <w:name w:val="Asunto del comentario Car"/>
    <w:basedOn w:val="TextocomentarioCar"/>
    <w:link w:val="Asuntodelcomentario"/>
    <w:uiPriority w:val="99"/>
    <w:semiHidden/>
    <w:rsid w:val="00732EC1"/>
    <w:rPr>
      <w:rFonts w:ascii="Arial" w:eastAsia="Times New Roman" w:hAnsi="Arial" w:cs="Times New Roman"/>
      <w:b/>
      <w:bCs/>
      <w:sz w:val="20"/>
      <w:szCs w:val="20"/>
      <w:lang w:eastAsia="es-ES"/>
    </w:rPr>
  </w:style>
  <w:style w:type="table" w:styleId="Tablaconcuadrcula">
    <w:name w:val="Table Grid"/>
    <w:basedOn w:val="Tablanormal"/>
    <w:uiPriority w:val="39"/>
    <w:rsid w:val="00480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0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DD16B-F0F1-422A-A3CD-41F3CADE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2455</Words>
  <Characters>13505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18</cp:revision>
  <cp:lastPrinted>2019-02-07T21:13:00Z</cp:lastPrinted>
  <dcterms:created xsi:type="dcterms:W3CDTF">2019-03-20T17:52:00Z</dcterms:created>
  <dcterms:modified xsi:type="dcterms:W3CDTF">2019-10-11T19:44:00Z</dcterms:modified>
</cp:coreProperties>
</file>