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Default="00813B91" w:rsidP="00C14B27">
      <w:pPr>
        <w:widowControl w:val="0"/>
        <w:spacing w:after="0" w:line="240" w:lineRule="auto"/>
        <w:jc w:val="both"/>
        <w:rPr>
          <w:rFonts w:ascii="Arial Narrow" w:hAnsi="Arial Narrow" w:cs="Arial"/>
          <w:color w:val="000000"/>
          <w:sz w:val="28"/>
          <w:szCs w:val="24"/>
        </w:rPr>
      </w:pPr>
    </w:p>
    <w:p w:rsidR="00677325" w:rsidRDefault="00677325" w:rsidP="00C14B27">
      <w:pPr>
        <w:widowControl w:val="0"/>
        <w:spacing w:after="0" w:line="240" w:lineRule="auto"/>
        <w:jc w:val="both"/>
        <w:rPr>
          <w:rFonts w:ascii="Arial Narrow" w:hAnsi="Arial Narrow" w:cs="Arial"/>
          <w:color w:val="000000"/>
          <w:sz w:val="28"/>
          <w:szCs w:val="24"/>
        </w:rPr>
      </w:pPr>
    </w:p>
    <w:p w:rsidR="008F1290" w:rsidRPr="008F1290" w:rsidRDefault="00677325" w:rsidP="008F1290">
      <w:pPr>
        <w:widowControl w:val="0"/>
        <w:spacing w:after="0" w:line="240" w:lineRule="auto"/>
        <w:jc w:val="both"/>
        <w:rPr>
          <w:rFonts w:ascii="Arial Narrow" w:hAnsi="Arial Narrow" w:cs="Arial"/>
          <w:b/>
          <w:color w:val="000000"/>
          <w:sz w:val="28"/>
          <w:szCs w:val="24"/>
        </w:rPr>
      </w:pPr>
      <w:r w:rsidRPr="00677325">
        <w:rPr>
          <w:rFonts w:ascii="Arial Narrow" w:hAnsi="Arial Narrow" w:cs="Arial"/>
          <w:color w:val="000000"/>
          <w:sz w:val="28"/>
          <w:szCs w:val="24"/>
        </w:rPr>
        <w:t xml:space="preserve">Iniciativa de decreto que reforma </w:t>
      </w:r>
      <w:r w:rsidR="008F1290">
        <w:rPr>
          <w:rFonts w:ascii="Arial Narrow" w:hAnsi="Arial Narrow" w:cs="Arial"/>
          <w:color w:val="000000"/>
          <w:sz w:val="28"/>
          <w:szCs w:val="24"/>
        </w:rPr>
        <w:t xml:space="preserve">la </w:t>
      </w:r>
      <w:r w:rsidR="008F1290" w:rsidRPr="008F1290">
        <w:rPr>
          <w:rFonts w:ascii="Arial Narrow" w:hAnsi="Arial Narrow" w:cs="Arial"/>
          <w:b/>
          <w:color w:val="000000"/>
          <w:sz w:val="28"/>
          <w:szCs w:val="24"/>
        </w:rPr>
        <w:t>Ley del Procedimiento Contencioso Administrativo Código Fiscal para el Estado de Coahuila de Zaragoza, el Código Municipal para el Estado de Coahuila de Zaragoza, y el Código Financiero para los Municipios del Estado de Coahuila de Zaragoza</w:t>
      </w:r>
    </w:p>
    <w:p w:rsidR="00677325" w:rsidRPr="008F1290" w:rsidRDefault="00677325" w:rsidP="00C14B27">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813B91">
        <w:rPr>
          <w:rFonts w:ascii="Arial Narrow" w:hAnsi="Arial Narrow" w:cs="Arial"/>
          <w:b/>
          <w:color w:val="000000"/>
          <w:sz w:val="28"/>
          <w:szCs w:val="24"/>
        </w:rPr>
        <w:t xml:space="preserve"> 0</w:t>
      </w:r>
      <w:r w:rsidR="008F1290">
        <w:rPr>
          <w:rFonts w:ascii="Arial Narrow" w:hAnsi="Arial Narrow" w:cs="Arial"/>
          <w:b/>
          <w:color w:val="000000"/>
          <w:sz w:val="28"/>
          <w:szCs w:val="24"/>
        </w:rPr>
        <w:t>6</w:t>
      </w:r>
      <w:r w:rsidRPr="00D961D9">
        <w:rPr>
          <w:rFonts w:ascii="Arial Narrow" w:hAnsi="Arial Narrow" w:cs="Arial"/>
          <w:b/>
          <w:color w:val="000000"/>
          <w:sz w:val="28"/>
          <w:szCs w:val="24"/>
        </w:rPr>
        <w:t xml:space="preserve"> de </w:t>
      </w:r>
      <w:r w:rsidR="008F1290">
        <w:rPr>
          <w:rFonts w:ascii="Arial Narrow" w:hAnsi="Arial Narrow" w:cs="Arial"/>
          <w:b/>
          <w:color w:val="000000"/>
          <w:sz w:val="28"/>
          <w:szCs w:val="24"/>
        </w:rPr>
        <w:t xml:space="preserve">Agosto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52482A" w:rsidRPr="0052482A" w:rsidRDefault="00C14B27" w:rsidP="0052482A">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 xml:space="preserve">las </w:t>
      </w:r>
      <w:r w:rsidR="0052482A" w:rsidRPr="0052482A">
        <w:rPr>
          <w:rFonts w:ascii="Arial Narrow" w:hAnsi="Arial Narrow" w:cs="Arial"/>
          <w:b/>
          <w:color w:val="000000"/>
          <w:sz w:val="28"/>
        </w:rPr>
        <w:t xml:space="preserve">Comisiones Unidas de Gobernación, Puntos Constitucionales y Justicia, Asuntos Municipales y Zonas Metropolitanas y </w:t>
      </w:r>
      <w:r w:rsidR="0052482A">
        <w:rPr>
          <w:rFonts w:ascii="Arial Narrow" w:hAnsi="Arial Narrow" w:cs="Arial"/>
          <w:b/>
          <w:color w:val="000000"/>
          <w:sz w:val="28"/>
        </w:rPr>
        <w:t xml:space="preserve">de </w:t>
      </w:r>
      <w:r w:rsidR="0052482A" w:rsidRPr="0052482A">
        <w:rPr>
          <w:rFonts w:ascii="Arial Narrow" w:hAnsi="Arial Narrow" w:cs="Arial"/>
          <w:b/>
          <w:color w:val="000000"/>
          <w:sz w:val="28"/>
        </w:rPr>
        <w:t>Auditoría Gubernamental y Cuenta Pública</w:t>
      </w:r>
      <w:r w:rsidR="0052482A">
        <w:rPr>
          <w:rFonts w:ascii="Arial Narrow" w:hAnsi="Arial Narrow" w:cs="Arial"/>
          <w:b/>
          <w:color w:val="000000"/>
          <w:sz w:val="28"/>
        </w:rPr>
        <w:t>.</w:t>
      </w:r>
    </w:p>
    <w:p w:rsidR="00C14B27" w:rsidRPr="00677325" w:rsidRDefault="00C14B27" w:rsidP="00C14B27">
      <w:pPr>
        <w:widowControl w:val="0"/>
        <w:spacing w:after="0" w:line="240" w:lineRule="auto"/>
        <w:jc w:val="both"/>
        <w:rPr>
          <w:rFonts w:ascii="Arial Narrow" w:hAnsi="Arial Narrow" w:cs="Arial"/>
          <w:b/>
          <w:color w:val="000000"/>
          <w:sz w:val="28"/>
          <w:szCs w:val="24"/>
        </w:rPr>
      </w:pPr>
    </w:p>
    <w:p w:rsidR="00C45D83" w:rsidRPr="0042279B" w:rsidRDefault="00C45D83" w:rsidP="00C45D83">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Pr="0042279B">
        <w:rPr>
          <w:rFonts w:ascii="Arial Narrow" w:hAnsi="Arial Narrow" w:cs="Arial"/>
          <w:b/>
          <w:color w:val="000000"/>
          <w:sz w:val="28"/>
          <w:szCs w:val="24"/>
        </w:rPr>
        <w:t xml:space="preserve">el Dictamen: </w:t>
      </w:r>
      <w:r>
        <w:rPr>
          <w:rFonts w:ascii="Arial Narrow" w:hAnsi="Arial Narrow" w:cs="Arial"/>
          <w:b/>
          <w:color w:val="000000"/>
          <w:sz w:val="28"/>
          <w:szCs w:val="24"/>
        </w:rPr>
        <w:t xml:space="preserve">29 de </w:t>
      </w:r>
      <w:proofErr w:type="gramStart"/>
      <w:r>
        <w:rPr>
          <w:rFonts w:ascii="Arial Narrow" w:hAnsi="Arial Narrow" w:cs="Arial"/>
          <w:b/>
          <w:color w:val="000000"/>
          <w:sz w:val="28"/>
          <w:szCs w:val="24"/>
        </w:rPr>
        <w:t>Noviembre</w:t>
      </w:r>
      <w:proofErr w:type="gramEnd"/>
      <w:r>
        <w:rPr>
          <w:rFonts w:ascii="Arial Narrow" w:hAnsi="Arial Narrow" w:cs="Arial"/>
          <w:b/>
          <w:color w:val="000000"/>
          <w:sz w:val="28"/>
          <w:szCs w:val="24"/>
        </w:rPr>
        <w:t xml:space="preserve"> de 2019.</w:t>
      </w:r>
    </w:p>
    <w:p w:rsidR="00C45D83" w:rsidRDefault="00C45D83" w:rsidP="00C45D83">
      <w:pPr>
        <w:widowControl w:val="0"/>
        <w:spacing w:after="0" w:line="240" w:lineRule="auto"/>
        <w:jc w:val="both"/>
        <w:rPr>
          <w:rFonts w:ascii="Arial Narrow" w:hAnsi="Arial Narrow" w:cs="Arial"/>
          <w:b/>
          <w:color w:val="000000"/>
          <w:sz w:val="28"/>
          <w:szCs w:val="24"/>
        </w:rPr>
      </w:pPr>
    </w:p>
    <w:p w:rsidR="00C45D83" w:rsidRPr="00767AA6" w:rsidRDefault="00C45D83" w:rsidP="00C45D83">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 400</w:t>
      </w:r>
    </w:p>
    <w:p w:rsidR="00C45D83" w:rsidRPr="00767AA6" w:rsidRDefault="00C45D83" w:rsidP="00C45D83">
      <w:pPr>
        <w:widowControl w:val="0"/>
        <w:spacing w:after="0" w:line="240" w:lineRule="auto"/>
        <w:jc w:val="both"/>
        <w:rPr>
          <w:rFonts w:ascii="Arial Narrow" w:hAnsi="Arial Narrow" w:cs="Arial"/>
          <w:color w:val="000000"/>
          <w:sz w:val="28"/>
          <w:szCs w:val="24"/>
        </w:rPr>
      </w:pPr>
    </w:p>
    <w:p w:rsidR="001E14DF" w:rsidRPr="000441CC" w:rsidRDefault="001E14DF" w:rsidP="001E14DF">
      <w:pPr>
        <w:widowControl w:val="0"/>
        <w:ind w:right="-517"/>
        <w:rPr>
          <w:rFonts w:ascii="Arial Narrow" w:hAnsi="Arial Narrow" w:cs="Arial"/>
          <w:b/>
          <w:color w:val="000000"/>
          <w:sz w:val="26"/>
          <w:szCs w:val="26"/>
        </w:rPr>
      </w:pPr>
      <w:r w:rsidRPr="000441CC">
        <w:rPr>
          <w:rFonts w:ascii="Arial Narrow" w:hAnsi="Arial Narrow" w:cs="Arial"/>
          <w:color w:val="000000"/>
          <w:sz w:val="26"/>
          <w:szCs w:val="26"/>
        </w:rPr>
        <w:t>Publicación en el Periódico Oficial del Gobierno del Estado:</w:t>
      </w:r>
      <w:r w:rsidRPr="000441CC">
        <w:rPr>
          <w:rFonts w:ascii="Arial Narrow" w:hAnsi="Arial Narrow" w:cs="Arial"/>
          <w:b/>
          <w:color w:val="000000"/>
          <w:sz w:val="26"/>
          <w:szCs w:val="26"/>
        </w:rPr>
        <w:t xml:space="preserve"> P.O.003 / 10 de </w:t>
      </w:r>
      <w:proofErr w:type="gramStart"/>
      <w:r w:rsidRPr="000441CC">
        <w:rPr>
          <w:rFonts w:ascii="Arial Narrow" w:hAnsi="Arial Narrow" w:cs="Arial"/>
          <w:b/>
          <w:color w:val="000000"/>
          <w:sz w:val="26"/>
          <w:szCs w:val="26"/>
        </w:rPr>
        <w:t>Enero</w:t>
      </w:r>
      <w:proofErr w:type="gramEnd"/>
      <w:r w:rsidRPr="000441CC">
        <w:rPr>
          <w:rFonts w:ascii="Arial Narrow" w:hAnsi="Arial Narrow" w:cs="Arial"/>
          <w:b/>
          <w:color w:val="000000"/>
          <w:sz w:val="26"/>
          <w:szCs w:val="26"/>
        </w:rPr>
        <w:t xml:space="preserve"> de 2020.</w:t>
      </w:r>
    </w:p>
    <w:p w:rsidR="00C14B27" w:rsidRPr="000B71ED" w:rsidRDefault="00C14B27" w:rsidP="00C14B27">
      <w:pPr>
        <w:widowControl w:val="0"/>
        <w:spacing w:after="0" w:line="240" w:lineRule="auto"/>
        <w:jc w:val="both"/>
        <w:rPr>
          <w:rFonts w:ascii="Arial Narrow" w:hAnsi="Arial Narrow" w:cs="Arial"/>
          <w:b/>
          <w:color w:val="000000"/>
          <w:sz w:val="28"/>
          <w:szCs w:val="24"/>
        </w:rPr>
      </w:pPr>
      <w:bookmarkStart w:id="0" w:name="_GoBack"/>
      <w:bookmarkEnd w:id="0"/>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227CE1" w:rsidRPr="00227CE1" w:rsidRDefault="00227CE1" w:rsidP="00227CE1">
      <w:pPr>
        <w:spacing w:after="0" w:line="360" w:lineRule="auto"/>
        <w:jc w:val="both"/>
        <w:rPr>
          <w:rFonts w:ascii="Arial" w:hAnsi="Arial" w:cs="Arial"/>
          <w:b/>
          <w:sz w:val="24"/>
          <w:szCs w:val="24"/>
        </w:rPr>
      </w:pPr>
      <w:bookmarkStart w:id="1" w:name="_Hlk499801855"/>
      <w:r w:rsidRPr="00227CE1">
        <w:rPr>
          <w:rFonts w:ascii="Arial" w:hAnsi="Arial" w:cs="Arial"/>
          <w:b/>
          <w:sz w:val="24"/>
          <w:szCs w:val="24"/>
        </w:rPr>
        <w:lastRenderedPageBreak/>
        <w:t xml:space="preserve">INICIATIVA DE DECRETO QUE REFORMA LA LEY DEL PROCEDIMIENTO CONTENCIOSO ADMINISTRATIVO PARA EL ESTADO DE COAHUILA DE ZARAGOZA, EL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que suscribe, Gobernador Constitucional del Estado de Coahuila de Zaragoza,</w:t>
      </w:r>
      <w:r w:rsidRPr="00227CE1">
        <w:rPr>
          <w:rFonts w:ascii="Arial" w:hAnsi="Arial" w:cs="Arial"/>
          <w:b/>
          <w:sz w:val="24"/>
          <w:szCs w:val="24"/>
        </w:rPr>
        <w:t xml:space="preserve"> </w:t>
      </w:r>
      <w:r w:rsidRPr="00227CE1">
        <w:rPr>
          <w:rFonts w:ascii="Arial" w:hAnsi="Arial" w:cs="Arial"/>
          <w:sz w:val="24"/>
          <w:szCs w:val="24"/>
        </w:rPr>
        <w:t>en ejercicio de las facultades que me confieren los artículos 59 fracción II y 82 fracción I, de la Constitución Política del Estado de Coahuila de Zaragoza;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Honorable Congreso la presente iniciativa de decreto al rubro indicada, al tenor de la siguiente:</w:t>
      </w:r>
    </w:p>
    <w:p w:rsidR="00227CE1" w:rsidRPr="00227CE1" w:rsidRDefault="00227CE1" w:rsidP="00227CE1">
      <w:pPr>
        <w:spacing w:after="0" w:line="360" w:lineRule="auto"/>
        <w:ind w:left="284"/>
        <w:jc w:val="center"/>
        <w:rPr>
          <w:rFonts w:ascii="Arial" w:hAnsi="Arial" w:cs="Arial"/>
          <w:sz w:val="24"/>
          <w:szCs w:val="24"/>
        </w:rPr>
      </w:pPr>
    </w:p>
    <w:p w:rsidR="00227CE1" w:rsidRPr="00227CE1" w:rsidRDefault="00227CE1" w:rsidP="00227CE1">
      <w:pPr>
        <w:spacing w:after="0" w:line="360" w:lineRule="auto"/>
        <w:ind w:left="284"/>
        <w:jc w:val="center"/>
        <w:rPr>
          <w:rFonts w:ascii="Arial" w:hAnsi="Arial" w:cs="Arial"/>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E X P O S I C I Ó N   D E   M O T I V O S</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Los coahuilenses, son merecedores de una justicia real, con procedimientos simplificados en la mejor forma posible, para agilizar su impartición en beneficio de toda la sociedad.</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Conforme a ello, se ha reconocido la necesidad de impulsar reformas que fortalezcan los cimientos del Estado de Derecho y que agilicen los procesos y etapas para el dictado de una sentencia, permitiendo, a su vez, aumentar la eficiencia y eficacia de nuestros tribunales de justicia y que, como consecuencia de esto, se garantice de forma efectiva una justicia pronta y expedita.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En relación con lo anterior, también se ha reconocido que, para alcanzar los postulados antes señalados, existe la posibilidad de simplificar y concentrar los procedimientos judiciales utilizando las tecnologías de la información; es decir, que en el ámbito jurisdiccional se puede utilizar la vía de lo que se ha venido llamando la ciberjusticia, para que las instancias judiciales eleven la eficiencia de su función.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Sin duda alguna, el avance de la tecnología implica nuevos retos en el mundo del derecho y uno de ellos es hacer que la justicia sea más asequible para los coahuilenses, ya que, por la gran extensión territorial de nuestro Estado, se ha señalado que existe dificultad para acceder a ella. Así pues, en vía de progreso, resulta imperativo explorar el uso de las modernas herramientas tecnológicas y de comunicación, con el fin de acortar distancias entre la ciudadanía y la justicia efectiva que debe brindarse en el verdadero Estado de Derecho.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Las exigencias de brindar un acceso efectivo a la justicia, implica analizar los cambios que demanda la modernidad en los servicios jurisdiccionales y cumplir con los requerimientos legales indispensables para su implementación, por lo cual el </w:t>
      </w:r>
      <w:r w:rsidRPr="00227CE1">
        <w:rPr>
          <w:rFonts w:ascii="Arial" w:hAnsi="Arial" w:cs="Arial"/>
          <w:sz w:val="24"/>
          <w:szCs w:val="24"/>
        </w:rPr>
        <w:lastRenderedPageBreak/>
        <w:t>Tribunal de Justicia Administrativa de Coahuila de Zaragoza, ha emprendido el establecimiento de estrategias que permitan hacer más eficiente la actividad jurisdiccional.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dicha planeación estratégica, se contempla la inclusión de la telemática, como una herramienta eficaz para la modernización del sistema de impartición de justicia, ya que representa una ventana de oportunidad para facilitar la cooperación y colaboración de los diversos subsistemas que integran el propio sistema de impartición de justicia.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Por lo anterior, se considera que el marco jurídico vigente puede actualizarse para alcanzar este objetivo, y para ello es necesario impulsar reformas que bajo los principios de legalidad, máxima publicidad, respeto a los derechos humanos, verdad material, razonabilidad, proporcionalidad y debido proceso, brinden certeza, seguridad, claridad y agilidad a los procedimientos que los particulares tramitan ante el Tribunal de Justicia Administrativa de Coahuila de Zaragoza, para dirimir las controversias que se susciten con la administración pública del Estado y de sus Municipios.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Con la misma finalidad, se considera que la reforma procedente en este caso, debe incluir como elementos fundamentales la implementación y el establecimiento de lo siguiente: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numPr>
          <w:ilvl w:val="0"/>
          <w:numId w:val="31"/>
        </w:numPr>
        <w:spacing w:after="0" w:line="360" w:lineRule="auto"/>
        <w:ind w:left="426" w:hanging="426"/>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lastRenderedPageBreak/>
        <w:t>Un nuevo esquema de juicio, con simplificación y abreviación de procedimientos.</w:t>
      </w:r>
    </w:p>
    <w:p w:rsidR="00227CE1" w:rsidRPr="00227CE1" w:rsidRDefault="00227CE1" w:rsidP="00227CE1">
      <w:pPr>
        <w:spacing w:after="0" w:line="360" w:lineRule="auto"/>
        <w:ind w:left="426" w:hanging="426"/>
        <w:jc w:val="both"/>
        <w:rPr>
          <w:rFonts w:ascii="Arial" w:eastAsia="Times New Roman" w:hAnsi="Arial" w:cs="Arial"/>
          <w:sz w:val="24"/>
          <w:szCs w:val="24"/>
          <w:lang w:eastAsia="es-ES"/>
        </w:rPr>
      </w:pPr>
    </w:p>
    <w:p w:rsidR="00227CE1" w:rsidRPr="00227CE1" w:rsidRDefault="00227CE1" w:rsidP="00227CE1">
      <w:pPr>
        <w:numPr>
          <w:ilvl w:val="0"/>
          <w:numId w:val="31"/>
        </w:numPr>
        <w:spacing w:after="0" w:line="360" w:lineRule="auto"/>
        <w:ind w:left="426" w:hanging="426"/>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La posibilidad de una terminación anticipada del juicio mediante un procedimiento de conciliación.</w:t>
      </w:r>
    </w:p>
    <w:p w:rsidR="00227CE1" w:rsidRPr="00227CE1" w:rsidRDefault="00227CE1" w:rsidP="00227CE1">
      <w:pPr>
        <w:spacing w:after="0" w:line="360" w:lineRule="auto"/>
        <w:ind w:left="426" w:hanging="426"/>
        <w:jc w:val="both"/>
        <w:rPr>
          <w:rFonts w:ascii="Arial" w:hAnsi="Arial" w:cs="Arial"/>
          <w:sz w:val="24"/>
          <w:szCs w:val="24"/>
        </w:rPr>
      </w:pPr>
    </w:p>
    <w:p w:rsidR="00227CE1" w:rsidRPr="00227CE1" w:rsidRDefault="00227CE1" w:rsidP="00227CE1">
      <w:pPr>
        <w:numPr>
          <w:ilvl w:val="0"/>
          <w:numId w:val="31"/>
        </w:numPr>
        <w:spacing w:after="0" w:line="360" w:lineRule="auto"/>
        <w:ind w:left="426" w:hanging="426"/>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La implementación de una modalidad virtual, para la tramitación del nuevo esquema del juicio simplificado y abreviado, en el que se contemplan: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El uso de la Firma Electrónica Avanzada, en términos de la Ley de Firma Electrónica Avanzada.</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La aplicación de Cédulas Electrónicas, que como mensajes de datos generados por la autoridad competente, proporcione al destinatario todos los datos necesarios para que conozca la actuación o información que se le comunica.</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El empleo de un Expediente Electrónico, es decir, el conjunto de información contenida en archivos electrónicos o documentos digitales, independientemente de que sea texto, imagen, audio o video, identificado por un número específico, que haga posible su conversión de papel a medios virtuales o su resguardo en dispositivos de almacenamiento de información por medio electrónico, para una administración de justicia más ágil. </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La realización mediante actuaciones electrónicas de: las notificaciones, citatorios, emplazamientos, requerimientos, solicitud de informes o </w:t>
      </w:r>
      <w:r w:rsidRPr="00227CE1">
        <w:rPr>
          <w:rFonts w:ascii="Arial" w:eastAsia="Times New Roman" w:hAnsi="Arial" w:cs="Arial"/>
          <w:sz w:val="24"/>
          <w:szCs w:val="24"/>
          <w:lang w:eastAsia="es-ES"/>
        </w:rPr>
        <w:lastRenderedPageBreak/>
        <w:t xml:space="preserve">documentos y, en su caso, las resoluciones definitivas que se emitan y sean comunicadas por medios electrónicos. </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 El acuse de recibo electrónico, que es el mensaje de datos que se emite o genera a través de medios de comunicación electrónica, para acreditar de manera fehaciente el momento de recepción de mensajes y documentos electrónicos relacionados con los actos dentro del procedimiento respectivo.</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El envío y recepción de mensajes de datos y documentos relacionados con los actos jurisdiccionales, que se realicen a través de los medios de comunicación electrónica.</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El uso de un sistema electrónico que tenga énfasis en la forma de presentar la demanda del juicio, para agilizar su procedimiento. </w:t>
      </w:r>
    </w:p>
    <w:p w:rsidR="00227CE1" w:rsidRPr="00227CE1" w:rsidRDefault="00227CE1" w:rsidP="00227CE1">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Un Sistema electrónico de seguimiento de expedientes.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ind w:left="450"/>
        <w:jc w:val="both"/>
        <w:rPr>
          <w:rFonts w:ascii="Arial" w:hAnsi="Arial" w:cs="Arial"/>
          <w:sz w:val="24"/>
          <w:szCs w:val="24"/>
        </w:rPr>
      </w:pPr>
      <w:r w:rsidRPr="00227CE1">
        <w:rPr>
          <w:rFonts w:ascii="Arial" w:hAnsi="Arial" w:cs="Arial"/>
          <w:sz w:val="24"/>
          <w:szCs w:val="24"/>
        </w:rPr>
        <w:t xml:space="preserve">En virtud de lo antes señalado, resulta necesario realizar la inclusión de los conceptos y una reforma estructural en la </w:t>
      </w:r>
      <w:bookmarkStart w:id="2" w:name="_Hlk529799283"/>
      <w:r w:rsidRPr="00227CE1">
        <w:rPr>
          <w:rFonts w:ascii="Arial" w:hAnsi="Arial" w:cs="Arial"/>
          <w:sz w:val="24"/>
          <w:szCs w:val="24"/>
        </w:rPr>
        <w:t>Ley del Procedimiento Contencioso Administrativo para el Estado de Coahuila de Zaragoza</w:t>
      </w:r>
      <w:bookmarkEnd w:id="2"/>
      <w:r w:rsidRPr="00227CE1">
        <w:rPr>
          <w:rFonts w:ascii="Arial" w:hAnsi="Arial" w:cs="Arial"/>
          <w:sz w:val="24"/>
          <w:szCs w:val="24"/>
        </w:rPr>
        <w:t>, a fin de permitir la incorporación de soluciones tecnológicas en el proceso y la posibilidad de acceder a un procedimiento abreviado y simplificado en casos específicos, obviando etapas procesales y que, además, privilegie la solución de los conflictos sobre las formalidades, pero respetando la igualdad y los derechos de las partes.</w:t>
      </w:r>
    </w:p>
    <w:p w:rsidR="00227CE1" w:rsidRPr="00227CE1" w:rsidRDefault="00227CE1" w:rsidP="00227CE1">
      <w:pPr>
        <w:spacing w:after="0" w:line="360" w:lineRule="auto"/>
        <w:ind w:left="450"/>
        <w:jc w:val="both"/>
        <w:rPr>
          <w:rFonts w:ascii="Arial" w:hAnsi="Arial" w:cs="Arial"/>
          <w:sz w:val="24"/>
          <w:szCs w:val="24"/>
        </w:rPr>
      </w:pPr>
    </w:p>
    <w:p w:rsidR="00227CE1" w:rsidRPr="00227CE1" w:rsidRDefault="00227CE1" w:rsidP="00227CE1">
      <w:pPr>
        <w:numPr>
          <w:ilvl w:val="0"/>
          <w:numId w:val="31"/>
        </w:numPr>
        <w:spacing w:after="0" w:line="360" w:lineRule="auto"/>
        <w:ind w:left="36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lastRenderedPageBreak/>
        <w:t>Dotar de facultades suficientes a las autoridades emisoras de actos administrativos impugnados para que condonen los accesorios de los créditos fiscales controvertidos ante el Tribunal de Justicia Administrativa de Coahuila de Zaragoza.</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Principios, criterios y fundamento de la iniciativa</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hAnsi="Arial" w:cs="Arial"/>
          <w:b/>
          <w:sz w:val="24"/>
          <w:szCs w:val="24"/>
        </w:rPr>
      </w:pPr>
      <w:r w:rsidRPr="00227CE1">
        <w:rPr>
          <w:rFonts w:ascii="Arial" w:hAnsi="Arial" w:cs="Arial"/>
          <w:b/>
          <w:sz w:val="24"/>
          <w:szCs w:val="24"/>
        </w:rPr>
        <w:t>Ley del Procedimiento Contencioso Administrativo para el Estado de Coahuila de Zaragoza</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numPr>
          <w:ilvl w:val="0"/>
          <w:numId w:val="33"/>
        </w:numPr>
        <w:spacing w:after="0" w:line="360" w:lineRule="auto"/>
        <w:ind w:left="0" w:firstLine="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Se propone adicionar a la Ley del Procedimiento Contencioso Administrativo para el Estado de Coahuila de Zaragoza, el Capítulo XIV, Del Juicio Contencioso Administrativo Sumario, a fin de regular de manera específica la tramitación y resolución del juicio contencioso administrativo sumario, al que independientemente de las particularidades que al efecto se establecen en el referido capítulo, le serán aplicables las disposiciones de la propia ley, con la salvedad de los casos de procedencia y la implementación de términos procesales simplificados y abreviados.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Se establecen casos específicos de procedencia, en contra de las resoluciones definitivas establecidas en la fracción II del artículo 3 de la Ley Orgánica del Tribunal de Justicia Administrativa de Coahuila de Zaragoza, así como de las resoluciones recaídas a sus recursos administrativos, transcribiéndose dicha disposición para una clara referencia:</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i/>
          <w:sz w:val="24"/>
          <w:szCs w:val="24"/>
          <w:lang w:eastAsia="es-ES"/>
        </w:rPr>
      </w:pPr>
      <w:r w:rsidRPr="00227CE1">
        <w:rPr>
          <w:rFonts w:ascii="Arial" w:eastAsia="Times New Roman" w:hAnsi="Arial" w:cs="Arial"/>
          <w:b/>
          <w:i/>
          <w:sz w:val="24"/>
          <w:szCs w:val="24"/>
          <w:lang w:eastAsia="es-ES"/>
        </w:rPr>
        <w:t>“Artículo 3</w:t>
      </w:r>
      <w:r w:rsidRPr="00227CE1">
        <w:rPr>
          <w:rFonts w:ascii="Arial" w:eastAsia="Times New Roman" w:hAnsi="Arial" w:cs="Arial"/>
          <w:i/>
          <w:sz w:val="24"/>
          <w:szCs w:val="24"/>
          <w:lang w:eastAsia="es-ES"/>
        </w:rPr>
        <w:t>. El Tribunal conocerá de los juicios o recursos que se promuevan contra las resoluciones definitivas, actos administrativos y procedimientos que se indican a continuación:</w:t>
      </w:r>
    </w:p>
    <w:p w:rsidR="00227CE1" w:rsidRPr="00227CE1" w:rsidRDefault="00227CE1" w:rsidP="00227CE1">
      <w:pPr>
        <w:spacing w:after="0" w:line="360" w:lineRule="auto"/>
        <w:jc w:val="both"/>
        <w:rPr>
          <w:rFonts w:ascii="Arial" w:eastAsia="Times New Roman" w:hAnsi="Arial" w:cs="Arial"/>
          <w:i/>
          <w:sz w:val="24"/>
          <w:szCs w:val="24"/>
          <w:lang w:eastAsia="es-ES"/>
        </w:rPr>
      </w:pPr>
      <w:r w:rsidRPr="00227CE1">
        <w:rPr>
          <w:rFonts w:ascii="Arial" w:eastAsia="Times New Roman" w:hAnsi="Arial" w:cs="Arial"/>
          <w:i/>
          <w:sz w:val="24"/>
          <w:szCs w:val="24"/>
          <w:lang w:eastAsia="es-ES"/>
        </w:rPr>
        <w:t>…</w:t>
      </w:r>
    </w:p>
    <w:p w:rsidR="00227CE1" w:rsidRPr="00227CE1" w:rsidRDefault="00227CE1" w:rsidP="00227CE1">
      <w:pPr>
        <w:spacing w:after="0" w:line="360" w:lineRule="auto"/>
        <w:jc w:val="both"/>
        <w:rPr>
          <w:rFonts w:ascii="Arial" w:eastAsia="Times New Roman" w:hAnsi="Arial" w:cs="Arial"/>
          <w:i/>
          <w:sz w:val="24"/>
          <w:szCs w:val="24"/>
          <w:lang w:eastAsia="es-ES"/>
        </w:rPr>
      </w:pPr>
      <w:r w:rsidRPr="00227CE1">
        <w:rPr>
          <w:rFonts w:ascii="Arial" w:eastAsia="Times New Roman" w:hAnsi="Arial" w:cs="Arial"/>
          <w:b/>
          <w:i/>
          <w:sz w:val="24"/>
          <w:szCs w:val="24"/>
          <w:lang w:eastAsia="es-ES"/>
        </w:rPr>
        <w:t xml:space="preserve">II. </w:t>
      </w:r>
      <w:r w:rsidRPr="00227CE1">
        <w:rPr>
          <w:rFonts w:ascii="Arial" w:eastAsia="Times New Roman" w:hAnsi="Arial" w:cs="Arial"/>
          <w:i/>
          <w:sz w:val="24"/>
          <w:szCs w:val="24"/>
          <w:lang w:eastAsia="es-ES"/>
        </w:rPr>
        <w:t>Las dictadas por autoridades fiscales estatales y organismos fiscales autónomos estatales y municipales en que se determine la existencia de una obligación fiscal, se fije en cantidad líquida o se den las bases para su liquidación;</w:t>
      </w: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i/>
          <w:sz w:val="24"/>
          <w:szCs w:val="24"/>
          <w:lang w:eastAsia="es-ES"/>
        </w:rPr>
        <w:t>…</w:t>
      </w:r>
      <w:r w:rsidRPr="00227CE1">
        <w:rPr>
          <w:rFonts w:ascii="Arial" w:eastAsia="Times New Roman" w:hAnsi="Arial" w:cs="Arial"/>
          <w:sz w:val="24"/>
          <w:szCs w:val="24"/>
          <w:lang w:eastAsia="es-ES"/>
        </w:rPr>
        <w:t>”</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Por lo que el Juicio Contencioso Administrativo Sumario, será procedente, siempre que su importe no exceda de cinco veces el valor anual de la UMA.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Por el tipo de actos impugnados que  son materia de dicho Juicio,  es posible abreviar  los plazos de respuesta de las autoridades y términos procesales para ampliación de demanda y contestación de la misma, ya que la litis se centra en cuestiones de derecho y en procedimientos plasmados en piezas documentales.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Por ello, se contempla la posibilidad de prescindir de la celebración de audiencias, para el desahogo de pruebas, en aquellos casos que el objeto del juicio sea la valoración de pruebas documentales o que por su naturaleza no requieran un especial desahogo, pues ya es de explorado derecho que dichas probanzas, en lo referente a la apreciación de la prueba, cuentan ya con una valoración preestablecida fijada en ley, sin que con ello se vea conculcado el derecho de </w:t>
      </w:r>
      <w:r w:rsidRPr="00227CE1">
        <w:rPr>
          <w:rFonts w:ascii="Arial" w:eastAsia="Times New Roman" w:hAnsi="Arial" w:cs="Arial"/>
          <w:sz w:val="24"/>
          <w:szCs w:val="24"/>
          <w:lang w:eastAsia="es-ES"/>
        </w:rPr>
        <w:lastRenderedPageBreak/>
        <w:t xml:space="preserve">defensa de las partes, pues, en su caso, las mismas conservan en todo momento el derecho de impugnar la autenticidad de los documentos privados o públicos y demás pruebas que fueren ofrecidas, a través de los medios de impugnación establecidos.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De igual forma, se contempla la posibilidad de prescindir de la audiencia de desahogo de pruebas, para el caso en que los puntos controvertidos resulten en cuestiones de derecho, pues las cuestiones puras de derecho, no pueden ser sujetas a prueba y no requieren de trámites procesales posteriores para su desahogo, lo que se traduce en una justicia más expedita y en beneficio del ciudadano al disminuir los términos procesales de respuesta en la emisión de sentencia.</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numPr>
          <w:ilvl w:val="0"/>
          <w:numId w:val="33"/>
        </w:numPr>
        <w:spacing w:after="0" w:line="360" w:lineRule="auto"/>
        <w:ind w:left="0" w:firstLine="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En forma innovadora, se propone adicionar la Ley del Procedimiento Contencioso Administrativo para el Estado de Coahuila de Zaragoza, para incorporar un nuevo Capítulo XV, del Procedimiento de Conciliación del Juicio Contencioso Administrativo Sumario, como parte del ejercicio de un efectivo acceso a la justicia pronta y expedita, el cual se tramitará por cuerda separada y sin suspensión del procedimiento, y que privilegia la solución del conflicto sobre las formalidades, en todos los casos que la ley del acto impugnado permita finalizar el juicio por esta vía. La propuesta de la autoridad demandada y la aceptación de la parte demandante será analizada por el magistrado instructor, quien, en caso de no ser contraria a derecho, emitirá dentro del plazo de 3 días declaración de legalidad y validez del mismo, previa garantía del interés fiscal en favor de la autoridad </w:t>
      </w:r>
      <w:r w:rsidRPr="00227CE1">
        <w:rPr>
          <w:rFonts w:ascii="Arial" w:eastAsia="Times New Roman" w:hAnsi="Arial" w:cs="Arial"/>
          <w:sz w:val="24"/>
          <w:szCs w:val="24"/>
          <w:lang w:eastAsia="es-ES"/>
        </w:rPr>
        <w:lastRenderedPageBreak/>
        <w:t>demandada para garantizar su cumplimiento, y, en su caso, decretará el consentimiento del acto impugnado para su cumplimiento. En el supuesto de incumplimiento del demandante, el acto que dio origen al juicio no podrá ser impugnado al tratarse de un acto consentido y podrá continuarse el procedimiento administrativo de ejecución para su cobro.</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numPr>
          <w:ilvl w:val="0"/>
          <w:numId w:val="33"/>
        </w:numPr>
        <w:spacing w:after="0" w:line="360" w:lineRule="auto"/>
        <w:ind w:left="0" w:firstLine="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También, se propone adicionar a la Ley del Procedimiento Contencioso Administrativo para el Estado de Coahuila de Zaragoza, un Capítulo XVI, para incorporar, como una novedad en los procedimientos jurisdiccionales del Estado, lo relativo al Trámite del Juicio en Línea, que será de exclusiva aplicación en el caso del Juicio Contencioso Administrativo Sumario.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El trámite del Juicio Contencioso Administrativo Sumario en Línea, se realizará conforme a las disposiciones establecidas en el Capítulo XIV de la propia ley, con las particularidades establecidas en el Capítulo XVI, que se propone adicionar a este mismo ordenamiento.</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Se propone que el juicio en línea sea opcional para el particular demandante, así como para el particular que sea llamado como tercero interesado, cuando ya se encuentre en trámite el juicio contencioso administrativo sumario en línea, por lo que podrá elegir continuarlo en la misma vía o en forma escrita y presencial.</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En caso de que se elija por el particular el juicio en línea, será obligatorio dicho trámite para las autoridades, sin que ello implique alguna desventaja o desigualdad </w:t>
      </w:r>
      <w:r w:rsidRPr="00227CE1">
        <w:rPr>
          <w:rFonts w:ascii="Arial" w:eastAsia="Times New Roman" w:hAnsi="Arial" w:cs="Arial"/>
          <w:sz w:val="24"/>
          <w:szCs w:val="24"/>
          <w:lang w:eastAsia="es-ES"/>
        </w:rPr>
        <w:lastRenderedPageBreak/>
        <w:t xml:space="preserve">de partes, toda vez que las dependencias y organismos gubernamentales cuentan con la estructura necesaria y, de cualquier manera, se ha previsto un tiempo previo a la entrada en vigor de las reformas propuestas, para que aquellas autoridades que lo requieran obtengan los recursos humanos y materiales necesarios e implementen los sistemas adecuados para este fin.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Lo anterior, es acorde con los tratados internacionales en que el Estado Mexicano es parte, como miembro integrante de la Unión Internacional de Telecomunicaciones de la Organización de las Naciones Unidas, al ser un instrumento eficaz para promover ``la buena gobernanza'' y el Estado de Derecho.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Además de reportar beneficios en aras de apoyar la pronta y eficaz impartición de la justicia administrativa, a los entes públicos del Estado de Coahuila de Zaragoza y sus Municipios, les significará también, a mediano y largo plazo, un ahorro en tiempo y recursos, que podrán ser aprovechados en sus funciones.</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Las reformas prevén la facultad para que el Tribunal establezca por medio de acuerdos y/o reglamentos, los lineamientos técnicos y formales que deben cumplir las partes y quienes intervengan en el juicio contencioso administrativo sumario en línea, para garantizar la debida operación y seguridad de los juicios. </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 xml:space="preserve">Todas las promociones y sus anexos deberán ser presentados ante el tribunal de manera digital y contendrán la firma electrónica avanzada que los valide, en </w:t>
      </w:r>
      <w:r w:rsidRPr="00227CE1">
        <w:rPr>
          <w:rFonts w:ascii="Arial" w:eastAsia="Times New Roman" w:hAnsi="Arial" w:cs="Arial"/>
          <w:sz w:val="24"/>
          <w:szCs w:val="24"/>
          <w:lang w:eastAsia="es-ES"/>
        </w:rPr>
        <w:lastRenderedPageBreak/>
        <w:t>términos de la Ley de Firma Electrónica Avanzada, siendo ésta la única forma autorizada por la legislación federal vigente, para la sustitución de la firma autógrafa.</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Se establece que en el juicio contencioso administrativo sumario en línea, el tribunal emitirá un acuse de recibo en el que se deberá señalar la fecha y hora de recepción de las promociones y los documentos que sean enviados y dirigidos al expediente correspondiente, lo que dará seguridad jurídica a los particulares de que fueron recibidos debidamente.</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De la misma forma, se establece que los funcionarios jurisdiccionales que intervienen en el juicio contencioso administrativo sumario, firmarán con su correspondiente firma electrónica avanzada, con la que validarán sus actuaciones.</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spacing w:after="0" w:line="360" w:lineRule="auto"/>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De igual manera, se prevén los casos de contingencia en cuanto a fallas temporales en el Sistema de Justicia en Línea del Tribunal, señalando la forma en la que las partes deberán de cumplir con los términos legales para la presentación de las promociones que correspondan en el trámite de los juicios en los que intervengan.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
          <w:bCs/>
          <w:sz w:val="24"/>
          <w:szCs w:val="24"/>
          <w:lang w:eastAsia="es-ES"/>
        </w:rPr>
      </w:pPr>
      <w:r w:rsidRPr="00227CE1">
        <w:rPr>
          <w:rFonts w:ascii="Arial" w:hAnsi="Arial" w:cs="Arial"/>
          <w:b/>
          <w:sz w:val="24"/>
          <w:szCs w:val="24"/>
        </w:rPr>
        <w:t>Código Fiscal para el Estado de Coahuila de Zaragoza</w:t>
      </w: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
          <w:bCs/>
          <w:sz w:val="24"/>
          <w:szCs w:val="24"/>
          <w:lang w:eastAsia="es-ES"/>
        </w:rPr>
      </w:pPr>
    </w:p>
    <w:p w:rsidR="00227CE1" w:rsidRPr="00227CE1" w:rsidRDefault="00227CE1" w:rsidP="00227CE1">
      <w:pPr>
        <w:widowControl w:val="0"/>
        <w:autoSpaceDE w:val="0"/>
        <w:autoSpaceDN w:val="0"/>
        <w:adjustRightInd w:val="0"/>
        <w:spacing w:after="0" w:line="360" w:lineRule="auto"/>
        <w:jc w:val="both"/>
        <w:rPr>
          <w:rFonts w:ascii="Arial" w:hAnsi="Arial" w:cs="Arial"/>
          <w:sz w:val="24"/>
          <w:szCs w:val="24"/>
        </w:rPr>
      </w:pPr>
      <w:r w:rsidRPr="00227CE1">
        <w:rPr>
          <w:rFonts w:ascii="Arial" w:eastAsia="Times New Roman" w:hAnsi="Arial" w:cs="Arial"/>
          <w:b/>
          <w:bCs/>
          <w:sz w:val="24"/>
          <w:szCs w:val="24"/>
          <w:lang w:eastAsia="es-ES"/>
        </w:rPr>
        <w:t>A.</w:t>
      </w:r>
      <w:r w:rsidRPr="00227CE1">
        <w:rPr>
          <w:rFonts w:ascii="Arial" w:eastAsia="Times New Roman" w:hAnsi="Arial" w:cs="Arial"/>
          <w:b/>
          <w:bCs/>
          <w:sz w:val="24"/>
          <w:szCs w:val="24"/>
          <w:lang w:eastAsia="es-ES"/>
        </w:rPr>
        <w:tab/>
      </w:r>
      <w:r w:rsidRPr="00227CE1">
        <w:rPr>
          <w:rFonts w:ascii="Arial" w:eastAsia="Times New Roman" w:hAnsi="Arial" w:cs="Arial"/>
          <w:bCs/>
          <w:sz w:val="24"/>
          <w:szCs w:val="24"/>
          <w:lang w:eastAsia="es-ES"/>
        </w:rPr>
        <w:t>Se propone dotar a la Secretaría de Finanzas, por conducto de la Administración Fiscal General, de facultades para condonar total o parcialmente</w:t>
      </w:r>
      <w:r w:rsidRPr="00227CE1">
        <w:rPr>
          <w:rFonts w:ascii="Arial" w:eastAsia="Times New Roman" w:hAnsi="Arial" w:cs="Arial"/>
          <w:b/>
          <w:bCs/>
          <w:sz w:val="24"/>
          <w:szCs w:val="24"/>
          <w:lang w:eastAsia="es-ES"/>
        </w:rPr>
        <w:t xml:space="preserve"> </w:t>
      </w:r>
      <w:r w:rsidRPr="00227CE1">
        <w:rPr>
          <w:rFonts w:ascii="Arial" w:hAnsi="Arial" w:cs="Arial"/>
          <w:sz w:val="24"/>
          <w:szCs w:val="24"/>
        </w:rPr>
        <w:t>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227CE1" w:rsidRPr="00227CE1" w:rsidRDefault="00227CE1" w:rsidP="00227CE1">
      <w:pPr>
        <w:widowControl w:val="0"/>
        <w:autoSpaceDE w:val="0"/>
        <w:autoSpaceDN w:val="0"/>
        <w:adjustRightInd w:val="0"/>
        <w:spacing w:after="0" w:line="360" w:lineRule="auto"/>
        <w:jc w:val="both"/>
        <w:rPr>
          <w:rFonts w:ascii="Arial" w:hAnsi="Arial" w:cs="Arial"/>
          <w:sz w:val="24"/>
          <w:szCs w:val="24"/>
        </w:rPr>
      </w:pPr>
    </w:p>
    <w:p w:rsidR="00227CE1" w:rsidRPr="00227CE1" w:rsidRDefault="00227CE1" w:rsidP="00227CE1">
      <w:pPr>
        <w:widowControl w:val="0"/>
        <w:autoSpaceDE w:val="0"/>
        <w:autoSpaceDN w:val="0"/>
        <w:adjustRightInd w:val="0"/>
        <w:spacing w:after="0" w:line="360" w:lineRule="auto"/>
        <w:jc w:val="both"/>
        <w:rPr>
          <w:rFonts w:ascii="Arial" w:hAnsi="Arial" w:cs="Arial"/>
          <w:sz w:val="24"/>
          <w:szCs w:val="24"/>
        </w:rPr>
      </w:pPr>
      <w:r w:rsidRPr="00227CE1">
        <w:rPr>
          <w:rFonts w:ascii="Arial" w:eastAsia="Times New Roman" w:hAnsi="Arial" w:cs="Arial"/>
          <w:b/>
          <w:bCs/>
          <w:sz w:val="24"/>
          <w:szCs w:val="24"/>
          <w:lang w:eastAsia="es-ES"/>
        </w:rPr>
        <w:t>B.</w:t>
      </w:r>
      <w:r w:rsidRPr="00227CE1">
        <w:rPr>
          <w:rFonts w:ascii="Arial" w:eastAsia="Times New Roman" w:hAnsi="Arial" w:cs="Arial"/>
          <w:b/>
          <w:bCs/>
          <w:sz w:val="24"/>
          <w:szCs w:val="24"/>
          <w:lang w:eastAsia="es-ES"/>
        </w:rPr>
        <w:tab/>
      </w:r>
      <w:r w:rsidRPr="00227CE1">
        <w:rPr>
          <w:rFonts w:ascii="Arial" w:eastAsia="Times New Roman" w:hAnsi="Arial" w:cs="Arial"/>
          <w:bCs/>
          <w:sz w:val="24"/>
          <w:szCs w:val="24"/>
          <w:lang w:eastAsia="es-ES"/>
        </w:rPr>
        <w:t xml:space="preserve">Se propone modificar la mecánica de las condonaciones para permitir que sean procedentes </w:t>
      </w:r>
      <w:r w:rsidRPr="00227CE1">
        <w:rPr>
          <w:rFonts w:ascii="Arial" w:hAnsi="Arial" w:cs="Arial"/>
          <w:sz w:val="24"/>
          <w:szCs w:val="24"/>
        </w:rPr>
        <w:t>cuando se trate de impugnación de créditos fiscales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227CE1" w:rsidRPr="00227CE1" w:rsidRDefault="00227CE1" w:rsidP="00227CE1">
      <w:pPr>
        <w:widowControl w:val="0"/>
        <w:autoSpaceDE w:val="0"/>
        <w:autoSpaceDN w:val="0"/>
        <w:adjustRightInd w:val="0"/>
        <w:spacing w:after="0" w:line="360" w:lineRule="auto"/>
        <w:jc w:val="both"/>
        <w:rPr>
          <w:rFonts w:ascii="Arial" w:hAnsi="Arial" w:cs="Arial"/>
          <w:sz w:val="24"/>
          <w:szCs w:val="24"/>
        </w:rPr>
      </w:pPr>
    </w:p>
    <w:p w:rsidR="00227CE1" w:rsidRPr="00227CE1" w:rsidRDefault="00227CE1" w:rsidP="00227CE1">
      <w:pPr>
        <w:widowControl w:val="0"/>
        <w:autoSpaceDE w:val="0"/>
        <w:autoSpaceDN w:val="0"/>
        <w:adjustRightInd w:val="0"/>
        <w:spacing w:after="0" w:line="360" w:lineRule="auto"/>
        <w:jc w:val="both"/>
        <w:rPr>
          <w:rFonts w:ascii="Arial" w:hAnsi="Arial" w:cs="Arial"/>
          <w:sz w:val="24"/>
          <w:szCs w:val="24"/>
        </w:rPr>
      </w:pPr>
    </w:p>
    <w:p w:rsidR="00227CE1" w:rsidRPr="00227CE1" w:rsidRDefault="00227CE1" w:rsidP="00227CE1">
      <w:pPr>
        <w:widowControl w:val="0"/>
        <w:autoSpaceDE w:val="0"/>
        <w:autoSpaceDN w:val="0"/>
        <w:adjustRightInd w:val="0"/>
        <w:spacing w:after="0" w:line="360" w:lineRule="auto"/>
        <w:jc w:val="both"/>
        <w:rPr>
          <w:rFonts w:ascii="Arial" w:hAnsi="Arial" w:cs="Arial"/>
          <w:b/>
          <w:sz w:val="24"/>
          <w:szCs w:val="24"/>
        </w:rPr>
      </w:pPr>
      <w:r w:rsidRPr="00227CE1">
        <w:rPr>
          <w:rFonts w:ascii="Arial" w:hAnsi="Arial" w:cs="Arial"/>
          <w:b/>
          <w:sz w:val="24"/>
          <w:szCs w:val="24"/>
        </w:rPr>
        <w:t>Código Municipal para el Estado de Coahuila de Zaragoza</w:t>
      </w:r>
    </w:p>
    <w:p w:rsidR="00227CE1" w:rsidRPr="00227CE1" w:rsidRDefault="00227CE1" w:rsidP="00227CE1">
      <w:pPr>
        <w:widowControl w:val="0"/>
        <w:autoSpaceDE w:val="0"/>
        <w:autoSpaceDN w:val="0"/>
        <w:adjustRightInd w:val="0"/>
        <w:spacing w:after="0" w:line="360" w:lineRule="auto"/>
        <w:jc w:val="both"/>
        <w:rPr>
          <w:rFonts w:ascii="Arial" w:hAnsi="Arial" w:cs="Arial"/>
          <w:b/>
          <w:sz w:val="24"/>
          <w:szCs w:val="24"/>
        </w:rPr>
      </w:pPr>
    </w:p>
    <w:p w:rsidR="00227CE1" w:rsidRPr="00227CE1" w:rsidRDefault="00227CE1" w:rsidP="00227CE1">
      <w:pPr>
        <w:widowControl w:val="0"/>
        <w:autoSpaceDE w:val="0"/>
        <w:autoSpaceDN w:val="0"/>
        <w:adjustRightInd w:val="0"/>
        <w:spacing w:after="0" w:line="360" w:lineRule="auto"/>
        <w:jc w:val="both"/>
        <w:rPr>
          <w:rFonts w:ascii="Arial" w:hAnsi="Arial" w:cs="Arial"/>
          <w:b/>
          <w:sz w:val="24"/>
          <w:szCs w:val="24"/>
        </w:rPr>
      </w:pPr>
      <w:r w:rsidRPr="00227CE1">
        <w:rPr>
          <w:rFonts w:ascii="Arial" w:hAnsi="Arial" w:cs="Arial"/>
          <w:b/>
          <w:sz w:val="24"/>
          <w:szCs w:val="24"/>
        </w:rPr>
        <w:t>A.</w:t>
      </w:r>
      <w:r w:rsidRPr="00227CE1">
        <w:rPr>
          <w:rFonts w:ascii="Arial" w:hAnsi="Arial" w:cs="Arial"/>
          <w:b/>
          <w:sz w:val="24"/>
          <w:szCs w:val="24"/>
        </w:rPr>
        <w:tab/>
      </w:r>
      <w:r w:rsidRPr="00227CE1">
        <w:rPr>
          <w:rFonts w:ascii="Arial" w:hAnsi="Arial" w:cs="Arial"/>
          <w:sz w:val="24"/>
          <w:szCs w:val="24"/>
        </w:rPr>
        <w:t>Se propone dotar de facultades a los tesoreros municipales para realizar propuestas de conciliación y celebrar convenios dentro del juicio contencioso administrativo sumario en los términos de la Ley de Procedimiento Contencioso Administrativo para el Estado de Coahuila de Zaragoza</w:t>
      </w:r>
      <w:r w:rsidRPr="00227CE1">
        <w:rPr>
          <w:rFonts w:ascii="Arial" w:hAnsi="Arial" w:cs="Arial"/>
          <w:b/>
          <w:sz w:val="24"/>
          <w:szCs w:val="24"/>
        </w:rPr>
        <w:t>.</w:t>
      </w: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Cs/>
          <w:sz w:val="24"/>
          <w:szCs w:val="24"/>
          <w:lang w:eastAsia="es-ES"/>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Cs/>
          <w:sz w:val="24"/>
          <w:szCs w:val="24"/>
          <w:lang w:eastAsia="es-ES"/>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Código Financiero Para Los Municipios Del Estado De Coahuila De Zaragoza</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numPr>
          <w:ilvl w:val="0"/>
          <w:numId w:val="34"/>
        </w:numPr>
        <w:spacing w:after="0" w:line="360" w:lineRule="auto"/>
        <w:ind w:left="0" w:firstLine="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Se propone la reforma al artículo 383 del Código Financiero para los Municipios del Estado de Coahuila de Zaragoza, se establecen excepciones a la prohibición para condonar accesorios de los créditos fiscales.</w:t>
      </w:r>
    </w:p>
    <w:p w:rsidR="00227CE1" w:rsidRPr="00227CE1" w:rsidRDefault="00227CE1" w:rsidP="00227CE1">
      <w:pPr>
        <w:spacing w:after="0" w:line="360" w:lineRule="auto"/>
        <w:jc w:val="both"/>
        <w:rPr>
          <w:rFonts w:ascii="Arial" w:eastAsia="Times New Roman" w:hAnsi="Arial" w:cs="Arial"/>
          <w:sz w:val="24"/>
          <w:szCs w:val="24"/>
          <w:lang w:eastAsia="es-ES"/>
        </w:rPr>
      </w:pPr>
    </w:p>
    <w:p w:rsidR="00227CE1" w:rsidRPr="00227CE1" w:rsidRDefault="00227CE1" w:rsidP="00227CE1">
      <w:pPr>
        <w:numPr>
          <w:ilvl w:val="0"/>
          <w:numId w:val="34"/>
        </w:numPr>
        <w:spacing w:after="0" w:line="360" w:lineRule="auto"/>
        <w:ind w:left="0" w:firstLine="0"/>
        <w:contextualSpacing/>
        <w:jc w:val="both"/>
        <w:rPr>
          <w:rFonts w:ascii="Arial" w:eastAsia="Times New Roman" w:hAnsi="Arial" w:cs="Arial"/>
          <w:sz w:val="24"/>
          <w:szCs w:val="24"/>
          <w:lang w:eastAsia="es-ES"/>
        </w:rPr>
      </w:pPr>
      <w:r w:rsidRPr="00227CE1">
        <w:rPr>
          <w:rFonts w:ascii="Arial" w:eastAsia="Times New Roman" w:hAnsi="Arial" w:cs="Arial"/>
          <w:sz w:val="24"/>
          <w:szCs w:val="24"/>
          <w:lang w:eastAsia="es-ES"/>
        </w:rPr>
        <w:t>De igual forma, se propone la adición del artículo 413 bis del Código Financiero para los Municipios del Estado de Coahuila de Zaragoza, para establecer que los Presidentes Municipales y los tesoreros municipales, puedan condonar total o parcialmente el monto sobre 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Cs/>
          <w:sz w:val="24"/>
          <w:szCs w:val="24"/>
          <w:lang w:eastAsia="es-ES"/>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Por lo antes expuesto, me permito presentar ante esta Honorable Legislatura para su estudio, resolución y, en su caso, aprobación, la siguiente iniciativa con proyecto de:</w:t>
      </w: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DECRETO</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PRIMERO.</w:t>
      </w:r>
      <w:r w:rsidRPr="00227CE1">
        <w:rPr>
          <w:rFonts w:ascii="Arial" w:hAnsi="Arial" w:cs="Arial"/>
          <w:sz w:val="24"/>
          <w:szCs w:val="24"/>
        </w:rPr>
        <w:t xml:space="preserve"> Se reforman las fracciones II y X del 46, y la denominación del capítulo V; </w:t>
      </w:r>
      <w:bookmarkStart w:id="3" w:name="_Hlk9442008"/>
      <w:r w:rsidRPr="00227CE1">
        <w:rPr>
          <w:rFonts w:ascii="Arial" w:hAnsi="Arial" w:cs="Arial"/>
          <w:sz w:val="24"/>
          <w:szCs w:val="24"/>
        </w:rPr>
        <w:t>se adicionan los artículos 1 Bis, un segundo párrafo al artículo 4, el capítulo XIV con los artículos  104, 105, 106, 107, 108, 109, 110, 111, 112, 113, 114 y 115; el capítulo XV con los artículos 116, 117, 118, 119 y 120; el capítulo XVI con los artículos 121, 122, 123, 124, 125, 126, y 127</w:t>
      </w:r>
      <w:bookmarkEnd w:id="3"/>
      <w:r w:rsidRPr="00227CE1">
        <w:rPr>
          <w:rFonts w:ascii="Arial" w:hAnsi="Arial" w:cs="Arial"/>
          <w:sz w:val="24"/>
          <w:szCs w:val="24"/>
        </w:rPr>
        <w:t>, de la Ley del Procedimiento Contencioso Administrativo para el Estado de Coahuila de Zaragoza, para quedar como sigue:</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 Bis.-</w:t>
      </w:r>
      <w:r w:rsidRPr="00227CE1">
        <w:rPr>
          <w:rFonts w:ascii="Arial" w:hAnsi="Arial" w:cs="Arial"/>
          <w:sz w:val="24"/>
          <w:szCs w:val="24"/>
        </w:rPr>
        <w:t xml:space="preserve"> Para los efectos de esta ley se entenderá:</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w:t>
      </w:r>
      <w:r w:rsidRPr="00227CE1">
        <w:rPr>
          <w:rFonts w:ascii="Arial" w:hAnsi="Arial" w:cs="Arial"/>
          <w:sz w:val="24"/>
          <w:szCs w:val="24"/>
        </w:rPr>
        <w:tab/>
        <w:t>Contraseña: Conjunto único de caracteres alfanuméricos, clave elegida por el interesado en el proceso de su registro, con la que, en combinación con el usuario, tendrá acceso a la información establecida y autorizada en el Sistema de Juicio en Línea;</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w:t>
      </w:r>
      <w:r w:rsidRPr="00227CE1">
        <w:rPr>
          <w:rFonts w:ascii="Arial" w:hAnsi="Arial" w:cs="Arial"/>
          <w:sz w:val="24"/>
          <w:szCs w:val="24"/>
        </w:rPr>
        <w:t xml:space="preserve"> Convenio Conciliatorio: Es el acuerdo celebrado entre la Autoridad Demandada y el Demandante, conformado por la propuesta de conciliación hecha por la autoridad demandada y la aceptación por parte del demandante, en el Procedimiento de Conciliación del Juicio Contencioso Administrativo Sumario;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III.</w:t>
      </w:r>
      <w:r w:rsidRPr="00227CE1">
        <w:rPr>
          <w:rFonts w:ascii="Arial" w:hAnsi="Arial" w:cs="Arial"/>
          <w:sz w:val="24"/>
          <w:szCs w:val="24"/>
        </w:rPr>
        <w:t xml:space="preserve"> Expediente Electrónico: Conjunto de información contenida en archivos electrónicos o documentos digitales que conforman un Juicio Contencioso Administrativo Sumario seguido en línea ante el Tribunal, independientemente de que sea texto, imagen, audio o video, identificado por un número específico;</w:t>
      </w:r>
      <w:r w:rsidRPr="00227CE1">
        <w:rPr>
          <w:rFonts w:ascii="Arial" w:hAnsi="Arial" w:cs="Arial"/>
          <w:sz w:val="24"/>
          <w:szCs w:val="24"/>
        </w:rPr>
        <w:tab/>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IV.</w:t>
      </w:r>
      <w:r w:rsidRPr="00227CE1">
        <w:rPr>
          <w:rFonts w:ascii="Arial" w:hAnsi="Arial" w:cs="Arial"/>
          <w:sz w:val="24"/>
          <w:szCs w:val="24"/>
        </w:rPr>
        <w:tab/>
        <w:t xml:space="preserve">Juicio Contencioso Administrativo: es el procedimiento jurisdiccional, establecido en la Ley para </w:t>
      </w:r>
      <w:r w:rsidRPr="00227CE1">
        <w:rPr>
          <w:rFonts w:ascii="Arial" w:hAnsi="Arial" w:cs="Arial"/>
          <w:sz w:val="24"/>
          <w:szCs w:val="24"/>
          <w:lang w:val="es-ES_tradnl"/>
        </w:rPr>
        <w:t>resolver las controversias de competencia del Tribunal de conformidad con esta ley demás disposiciones aplicables;</w:t>
      </w:r>
      <w:r w:rsidRPr="00227CE1">
        <w:rPr>
          <w:rFonts w:ascii="Arial" w:hAnsi="Arial" w:cs="Arial"/>
          <w:sz w:val="24"/>
          <w:szCs w:val="24"/>
        </w:rPr>
        <w:t xml:space="preserve">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V.</w:t>
      </w:r>
      <w:r w:rsidRPr="00227CE1">
        <w:rPr>
          <w:rFonts w:ascii="Arial" w:hAnsi="Arial" w:cs="Arial"/>
          <w:sz w:val="24"/>
          <w:szCs w:val="24"/>
        </w:rPr>
        <w:tab/>
        <w:t>Juicio Contencioso Administrativo Sumario: Proceso seguido ante el Tribunal bajo los supuestos establecidos en esta ley, tramitado con términos procesales en forma simplificada y abreviada;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VI.</w:t>
      </w:r>
      <w:r w:rsidRPr="00227CE1">
        <w:rPr>
          <w:rFonts w:ascii="Arial" w:hAnsi="Arial" w:cs="Arial"/>
          <w:b/>
          <w:sz w:val="24"/>
          <w:szCs w:val="24"/>
        </w:rPr>
        <w:tab/>
      </w:r>
      <w:r w:rsidRPr="00227CE1">
        <w:rPr>
          <w:rFonts w:ascii="Arial" w:hAnsi="Arial" w:cs="Arial"/>
          <w:sz w:val="24"/>
          <w:szCs w:val="24"/>
        </w:rPr>
        <w:t>Juicio en Línea: Es la vía de Substanciación procesal, a través del Sistema de Juicio en Línea;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VII.</w:t>
      </w:r>
      <w:r w:rsidRPr="00227CE1">
        <w:rPr>
          <w:rFonts w:ascii="Arial" w:hAnsi="Arial" w:cs="Arial"/>
          <w:sz w:val="24"/>
          <w:szCs w:val="24"/>
        </w:rPr>
        <w:tab/>
        <w:t>Nombre Usuario: Es una clave elegida por el interesado en el proceso de su registro para acceder e interactuar en el Sistema de Juicio en Línea, que será la identificación del interesado en el sistema;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VIII.</w:t>
      </w:r>
      <w:r w:rsidRPr="00227CE1">
        <w:rPr>
          <w:rFonts w:ascii="Arial" w:hAnsi="Arial" w:cs="Arial"/>
          <w:sz w:val="24"/>
          <w:szCs w:val="24"/>
        </w:rPr>
        <w:tab/>
        <w:t xml:space="preserve"> Procedimiento de conciliación: Es el procedimiento de conciliación establecido en esta ley dentro del Juicio Contenciosos Administrativo Sumario;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IX.</w:t>
      </w:r>
      <w:r w:rsidRPr="00227CE1">
        <w:rPr>
          <w:rFonts w:ascii="Arial" w:hAnsi="Arial" w:cs="Arial"/>
          <w:sz w:val="24"/>
          <w:szCs w:val="24"/>
        </w:rPr>
        <w:t xml:space="preserve">  Propuesta de conciliación: Es el acto mediante el cual el servidor público facultado propone la emisión de un nuevo acto condicionado a su cumplimiento;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w:t>
      </w:r>
      <w:r w:rsidRPr="00227CE1">
        <w:rPr>
          <w:rFonts w:ascii="Arial" w:hAnsi="Arial" w:cs="Arial"/>
          <w:b/>
          <w:sz w:val="24"/>
          <w:szCs w:val="24"/>
        </w:rPr>
        <w:tab/>
      </w:r>
      <w:r w:rsidRPr="00227CE1">
        <w:rPr>
          <w:rFonts w:ascii="Arial" w:hAnsi="Arial" w:cs="Arial"/>
          <w:sz w:val="24"/>
          <w:szCs w:val="24"/>
        </w:rPr>
        <w:t>Sistema de Juicio en Línea: Sistema informático establecido por el Tribunal, para el efecto de registrar, controlar, procesar, almacenar, difundir, transmitir, gestionar, administrar y notificar el procedimiento que se substancie ante el propio Tribunal;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XI.</w:t>
      </w:r>
      <w:r w:rsidRPr="00227CE1">
        <w:rPr>
          <w:rFonts w:ascii="Arial" w:hAnsi="Arial" w:cs="Arial"/>
          <w:sz w:val="24"/>
          <w:szCs w:val="24"/>
        </w:rPr>
        <w:t xml:space="preserve">  Tecnologías digitales: Es el conjunto de procedimientos y estudios que son necesarios para poder realizar avances científicos que son expresados en números y que también permite aumentar y revitalizar de forma constante lo que se denomina calidad estándar de los elementos;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XII.</w:t>
      </w:r>
      <w:r w:rsidRPr="00227CE1">
        <w:rPr>
          <w:rFonts w:ascii="Arial" w:hAnsi="Arial" w:cs="Arial"/>
          <w:sz w:val="24"/>
          <w:szCs w:val="24"/>
        </w:rPr>
        <w:t xml:space="preserve"> Tribunal: Tribunal de Justicia Administrativa de Coahuila Zaragoza, 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XIII.</w:t>
      </w:r>
      <w:r w:rsidRPr="00227CE1">
        <w:rPr>
          <w:rFonts w:ascii="Arial" w:hAnsi="Arial" w:cs="Arial"/>
          <w:sz w:val="24"/>
          <w:szCs w:val="24"/>
        </w:rPr>
        <w:t xml:space="preserve">  UMA: La Unidad de Medida y Actualización.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lo relativo al uso de medios electrónicos y tecnologías digitales señalados en esta ley, se aplicará las disposiciones contenidas en la Ley de Gobierno Electrónico y Fomento al Uso de Tecnologías Digitales de Información del Estado de Coahuila de Zaragoza.</w:t>
      </w:r>
    </w:p>
    <w:p w:rsidR="00227CE1" w:rsidRPr="00227CE1" w:rsidRDefault="00227CE1" w:rsidP="00227CE1">
      <w:pPr>
        <w:spacing w:after="0" w:line="360" w:lineRule="auto"/>
        <w:jc w:val="center"/>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4.- </w:t>
      </w: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el Juicio en Línea todas las promociones deberán de contener la firma electrónica de quien la formule, la que surtirá los efectos de la firma autógrafa. Sin este requisito no serán válidas, salvo los casos en que esta ley y los Acuerdos Generales que dicte el Tribunal, así lo señalen.</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CAPÍTULO V</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DEL JUICIO CONTENCIOSO ADMINISTRATIVO</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46.- </w:t>
      </w: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w:t>
      </w:r>
      <w:r w:rsidRPr="00227CE1">
        <w:rPr>
          <w:rFonts w:ascii="Arial" w:hAnsi="Arial" w:cs="Arial"/>
          <w:sz w:val="24"/>
          <w:szCs w:val="24"/>
        </w:rPr>
        <w:t xml:space="preserve"> … </w:t>
      </w: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ab/>
      </w: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w:t>
      </w:r>
      <w:r w:rsidRPr="00227CE1">
        <w:rPr>
          <w:rFonts w:ascii="Arial" w:hAnsi="Arial" w:cs="Arial"/>
          <w:sz w:val="24"/>
          <w:szCs w:val="24"/>
        </w:rPr>
        <w:t xml:space="preserve"> Señalar domicilio para recibir notificaciones en la ciudad de Saltillo, en la que tiene su sede el Tribunal;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III. a</w:t>
      </w:r>
      <w:r w:rsidRPr="00227CE1">
        <w:rPr>
          <w:rFonts w:ascii="Arial" w:hAnsi="Arial" w:cs="Arial"/>
          <w:sz w:val="24"/>
          <w:szCs w:val="24"/>
        </w:rPr>
        <w:t xml:space="preserve"> </w:t>
      </w:r>
      <w:r w:rsidRPr="00227CE1">
        <w:rPr>
          <w:rFonts w:ascii="Arial" w:hAnsi="Arial" w:cs="Arial"/>
          <w:b/>
          <w:sz w:val="24"/>
          <w:szCs w:val="24"/>
        </w:rPr>
        <w:t xml:space="preserve">IX. </w:t>
      </w: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w:t>
      </w:r>
      <w:r w:rsidRPr="00227CE1">
        <w:rPr>
          <w:rFonts w:ascii="Arial" w:hAnsi="Arial" w:cs="Arial"/>
          <w:sz w:val="24"/>
          <w:szCs w:val="24"/>
        </w:rPr>
        <w:t xml:space="preserve">  La firma autógrafa del demandante, si éste no supiere o no pudiere firmar, lo hará un tercero a su ruego, estampando el primero su huella digital, 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el caso de Juicio Contencioso Administrativo Sumario en Línea, la firma electrónica del demandante.</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XI.</w:t>
      </w:r>
      <w:r w:rsidRPr="00227CE1">
        <w:rPr>
          <w:rFonts w:ascii="Arial" w:hAnsi="Arial" w:cs="Arial"/>
          <w:sz w:val="24"/>
          <w:szCs w:val="24"/>
        </w:rPr>
        <w:t xml:space="preserve">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CAPÍTULO XIV</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DEL JUICIO CONTENCIOSO ADMINISTRATIVO SUMARIO</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104.- </w:t>
      </w:r>
      <w:r w:rsidRPr="00227CE1">
        <w:rPr>
          <w:rFonts w:ascii="Arial" w:hAnsi="Arial" w:cs="Arial"/>
          <w:sz w:val="24"/>
          <w:szCs w:val="24"/>
        </w:rPr>
        <w:t>El Juicio Contencioso Administrativo Sumario se substanciará ante la Sala competente del Tribunal bajo los supuestos establecidos en la ley, con términos procesales simplificados y abreviados.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lo no previsto, se aplicarán las disposiciones del juicio Contencioso Administrativo contenidas en esta ley y demás disposiciones aplicables.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Juicio Contencioso Administrativo Sumario procederá en el supuesto de la fracción II del artículo 3 de la Ley Orgánica del Tribunal de Justicia Administrativa de Coahuila de Zaragoza, así como contra las resoluciones derivadas de los recursos administrativos que los resuelvan, siempre que su importe no exceda de cinco veces el valor anual de la UMA.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Para determinar la cuantía sólo se considerará el crédito principal, sin considerar accesorios, tales como recargos, actualizaciones y gastos de ejecución.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Cuando en un mismo acto se contenga más de una resolución o crédito fiscal, la suma de éstos no deberá de exceder la cuantía señalada en este artículo, para efectos de determinar la procedencia del Juicio Contencioso Administrativo Sumario.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 demanda deberá reunir los requisitos y adjuntar los documentos, previstos en los artículos 46 y 47 de esta ley, respectivamente.</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demandante en el escrito de demanda, deberá manifestar su aceptación o rechazo de someterse a Procedimiento de Conciliación.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El silencio del demandante con relación al procedimiento conciliatorio, se entenderá como una negativa de aceptación. </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105.-</w:t>
      </w:r>
      <w:r w:rsidRPr="00227CE1">
        <w:rPr>
          <w:rFonts w:ascii="Arial" w:hAnsi="Arial" w:cs="Arial"/>
          <w:sz w:val="24"/>
          <w:szCs w:val="24"/>
        </w:rPr>
        <w:t xml:space="preserve"> Una vez admitida la demanda, se correrá traslado al demandado para que conteste la demanda y al tercero interesado, si lo hubiere, para que desahogue la vista, en ambos casos el término será de diez días.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 la parte demandada no contestara dentro del término señalado en el párrafo anterior, se declarará la preclusión correspondiente considerando confesados los hechos salvo prueba en contrario.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En el mismo auto que admita la demanda, se fijará día y hora para la audiencia de desahogo de pruebas. Dicha fecha no excederá de los veinte días hábiles siguientes al de emisión de ese auto.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 al momento del desahogo de la prueba testimonial no comparece el testigo, la prueba se declarará desierta.</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106.-</w:t>
      </w:r>
      <w:r w:rsidRPr="00227CE1">
        <w:rPr>
          <w:rFonts w:ascii="Arial" w:hAnsi="Arial" w:cs="Arial"/>
          <w:sz w:val="24"/>
          <w:szCs w:val="24"/>
        </w:rPr>
        <w:t xml:space="preserve"> Se podrá ampliar la demanda en los casos previstos en esta ley, dentro de los cinco días siguientes a aquél en que surta efectos la notificación de la contestación de la demanda, ordenándose correr traslado de la ampliación y sus anexos a las partes para los efectos de su contestación.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el escrito de ampliación de demanda se deberá señalar el nombre del demandante y el juicio en que se actúa, adjuntar las copias necesarias para el traslado, las pruebas y documentos, que en su caso se presenten.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Cuando las pruebas documentales no obren en poder del demandante o cuando no hubiera podido obtenerlas a pesar de tratarse de documentos que legalmente se encuentren a su disposición, será aplicable en lo conducente lo dispuesto en el penúltimo párrafo del artículo 47 de esta Ley.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 no se adjuntan las copias a que se refiere este artículo, se requerirá al promovente para que las presente dentro del plazo de tres días. Si no las presenta dentro de dicho término, se tendrá por no presentada la ampliación de la demanda. Si se trata de las pruebas documentales o de los cuestionarios dirigidos a peritos y testigos, a que se refieren las fracciones IV, V y VI del artículo 47 de esta Ley, las mismas se tendrán por no ofrecidas.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107.- </w:t>
      </w:r>
      <w:r w:rsidRPr="00227CE1">
        <w:rPr>
          <w:rFonts w:ascii="Arial" w:hAnsi="Arial" w:cs="Arial"/>
          <w:sz w:val="24"/>
          <w:szCs w:val="24"/>
        </w:rPr>
        <w:t xml:space="preserve">El incidente de acumulación, no será procedente en el Juicio Contencioso Administrativo Sumario.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108.-</w:t>
      </w:r>
      <w:r w:rsidRPr="00227CE1">
        <w:rPr>
          <w:rFonts w:ascii="Arial" w:hAnsi="Arial" w:cs="Arial"/>
          <w:sz w:val="24"/>
          <w:szCs w:val="24"/>
        </w:rPr>
        <w:t xml:space="preserve"> El Magistrado que conozca del Juicio Contencioso Administrativo Sumario, podrá prescindir de la audiencia, en los siguientes casos: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w:t>
      </w:r>
      <w:r w:rsidRPr="00227CE1">
        <w:rPr>
          <w:rFonts w:ascii="Arial" w:hAnsi="Arial" w:cs="Arial"/>
          <w:sz w:val="24"/>
          <w:szCs w:val="24"/>
        </w:rPr>
        <w:tab/>
        <w:t>Cuando las cuestiones controvertidas fueren puramente de derecho;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w:t>
      </w:r>
      <w:r w:rsidRPr="00227CE1">
        <w:rPr>
          <w:rFonts w:ascii="Arial" w:hAnsi="Arial" w:cs="Arial"/>
          <w:sz w:val="24"/>
          <w:szCs w:val="24"/>
        </w:rPr>
        <w:tab/>
        <w:t>Cuando las partes ofrezcan solamente pruebas documentales, 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III.</w:t>
      </w:r>
      <w:r w:rsidRPr="00227CE1">
        <w:rPr>
          <w:rFonts w:ascii="Arial" w:hAnsi="Arial" w:cs="Arial"/>
          <w:sz w:val="24"/>
          <w:szCs w:val="24"/>
        </w:rPr>
        <w:tab/>
        <w:t>Cuando las partes, ofrezcan pruebas que por su naturaleza no requieran un especial desahogo.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 se prescinde de la audiencia de desahogo de pruebas, se dictará un auto que certifique esta circunstancia, y otorgará el plazo para la formulación de alegatos.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Para la admisión de la prueba testimonial, será requisito que el oferente de la prueba se comprometa a la presentación del testigo en la fecha y hora que se señale para su desahogo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109.-</w:t>
      </w:r>
      <w:r w:rsidRPr="00227CE1">
        <w:rPr>
          <w:rFonts w:ascii="Arial" w:hAnsi="Arial" w:cs="Arial"/>
          <w:sz w:val="24"/>
          <w:szCs w:val="24"/>
        </w:rPr>
        <w:t xml:space="preserve"> La prueba pericial, se sujetará a las reglas contenidas en los artículos 55 y 75 de esta Ley, con la salvedad de que todos los plazos serán de tres días hábiles.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110.- </w:t>
      </w:r>
      <w:r w:rsidRPr="00227CE1">
        <w:rPr>
          <w:rFonts w:ascii="Arial" w:hAnsi="Arial" w:cs="Arial"/>
          <w:sz w:val="24"/>
          <w:szCs w:val="24"/>
        </w:rPr>
        <w:t>Desahogadas las pruebas en su caso, y sin que existan cuestiones pendientes de determinar, se declarará concluida la audiencia y se concederá a las partes un plazo de tres días, contados a partir del día siguiente al de la conclusión de la audiencia, para que formulen alegatos, los que deberán ser tomados en cuenta en la sentencia definitiva.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111.- </w:t>
      </w:r>
      <w:r w:rsidRPr="00227CE1">
        <w:rPr>
          <w:rFonts w:ascii="Arial" w:hAnsi="Arial" w:cs="Arial"/>
          <w:sz w:val="24"/>
          <w:szCs w:val="24"/>
        </w:rPr>
        <w:t>Transcurrido el término mencionado en el artículo anterior, se dictará un auto que certifique que no hay cuestiones pendientes por desahogar y que se formularon o no alegatos, mismo que tendrá efectos de citación para sentencia.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Se pronunciará sentencia dentro de los diez días hábiles siguientes.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112.-</w:t>
      </w:r>
      <w:r w:rsidRPr="00227CE1">
        <w:rPr>
          <w:rFonts w:ascii="Arial" w:hAnsi="Arial" w:cs="Arial"/>
          <w:sz w:val="24"/>
          <w:szCs w:val="24"/>
        </w:rPr>
        <w:t xml:space="preserve"> En contra de las sentencias, autos y resoluciones que se dicten en juicios seguidos en el Juicio Contencioso Administrativo Sumario, no procederá recurso alguno.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113.- </w:t>
      </w:r>
      <w:r w:rsidRPr="00227CE1">
        <w:rPr>
          <w:rFonts w:ascii="Arial" w:hAnsi="Arial" w:cs="Arial"/>
          <w:sz w:val="24"/>
          <w:szCs w:val="24"/>
        </w:rPr>
        <w:t>Es causa de terminación anticipada del Juicio Contencioso Administrativo Sumario, la declaración de legalidad y validez que emita el Magistrado Instructor respecto del convenio conciliatorio celebrado entre la parte demandante y la autoridad demandada.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114.-</w:t>
      </w:r>
      <w:r w:rsidRPr="00227CE1">
        <w:rPr>
          <w:rFonts w:ascii="Arial" w:hAnsi="Arial" w:cs="Arial"/>
          <w:sz w:val="24"/>
          <w:szCs w:val="24"/>
        </w:rPr>
        <w:t xml:space="preserve"> Cuando la ley no señale plazo expreso para la práctica de alguna actuación en la vía sumaria, éste será de tres días hábiles.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115.-</w:t>
      </w:r>
      <w:r w:rsidRPr="00227CE1">
        <w:rPr>
          <w:rFonts w:ascii="Arial" w:hAnsi="Arial" w:cs="Arial"/>
          <w:sz w:val="24"/>
          <w:szCs w:val="24"/>
        </w:rPr>
        <w:t xml:space="preserve"> Se reconducirá la vía Contenciosa Administrativa Sumaria a Juicio Contencioso Administrativo, en los siguientes supuestos: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I. </w:t>
      </w:r>
      <w:r w:rsidRPr="00227CE1">
        <w:rPr>
          <w:rFonts w:ascii="Arial" w:hAnsi="Arial" w:cs="Arial"/>
          <w:sz w:val="24"/>
          <w:szCs w:val="24"/>
        </w:rPr>
        <w:t>Cuando no se localice al tercero interesado, en el domicilio proporcionado, por no ser el domicilio, o encontrarse deshabitado, previa constancia actuarial de tal circunstancia;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II. </w:t>
      </w:r>
      <w:r w:rsidRPr="00227CE1">
        <w:rPr>
          <w:rFonts w:ascii="Arial" w:hAnsi="Arial" w:cs="Arial"/>
          <w:sz w:val="24"/>
          <w:szCs w:val="24"/>
        </w:rPr>
        <w:t>Cuando el demandante manifieste desconocer el domicilio del tercero interesado;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III. </w:t>
      </w:r>
      <w:r w:rsidRPr="00227CE1">
        <w:rPr>
          <w:rFonts w:ascii="Arial" w:hAnsi="Arial" w:cs="Arial"/>
          <w:sz w:val="24"/>
          <w:szCs w:val="24"/>
        </w:rPr>
        <w:t>Cuando se advierta que no se actualizan las causas de procedencia del Juicio Contencioso Administrativo Sumario, hasta antes de la celebración de audiencia, 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IV.</w:t>
      </w:r>
      <w:r w:rsidRPr="00227CE1">
        <w:rPr>
          <w:rFonts w:ascii="Arial" w:hAnsi="Arial" w:cs="Arial"/>
          <w:sz w:val="24"/>
          <w:szCs w:val="24"/>
        </w:rPr>
        <w:t xml:space="preserve"> Cuando el demandante no se obligue en forma expresa a presentar testigos y peritos.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CAPITULO XV</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 xml:space="preserve">DEL PROCEDIMIENTO DE CONCILIACIÓN DEL JUICIO CONTENCIOSO </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 xml:space="preserve">ADMINISTRATIVO SUMARIO. </w:t>
      </w:r>
    </w:p>
    <w:p w:rsidR="00227CE1" w:rsidRPr="00227CE1" w:rsidRDefault="00227CE1" w:rsidP="00227CE1">
      <w:pPr>
        <w:spacing w:after="0" w:line="360" w:lineRule="auto"/>
        <w:jc w:val="both"/>
        <w:rPr>
          <w:rFonts w:ascii="Arial" w:hAnsi="Arial" w:cs="Arial"/>
          <w:b/>
          <w:sz w:val="24"/>
          <w:szCs w:val="24"/>
        </w:rPr>
      </w:pPr>
      <w:bookmarkStart w:id="4" w:name="_Hlk9428544"/>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116.</w:t>
      </w:r>
      <w:bookmarkEnd w:id="4"/>
      <w:r w:rsidRPr="00227CE1">
        <w:rPr>
          <w:rFonts w:ascii="Arial" w:hAnsi="Arial" w:cs="Arial"/>
          <w:b/>
          <w:sz w:val="24"/>
          <w:szCs w:val="24"/>
        </w:rPr>
        <w:t>-</w:t>
      </w:r>
      <w:r w:rsidRPr="00227CE1">
        <w:rPr>
          <w:rFonts w:ascii="Arial" w:hAnsi="Arial" w:cs="Arial"/>
          <w:sz w:val="24"/>
          <w:szCs w:val="24"/>
        </w:rPr>
        <w:t xml:space="preserve"> El Procedimiento de Conciliación, procederá únicamente dentro del Juicio Contencioso Administrativo Sumario, bajo los términos y condiciones previstos en esta Ley.</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117.- </w:t>
      </w:r>
      <w:r w:rsidRPr="00227CE1">
        <w:rPr>
          <w:rFonts w:ascii="Arial" w:hAnsi="Arial" w:cs="Arial"/>
          <w:sz w:val="24"/>
          <w:szCs w:val="24"/>
        </w:rPr>
        <w:t>El demandante en el escrito de demanda, deberá manifestar su aceptación o rechazo de someterse a Procedimiento de Conciliación, y, en caso de aceptación, anexará una copia más del escrito de demanda para la sustanciación del procedimiento de conciliación en cuadernillo por separado, el que se tramitará sin suspensión del procedimiento del juicio principal.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silencio del demandante con relación al procedimiento conciliatorio, se entenderá como una negativa de aceptación.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el caso del párrafo anterior, se dará por concluido el procedimiento de conciliación en caso de la negativa de alguna de las partes, al sometimiento del procedimiento de conciliación, o a la propuesta de conciliación en caso de haberse realizado.</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118.-</w:t>
      </w:r>
      <w:r w:rsidRPr="00227CE1">
        <w:rPr>
          <w:rFonts w:ascii="Arial" w:hAnsi="Arial" w:cs="Arial"/>
          <w:sz w:val="24"/>
          <w:szCs w:val="24"/>
        </w:rPr>
        <w:t xml:space="preserve"> En el auto de admisión, además se informará a la autoridad demandada de la manifestación de aceptación o rechazo del demandante para someterse a Procedimiento de Conciliación, a efecto de que en caso de estimarlo procedente y que sus facultades lo permitan, formule de manera conjunta con la contestación, propuesta de conciliación.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silencio de la autoridad demandada con relación al procedimiento conciliatorio, se entenderá como una negativa de aceptación a someterse al mismo.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 propuesta de conciliación de las autoridades, deberá ser realizada en los términos que las leyes, reglamentos y/o disposiciones generales aplicables a la materia del acto lo permitan, y suscrita por servidor público competente y facultado para ello, lo que se deberá acreditar.</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Recibida la Propuesta de la autoridad demandada, se dará vista a la parte demandante por el término de tres días, para que el demandante de manera directa en caso de personas físicas y en caso de personas morales por medio de representante con facultades suficientes, manifieste su aceptación o rechazo a la propuesta de conciliación. La aceptación de la propuesta de conciliación implica el consentimiento del acto impugnado, consentimiento que solo surtirá sus efectos en caso de que el magistrado instructor declare legal y válido el convenio conciliatorio. En caso de que el convenio conciliatorio no sea declarado legal y válido, el consentimiento realizado como requisito de la aceptación de la propuesta de conciliación no surtirá ningún efecto.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demandante deberá garantizar el interés fiscal del acto originalmente impugnado, dentro de los cinco días siguientes al que le fuera notificada la vista a que se refiere el párrafo anterior. Es obligación garantizar el interés fiscal en toda propuesta de acuerdo conciliatorio en que se otorguen plazos para el cumplimiento del convenio conciliatorio,  sin este requisito no será válido.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119.-</w:t>
      </w:r>
      <w:r w:rsidRPr="00227CE1">
        <w:rPr>
          <w:rFonts w:ascii="Arial" w:hAnsi="Arial" w:cs="Arial"/>
          <w:sz w:val="24"/>
          <w:szCs w:val="24"/>
        </w:rPr>
        <w:t xml:space="preserve"> Realizada la aceptación de la propuesta, y, en su caso, garantizado el interés fiscal, el Magistrado instructor resolverá dentro del plazo de 3 días hábiles, sobre la legalidad y validez del convenio conciliatorio o, en caso contrario, dará por concluido el procedimiento conciliatorio.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El cumplimiento del convenio conciliatorio declarado legal y valido, extingue el acto originalmente impugnado.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caso de que el Juicio Contencioso Administrativo Sumario concluya por la declaratoria de legalidad y validez del convenio conciliatorio, el acto que dio origen al juicio no podrá ser impugnado nuevamente al tratarse de un acto consentido.</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120.-</w:t>
      </w:r>
      <w:r w:rsidRPr="00227CE1">
        <w:rPr>
          <w:rFonts w:ascii="Arial" w:hAnsi="Arial" w:cs="Arial"/>
          <w:sz w:val="24"/>
          <w:szCs w:val="24"/>
        </w:rPr>
        <w:t xml:space="preserv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y las cantidades que se hubieren pagado con motivo del convenio conciliatorio incumplido, se abonarán en primer término a las actualizaciones y recargos.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b/>
          <w:sz w:val="24"/>
          <w:szCs w:val="24"/>
        </w:rPr>
      </w:pPr>
      <w:r w:rsidRPr="00227CE1">
        <w:rPr>
          <w:rFonts w:ascii="Arial" w:hAnsi="Arial" w:cs="Arial"/>
          <w:sz w:val="24"/>
          <w:szCs w:val="24"/>
        </w:rPr>
        <w:t>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bookmarkStart w:id="5" w:name="_Hlk9428303"/>
      <w:r w:rsidRPr="00227CE1">
        <w:rPr>
          <w:rFonts w:ascii="Arial" w:hAnsi="Arial" w:cs="Arial"/>
          <w:b/>
          <w:sz w:val="24"/>
          <w:szCs w:val="24"/>
        </w:rPr>
        <w:t>CAPITULO XVI</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DEL TRÁMITE DEL JUICIO EN LÍNEA</w:t>
      </w:r>
    </w:p>
    <w:bookmarkEnd w:id="5"/>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121.-</w:t>
      </w:r>
      <w:r w:rsidRPr="00227CE1">
        <w:rPr>
          <w:rFonts w:ascii="Arial" w:hAnsi="Arial" w:cs="Arial"/>
          <w:sz w:val="24"/>
          <w:szCs w:val="24"/>
        </w:rPr>
        <w:t xml:space="preserve"> Es optativo para el promovente presentar el Juicio Contencioso Administrativo Sumario, en forma escrita impresa en papel  o mediante el uso de la firma electrónica a través del Sistema de Juicio en Línea implementado por el Tribunal.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Los servidores públicos que intervengan en la actividad jurisdiccional, en los trámites de Juicio en Línea, utilizarán la firma electrónica para la emisión de actos y resoluciones en las que intervengan.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Los documentos electrónicos se presentarán mediante el empleo de las tecnologías de la información, utilizando la Firma Electrónica conforme la regulación que para tal efecto emita el Tribunal, mediante Acuerdos Generales.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Cuando las partes promuevan en forma impresa o electrónica, los órganos jurisdiccionales están obligados a que el expediente electrónico e impreso coincidan íntegramente para la consulta de las partes, en los términos de esta ley.</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Tribunal, mediante Acuerdos Generales, determinará el funcionamiento del Sistema del Juicio en Línea, publicando los acuerdos respectivos en el Periódico Oficial del Estado.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122.</w:t>
      </w:r>
      <w:r w:rsidRPr="00227CE1">
        <w:rPr>
          <w:rFonts w:ascii="Arial" w:hAnsi="Arial" w:cs="Arial"/>
          <w:sz w:val="24"/>
          <w:szCs w:val="24"/>
        </w:rPr>
        <w:t>- La presentación de las demandas o las promociones de término en forma electrónica a través del Sistema de Juicio en Línea, podrán enviarse hasta las veinticuatro horas del día de su vencimiento, conforme al huso horario señalado en acuse de envío.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Las demandas o promociones enviadas en día inhábil se tendrán por presentadas al día hábil siguiente de su envío.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123.-</w:t>
      </w:r>
      <w:r w:rsidRPr="00227CE1">
        <w:rPr>
          <w:rFonts w:ascii="Arial" w:hAnsi="Arial" w:cs="Arial"/>
          <w:sz w:val="24"/>
          <w:szCs w:val="24"/>
        </w:rPr>
        <w:t xml:space="preserve"> 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Enviada la promoción o demanda, el Sistema de Juicio en línea emitirá acuse electrónico, que especificará la fecha y hora de envío y remitirá la demanda o promoción a la sala que corresponda.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Todas las actuaciones en el Juicio Contencioso Administrativo Sumario en Línea, se firmarán de manera electrónica por los servidores jurisdiccionales que en él intervengan.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Toda actuación electrónica se tendrá por practicada con el acuse que genera el Sistema de Juicio en Línea.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El actuario deberá realizar las actuaciones electrónicas que se ordenen en los expedientes electrónicos, dentro de las veinticuatro horas siguientes.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Las notificaciones vía electrónica surtirán sus efectos cuando se genere el acuse electrónico respectivo.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La referencia del señalamiento de “dar vista a las partes” o “correr traslado” para los efectos del Juicio Contencioso Administrativo Sumario en Línea, se entenderá el poner a la disposición de las partes el contenido del expediente electrónico.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124.-</w:t>
      </w:r>
      <w:r w:rsidRPr="00227CE1">
        <w:rPr>
          <w:rFonts w:ascii="Arial" w:hAnsi="Arial" w:cs="Arial"/>
          <w:sz w:val="24"/>
          <w:szCs w:val="24"/>
        </w:rPr>
        <w:t xml:space="preserve"> Las partes podrán autorizar en términos del artículo 13 de esta ley, a las personas previamente registradas como usuarios del Sistema de Juicio en Línea, señalando el nombre de usuario y los alcances de su autorización.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125.-</w:t>
      </w:r>
      <w:r w:rsidRPr="00227CE1">
        <w:rPr>
          <w:rFonts w:ascii="Arial" w:hAnsi="Arial" w:cs="Arial"/>
          <w:sz w:val="24"/>
          <w:szCs w:val="24"/>
        </w:rPr>
        <w:t xml:space="preserve"> Cuando el demandante opte por presentar su demanda a través del Sistema de Juicio en Línea, las autoridades demandadas tendrán la obligación de comparecer y dar seguimiento al trámite del juicio en la misma vía.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 autoridad demandada previo a comparecer al Juicio Contencioso Administrativo Sumario en Línea, deberá estar inscrita ante el Sistema de Juicio en Línea, como emisor de actos administrativos.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En el caso de que las autoridades demandadas no cumplan con esta obligación de registro, se le notificará por oficio en los términos del artículo 29 de esta ley, emplazándola y corriéndole traslado previa impresión 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de Interno de Control de la autoridad demandada y al Ministerio Publico para los efectos que resulten procedentes.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tercero interesado al contestar la demanda podrá elegir la opción de continuar el trámite de juicio en línea o bien elegir la forma escrita mediante el expediente físico impreso en papel.</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El expediente físico a que se refiere el párrafo anterior deberá coincidir, con el expediente electrónico, certificado por el Secretario de Acuerdos.</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126.-</w:t>
      </w:r>
      <w:r w:rsidRPr="00227CE1">
        <w:rPr>
          <w:rFonts w:ascii="Arial" w:hAnsi="Arial" w:cs="Arial"/>
          <w:sz w:val="24"/>
          <w:szCs w:val="24"/>
        </w:rPr>
        <w:t xml:space="preserve"> Cuando por caso fortuito, fuerza mayor o por fallas técnicas se interrumpa el funcionamiento del Sistema de Juicio en Línea haciendo imposible el envío y la recepción de promociones dentro de los plazos establecidos en la ley, cualquiera de las partes deberá dar aviso de inmediato, por los medios autorizados por el tribunal mediante los Acuerdos Generales que al respecto se emitan.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 xml:space="preserve">Para efectos del párrafo anterior, una vez restablecido el Sistema del Juicio en Línea, en los vencimientos de término, los días en que ocurra la interrupción del sistema del juicio en línea, se considerarán inhábiles para efectos del cómputo de los términos y plazos.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127.-</w:t>
      </w:r>
      <w:r w:rsidRPr="00227CE1">
        <w:rPr>
          <w:rFonts w:ascii="Arial" w:hAnsi="Arial" w:cs="Arial"/>
          <w:sz w:val="24"/>
          <w:szCs w:val="24"/>
        </w:rPr>
        <w:t xml:space="preserve"> Los documentos que las partes ofrezcan como prueba, incluyendo expedientes administrativos, deberán exhibirlos en forma legible a través de los formatos autorizados mediante Acuerdos Generales emitidos por el Tribunal, se deberá manifestar la naturaleza de los mismos, especificando si la reproducción digital corresponde a una copia simple, una copia certificada o al original y tratándose de esta última, si tiene o no firma autógrafa. Los particulares deberán hacer esta manifestación bajo protesta de decir verdad, la omisión de la manifestación presume en perjuicio sólo del promovente, que el documento digitalizado corresponde a una copia simple.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Las pruebas documentales que ofrezcan y exhiban las partes tendrán el mismo valor probatorio que su constancia física, siempre y cuando se observen las disposiciones de la presente Ley y de los acuerdos normativos que emitan los órganos del Tribunal para asegurar la autenticidad de la información, así como de su transmisión, recepción, validación y notificación.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SEGUNDO. </w:t>
      </w:r>
      <w:r w:rsidRPr="00227CE1">
        <w:rPr>
          <w:rFonts w:ascii="Arial" w:hAnsi="Arial" w:cs="Arial"/>
          <w:sz w:val="24"/>
          <w:szCs w:val="24"/>
        </w:rPr>
        <w:t>Se modifica el párrafo tercero del artículo 67 y se adiciona el artículo 38 bis, del</w:t>
      </w:r>
      <w:r w:rsidRPr="00227CE1">
        <w:rPr>
          <w:rFonts w:ascii="Arial" w:hAnsi="Arial" w:cs="Arial"/>
          <w:b/>
          <w:sz w:val="24"/>
          <w:szCs w:val="24"/>
        </w:rPr>
        <w:t xml:space="preserve"> </w:t>
      </w:r>
      <w:r w:rsidRPr="00227CE1">
        <w:rPr>
          <w:rFonts w:ascii="Arial" w:hAnsi="Arial" w:cs="Arial"/>
          <w:sz w:val="24"/>
          <w:szCs w:val="24"/>
        </w:rPr>
        <w:t>Código Fiscal para el Estado de Coahuila de Zaragoza, para quedar como sigue:</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38 BIS.</w:t>
      </w:r>
      <w:r w:rsidRPr="00227CE1">
        <w:rPr>
          <w:rFonts w:ascii="Arial" w:hAnsi="Arial" w:cs="Arial"/>
          <w:sz w:val="24"/>
          <w:szCs w:val="24"/>
        </w:rPr>
        <w:t xml:space="preserve"> La Secretaría de Finanzas por conducto de la Administración Fiscal General podrá condonar total o parcialmente accesorios de los créditos fiscales impugnados ante el Tribunal de Justicia Administrativa del Estado de Coahuila de Zaragoza mediante el juicio contencioso administrativo sumario, en los términos de la Ley de Procedimiento Contencioso Administrativo para el Estado de Coahuila de Zaragoza. Esta condonación quedará condicionada al cumplimiento de la propuesta de conciliación de conformidad con la misma ley.</w:t>
      </w:r>
    </w:p>
    <w:p w:rsidR="00227CE1" w:rsidRPr="00227CE1" w:rsidRDefault="00227CE1" w:rsidP="00227CE1">
      <w:pPr>
        <w:spacing w:after="0" w:line="360" w:lineRule="auto"/>
        <w:rPr>
          <w:rFonts w:ascii="Arial" w:hAnsi="Arial" w:cs="Arial"/>
          <w:sz w:val="24"/>
          <w:szCs w:val="24"/>
        </w:rPr>
      </w:pPr>
    </w:p>
    <w:p w:rsidR="00227CE1" w:rsidRPr="00227CE1" w:rsidRDefault="00227CE1" w:rsidP="00227CE1">
      <w:pPr>
        <w:widowControl w:val="0"/>
        <w:spacing w:after="0" w:line="360" w:lineRule="auto"/>
        <w:jc w:val="both"/>
        <w:rPr>
          <w:rFonts w:ascii="Arial" w:eastAsia="MS Mincho" w:hAnsi="Arial" w:cs="Arial"/>
          <w:sz w:val="24"/>
          <w:szCs w:val="24"/>
        </w:rPr>
      </w:pPr>
      <w:r w:rsidRPr="00227CE1">
        <w:rPr>
          <w:rFonts w:ascii="Arial" w:eastAsia="MS Mincho" w:hAnsi="Arial" w:cs="Arial"/>
          <w:b/>
          <w:bCs/>
          <w:sz w:val="24"/>
          <w:szCs w:val="24"/>
        </w:rPr>
        <w:t>ARTICULO 67.</w:t>
      </w:r>
      <w:r w:rsidRPr="00227CE1">
        <w:rPr>
          <w:rFonts w:ascii="Arial" w:eastAsia="MS Mincho" w:hAnsi="Arial" w:cs="Arial"/>
          <w:sz w:val="24"/>
          <w:szCs w:val="24"/>
        </w:rPr>
        <w:t xml:space="preserve"> …</w:t>
      </w:r>
    </w:p>
    <w:p w:rsidR="00227CE1" w:rsidRPr="00227CE1" w:rsidRDefault="00227CE1" w:rsidP="00227CE1">
      <w:pPr>
        <w:widowControl w:val="0"/>
        <w:spacing w:after="0" w:line="360" w:lineRule="auto"/>
        <w:jc w:val="both"/>
        <w:rPr>
          <w:rFonts w:ascii="Arial" w:eastAsia="MS Mincho" w:hAnsi="Arial" w:cs="Arial"/>
          <w:sz w:val="24"/>
          <w:szCs w:val="24"/>
        </w:rPr>
      </w:pPr>
    </w:p>
    <w:p w:rsidR="00227CE1" w:rsidRPr="00227CE1" w:rsidRDefault="00227CE1" w:rsidP="00227CE1">
      <w:pPr>
        <w:widowControl w:val="0"/>
        <w:spacing w:after="0" w:line="360" w:lineRule="auto"/>
        <w:jc w:val="both"/>
        <w:rPr>
          <w:rFonts w:ascii="Arial" w:eastAsia="MS Mincho" w:hAnsi="Arial" w:cs="Arial"/>
          <w:sz w:val="24"/>
          <w:szCs w:val="24"/>
        </w:rPr>
      </w:pPr>
      <w:r w:rsidRPr="00227CE1">
        <w:rPr>
          <w:rFonts w:ascii="Arial" w:eastAsia="MS Mincho" w:hAnsi="Arial" w:cs="Arial"/>
          <w:sz w:val="24"/>
          <w:szCs w:val="24"/>
        </w:rPr>
        <w:t xml:space="preserve">… </w:t>
      </w:r>
    </w:p>
    <w:p w:rsidR="00227CE1" w:rsidRPr="00227CE1" w:rsidRDefault="00227CE1" w:rsidP="00227CE1">
      <w:pPr>
        <w:widowControl w:val="0"/>
        <w:spacing w:after="0" w:line="360" w:lineRule="auto"/>
        <w:jc w:val="both"/>
        <w:rPr>
          <w:rFonts w:ascii="Arial" w:eastAsia="MS Mincho"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eastAsia="MS Mincho" w:hAnsi="Arial" w:cs="Arial"/>
          <w:sz w:val="24"/>
          <w:szCs w:val="24"/>
        </w:rPr>
        <w:t xml:space="preserve">Sólo procederá la condonación de multas que hayan quedado firmes y siempre que un acto administrativo conexo no sea materia de impugnación, </w:t>
      </w:r>
      <w:r w:rsidRPr="00227CE1">
        <w:rPr>
          <w:rFonts w:ascii="Arial" w:hAnsi="Arial" w:cs="Arial"/>
          <w:sz w:val="24"/>
          <w:szCs w:val="24"/>
        </w:rPr>
        <w:t>salvo cuando se impugne el crédito fiscal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TERCERO. </w:t>
      </w:r>
      <w:r w:rsidRPr="00227CE1">
        <w:rPr>
          <w:rFonts w:ascii="Arial" w:hAnsi="Arial" w:cs="Arial"/>
          <w:sz w:val="24"/>
          <w:szCs w:val="24"/>
        </w:rPr>
        <w:t>Se adiciona un segundo párrafo a la fracción XIII del artículo 129, del</w:t>
      </w:r>
      <w:r w:rsidRPr="00227CE1">
        <w:rPr>
          <w:rFonts w:ascii="Arial" w:hAnsi="Arial" w:cs="Arial"/>
          <w:b/>
          <w:sz w:val="24"/>
          <w:szCs w:val="24"/>
        </w:rPr>
        <w:t xml:space="preserve"> </w:t>
      </w:r>
      <w:r w:rsidRPr="00227CE1">
        <w:rPr>
          <w:rFonts w:ascii="Arial" w:hAnsi="Arial" w:cs="Arial"/>
          <w:sz w:val="24"/>
          <w:szCs w:val="24"/>
        </w:rPr>
        <w:t>Código Municipal para el Estado de Coahuila de Zaragoza, para quedar como sigue:</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b/>
          <w:sz w:val="24"/>
          <w:szCs w:val="24"/>
        </w:rPr>
      </w:pPr>
      <w:r w:rsidRPr="00227CE1">
        <w:rPr>
          <w:rFonts w:ascii="Arial" w:hAnsi="Arial" w:cs="Arial"/>
          <w:b/>
          <w:sz w:val="24"/>
          <w:szCs w:val="24"/>
        </w:rPr>
        <w:t xml:space="preserve">ARTÍCULO. 129. </w:t>
      </w: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b/>
          <w:sz w:val="24"/>
          <w:szCs w:val="24"/>
        </w:rPr>
      </w:pPr>
      <w:r w:rsidRPr="00227CE1">
        <w:rPr>
          <w:rFonts w:ascii="Arial" w:hAnsi="Arial" w:cs="Arial"/>
          <w:sz w:val="24"/>
          <w:szCs w:val="24"/>
        </w:rPr>
        <w:t>I. a la XII.</w:t>
      </w:r>
      <w:r w:rsidRPr="00227CE1">
        <w:rPr>
          <w:rFonts w:ascii="Arial" w:hAnsi="Arial" w:cs="Arial"/>
          <w:b/>
          <w:sz w:val="24"/>
          <w:szCs w:val="24"/>
        </w:rPr>
        <w:t xml:space="preserve">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XIII.</w:t>
      </w:r>
      <w:r w:rsidRPr="00227CE1">
        <w:rPr>
          <w:rFonts w:ascii="Arial" w:hAnsi="Arial" w:cs="Arial"/>
          <w:b/>
          <w:sz w:val="24"/>
          <w:szCs w:val="24"/>
        </w:rPr>
        <w:t xml:space="preserve"> </w:t>
      </w: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b/>
          <w:sz w:val="24"/>
          <w:szCs w:val="24"/>
        </w:rPr>
      </w:pPr>
      <w:r w:rsidRPr="00227CE1">
        <w:rPr>
          <w:rFonts w:ascii="Arial" w:hAnsi="Arial" w:cs="Arial"/>
          <w:sz w:val="24"/>
          <w:szCs w:val="24"/>
        </w:rPr>
        <w:t>Realizar propuestas de conciliación y celebrar convenios dentro del juicio contencioso administrativo sumario en los términos de la Ley de Procedimiento Contencioso Administrativo para el Estado de Coahuila de Zaragoza</w:t>
      </w:r>
      <w:r w:rsidRPr="00227CE1">
        <w:rPr>
          <w:rFonts w:ascii="Arial" w:hAnsi="Arial" w:cs="Arial"/>
          <w:b/>
          <w:sz w:val="24"/>
          <w:szCs w:val="24"/>
        </w:rPr>
        <w:t>.</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XIV. a la XVI.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ARTÍCULO CUARTO.</w:t>
      </w:r>
      <w:r w:rsidRPr="00227CE1">
        <w:rPr>
          <w:rFonts w:ascii="Arial" w:hAnsi="Arial" w:cs="Arial"/>
          <w:sz w:val="24"/>
          <w:szCs w:val="24"/>
        </w:rPr>
        <w:t xml:space="preserve"> Se reforman el primer párrafo del artículo 383 y se adiciona un artículo 413 Bis, del Código Financiero para los Municipios del Estado de Coahuila de Zaragoza, para quedar como sigue:</w:t>
      </w: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b/>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ARTÍCULO 383.- </w:t>
      </w:r>
      <w:r w:rsidRPr="00227CE1">
        <w:rPr>
          <w:rFonts w:ascii="Arial" w:hAnsi="Arial" w:cs="Arial"/>
          <w:sz w:val="24"/>
          <w:szCs w:val="24"/>
        </w:rPr>
        <w:t xml:space="preserve">No se otorgará condonación total ni parcial de contribuciones o sus accesorios en favor de una o más personas determinadas, salvo los supuestos señalados en los artículos 413 y 413 BIS de este código. </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ARTICULO 413 BIS.-</w:t>
      </w:r>
      <w:r w:rsidRPr="00227CE1">
        <w:rPr>
          <w:rFonts w:ascii="Arial" w:hAnsi="Arial" w:cs="Arial"/>
          <w:sz w:val="24"/>
          <w:szCs w:val="24"/>
        </w:rPr>
        <w:t xml:space="preserve"> El Presidente Municipal o el tesorero municipal, apreciando discrecionalmente las circunstancias del caso, podrán condonar total o parcialmente los accesorios a que se refiere el artículo 10 de este código, incluyendo multas fiscales, respecto de los créditos fiscales impugnados ante el Tribunal de Justicia Administrativa del Estado de Coahuila de Zaragoza, mediante el juicio contencioso administrativo sumario.</w:t>
      </w:r>
    </w:p>
    <w:p w:rsidR="00227CE1" w:rsidRPr="00227CE1" w:rsidRDefault="00227CE1" w:rsidP="00227CE1">
      <w:pPr>
        <w:spacing w:after="0" w:line="360" w:lineRule="auto"/>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sz w:val="24"/>
          <w:szCs w:val="24"/>
        </w:rPr>
        <w:t>La condonación quedará condicionada al cumplimiento de la propuesta de conciliación de conformidad con la Ley de Procedimiento Contencioso Administrativo para el Estado de Coahuila de Zaragoza.</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center"/>
        <w:rPr>
          <w:rFonts w:ascii="Arial" w:hAnsi="Arial" w:cs="Arial"/>
          <w:b/>
          <w:sz w:val="24"/>
          <w:szCs w:val="24"/>
          <w:lang w:val="en-US"/>
        </w:rPr>
      </w:pPr>
      <w:r w:rsidRPr="00227CE1">
        <w:rPr>
          <w:rFonts w:ascii="Arial" w:hAnsi="Arial" w:cs="Arial"/>
          <w:b/>
          <w:sz w:val="24"/>
          <w:szCs w:val="24"/>
          <w:lang w:val="en-US"/>
        </w:rPr>
        <w:t>T R A N S I T O R I O S</w:t>
      </w:r>
    </w:p>
    <w:p w:rsidR="00227CE1" w:rsidRPr="00227CE1" w:rsidRDefault="00227CE1" w:rsidP="00227CE1">
      <w:pPr>
        <w:spacing w:after="0" w:line="360" w:lineRule="auto"/>
        <w:jc w:val="both"/>
        <w:rPr>
          <w:rFonts w:ascii="Arial" w:hAnsi="Arial" w:cs="Arial"/>
          <w:sz w:val="24"/>
          <w:szCs w:val="24"/>
          <w:lang w:val="en-US"/>
        </w:rPr>
      </w:pPr>
    </w:p>
    <w:p w:rsidR="00227CE1" w:rsidRPr="00227CE1" w:rsidRDefault="00227CE1" w:rsidP="00227CE1">
      <w:pPr>
        <w:spacing w:after="0" w:line="360" w:lineRule="auto"/>
        <w:jc w:val="both"/>
        <w:rPr>
          <w:rFonts w:ascii="Arial" w:hAnsi="Arial" w:cs="Arial"/>
          <w:sz w:val="24"/>
          <w:szCs w:val="24"/>
          <w:lang w:val="en-US"/>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 xml:space="preserve">PRIMERO.- </w:t>
      </w:r>
      <w:r w:rsidRPr="00227CE1">
        <w:rPr>
          <w:rFonts w:ascii="Arial" w:hAnsi="Arial" w:cs="Arial"/>
          <w:sz w:val="24"/>
          <w:szCs w:val="24"/>
        </w:rPr>
        <w:t>Publíquese en el Periódico Oficial del Gobierno del Estado.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SEGUNDO.-</w:t>
      </w:r>
      <w:r w:rsidRPr="00227CE1">
        <w:rPr>
          <w:rFonts w:ascii="Arial" w:hAnsi="Arial" w:cs="Arial"/>
          <w:sz w:val="24"/>
          <w:szCs w:val="24"/>
        </w:rPr>
        <w:t xml:space="preserve"> El presente decreto entrará en vigor al día siguiente de su publicación en el Periódico Oficial del Gobierno del Estado.</w:t>
      </w: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rPr>
        <w:t>TERCERO.</w:t>
      </w:r>
      <w:r w:rsidRPr="00227CE1">
        <w:rPr>
          <w:rFonts w:ascii="Arial" w:hAnsi="Arial" w:cs="Arial"/>
          <w:sz w:val="24"/>
          <w:szCs w:val="24"/>
        </w:rPr>
        <w:t>- La regulación referente al trámite del Juicio Contencioso Administrativo Sumario en Línea, entrará en vigor cuando el Pleno de la Sala Superior del Tribunal de Justicia Administrativa de Coahuila de Zaragoza lo determine, mediante la emisión de Acuerdos Generales.</w:t>
      </w: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r w:rsidRPr="00227CE1">
        <w:rPr>
          <w:rFonts w:ascii="Arial" w:hAnsi="Arial" w:cs="Arial"/>
          <w:b/>
          <w:sz w:val="24"/>
          <w:szCs w:val="24"/>
          <w:lang w:val="es-ES_tradnl"/>
        </w:rPr>
        <w:t>CUARTO.-</w:t>
      </w:r>
      <w:r w:rsidRPr="00227CE1">
        <w:rPr>
          <w:rFonts w:ascii="Arial" w:hAnsi="Arial" w:cs="Arial"/>
          <w:sz w:val="24"/>
          <w:szCs w:val="24"/>
          <w:lang w:val="es-ES_tradnl"/>
        </w:rPr>
        <w:t xml:space="preserve"> Las Autoridades Estatales y Municipales emisoras de actos impugnables ante el Tribunal de Justicia Administrativa de Coahuila de Zaragoza, dentro del plazo de 60 días hábiles, contados a partir de la entrada en vigor del presente decreto, deberán adecuar su normatividad para celebrar convenios conciliatorios que pongan fin al procedimiento, conforme a lo previsto en este mismo decreto.</w:t>
      </w: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r w:rsidRPr="00227CE1">
        <w:rPr>
          <w:rFonts w:ascii="Arial" w:hAnsi="Arial" w:cs="Arial"/>
          <w:b/>
          <w:sz w:val="24"/>
          <w:szCs w:val="24"/>
          <w:lang w:val="es-ES_tradnl"/>
        </w:rPr>
        <w:t>QUINTO.-</w:t>
      </w:r>
      <w:r w:rsidRPr="00227CE1">
        <w:rPr>
          <w:rFonts w:ascii="Arial" w:hAnsi="Arial" w:cs="Arial"/>
          <w:sz w:val="24"/>
          <w:szCs w:val="24"/>
          <w:lang w:val="es-ES_tradnl"/>
        </w:rPr>
        <w:t xml:space="preserve"> Las Autoridades Estatales y Municipales que, dentro de sus atribuciones puedan emitir actos impugnables de competencia para el conocimiento del Tribunal de Justicia Administrativa de Coahuila de Zaragoza, deberán de registrar las firmas electrónicas de los Servidores Públicos en su calidad de representantes y autorizados, señalando el alcance y límites de su intervención en los trámites jurisdiccionales ante dicho Tribunal y señalar el tipo de usuarios para acceder a los expedientes electrónicos, en un plazo no mayor a 60 días hábiles, contados a partir de la entrada en vigor del mismo.</w:t>
      </w: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lang w:val="es-ES_tradnl"/>
        </w:rPr>
      </w:pPr>
    </w:p>
    <w:p w:rsidR="00227CE1" w:rsidRPr="00227CE1" w:rsidRDefault="00227CE1" w:rsidP="00227CE1">
      <w:pPr>
        <w:spacing w:after="0" w:line="360" w:lineRule="auto"/>
        <w:jc w:val="both"/>
        <w:rPr>
          <w:rFonts w:ascii="Arial" w:hAnsi="Arial" w:cs="Arial"/>
          <w:sz w:val="24"/>
          <w:szCs w:val="24"/>
        </w:rPr>
      </w:pPr>
      <w:r w:rsidRPr="00227CE1">
        <w:rPr>
          <w:rFonts w:ascii="Arial" w:hAnsi="Arial" w:cs="Arial"/>
          <w:b/>
          <w:sz w:val="24"/>
          <w:szCs w:val="24"/>
          <w:lang w:val="es-ES_tradnl"/>
        </w:rPr>
        <w:t>SEXTO.-</w:t>
      </w:r>
      <w:r w:rsidRPr="00227CE1">
        <w:rPr>
          <w:rFonts w:ascii="Arial" w:hAnsi="Arial" w:cs="Arial"/>
          <w:sz w:val="24"/>
          <w:szCs w:val="24"/>
          <w:lang w:val="es-ES_tradnl"/>
        </w:rPr>
        <w:t xml:space="preserve"> </w:t>
      </w:r>
      <w:r w:rsidRPr="00227CE1">
        <w:rPr>
          <w:rFonts w:ascii="Arial" w:hAnsi="Arial" w:cs="Arial"/>
          <w:sz w:val="24"/>
          <w:szCs w:val="24"/>
        </w:rPr>
        <w:t>Se derogan todas las disposiciones que se opongan a este decreto.</w:t>
      </w:r>
    </w:p>
    <w:p w:rsidR="00227CE1" w:rsidRPr="00227CE1" w:rsidRDefault="00227CE1" w:rsidP="00227CE1">
      <w:pPr>
        <w:spacing w:after="0" w:line="360" w:lineRule="auto"/>
        <w:rPr>
          <w:rFonts w:ascii="Arial" w:hAnsi="Arial" w:cs="Arial"/>
          <w:sz w:val="24"/>
          <w:szCs w:val="24"/>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
          <w:sz w:val="24"/>
          <w:szCs w:val="24"/>
          <w:lang w:eastAsia="es-ES"/>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
          <w:sz w:val="24"/>
          <w:szCs w:val="24"/>
          <w:lang w:eastAsia="es-ES"/>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b/>
          <w:sz w:val="24"/>
          <w:szCs w:val="24"/>
          <w:lang w:eastAsia="es-ES"/>
        </w:rPr>
      </w:pPr>
    </w:p>
    <w:p w:rsidR="00227CE1" w:rsidRPr="00227CE1" w:rsidRDefault="00227CE1" w:rsidP="00227CE1">
      <w:pPr>
        <w:widowControl w:val="0"/>
        <w:autoSpaceDE w:val="0"/>
        <w:autoSpaceDN w:val="0"/>
        <w:adjustRightInd w:val="0"/>
        <w:spacing w:after="0" w:line="360" w:lineRule="auto"/>
        <w:jc w:val="both"/>
        <w:rPr>
          <w:rFonts w:ascii="Arial" w:eastAsia="Times New Roman" w:hAnsi="Arial" w:cs="Arial"/>
          <w:sz w:val="24"/>
          <w:szCs w:val="24"/>
          <w:lang w:eastAsia="es-ES"/>
        </w:rPr>
      </w:pPr>
      <w:r w:rsidRPr="00227CE1">
        <w:rPr>
          <w:rFonts w:ascii="Arial" w:hAnsi="Arial" w:cs="Arial"/>
          <w:b/>
          <w:sz w:val="24"/>
          <w:szCs w:val="24"/>
        </w:rPr>
        <w:t xml:space="preserve">DADO. </w:t>
      </w:r>
      <w:r w:rsidRPr="00227CE1">
        <w:rPr>
          <w:rFonts w:ascii="Arial" w:hAnsi="Arial" w:cs="Arial"/>
          <w:sz w:val="24"/>
          <w:szCs w:val="24"/>
        </w:rPr>
        <w:t>En la Residencia Oficial del Poder Ejecutivo del Estado, en la ciudad de Saltillo, Coahuila de Zaragoza, a los veintisiete días del mes de junio del año dos mil diecinueve.</w:t>
      </w:r>
    </w:p>
    <w:p w:rsidR="00227CE1" w:rsidRPr="00227CE1" w:rsidRDefault="00227CE1" w:rsidP="00227CE1">
      <w:pPr>
        <w:spacing w:after="0" w:line="360" w:lineRule="auto"/>
        <w:jc w:val="center"/>
        <w:rPr>
          <w:rFonts w:ascii="Arial" w:hAnsi="Arial" w:cs="Arial"/>
          <w:sz w:val="24"/>
          <w:szCs w:val="24"/>
        </w:rPr>
      </w:pPr>
    </w:p>
    <w:p w:rsidR="00227CE1" w:rsidRPr="00227CE1" w:rsidRDefault="00227CE1" w:rsidP="00227CE1">
      <w:pPr>
        <w:spacing w:after="0" w:line="360" w:lineRule="auto"/>
        <w:jc w:val="center"/>
        <w:rPr>
          <w:rFonts w:ascii="Arial" w:hAnsi="Arial" w:cs="Arial"/>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“SUFRAGIO EFECTIVO, NO REELECCIÓN”</w:t>
      </w: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EL GOBERNADOR CONSTITUCIONAL DEL ESTADO</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r w:rsidRPr="00227CE1">
        <w:rPr>
          <w:rFonts w:ascii="Arial" w:hAnsi="Arial" w:cs="Arial"/>
          <w:b/>
          <w:sz w:val="24"/>
          <w:szCs w:val="24"/>
        </w:rPr>
        <w:t>ING. MIGUEL ÁNGEL RIQUELME SOLÍS</w:t>
      </w:r>
    </w:p>
    <w:p w:rsidR="00227CE1" w:rsidRPr="00227CE1" w:rsidRDefault="00227CE1" w:rsidP="00227CE1">
      <w:pPr>
        <w:spacing w:after="0" w:line="360" w:lineRule="auto"/>
        <w:jc w:val="center"/>
        <w:rPr>
          <w:rFonts w:ascii="Arial" w:hAnsi="Arial" w:cs="Arial"/>
          <w:b/>
          <w:sz w:val="24"/>
          <w:szCs w:val="24"/>
        </w:rPr>
      </w:pPr>
    </w:p>
    <w:p w:rsidR="00227CE1" w:rsidRPr="00227CE1" w:rsidRDefault="00227CE1" w:rsidP="00227CE1">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19"/>
        <w:gridCol w:w="4419"/>
      </w:tblGrid>
      <w:tr w:rsidR="00227CE1" w:rsidRPr="00227CE1" w:rsidTr="0032259E">
        <w:tc>
          <w:tcPr>
            <w:tcW w:w="4489" w:type="dxa"/>
          </w:tcPr>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r w:rsidRPr="00227CE1">
              <w:rPr>
                <w:rFonts w:ascii="Arial" w:eastAsiaTheme="minorHAnsi" w:hAnsi="Arial" w:cs="Arial"/>
                <w:b/>
                <w:sz w:val="24"/>
                <w:szCs w:val="24"/>
                <w:lang w:eastAsia="es-MX"/>
              </w:rPr>
              <w:t>EL SECRETARIO DE GOBIERNO</w:t>
            </w: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r w:rsidRPr="00227CE1">
              <w:rPr>
                <w:rFonts w:ascii="Arial" w:eastAsiaTheme="minorHAnsi" w:hAnsi="Arial" w:cs="Arial"/>
                <w:b/>
                <w:sz w:val="24"/>
                <w:szCs w:val="24"/>
                <w:lang w:eastAsia="es-MX"/>
              </w:rPr>
              <w:t>ING. JOSÉ MARÍA FRAUSTRO SILLER</w:t>
            </w:r>
          </w:p>
          <w:p w:rsidR="00227CE1" w:rsidRPr="00227CE1" w:rsidRDefault="00227CE1" w:rsidP="00227CE1">
            <w:pPr>
              <w:spacing w:after="0" w:line="360" w:lineRule="auto"/>
              <w:jc w:val="center"/>
              <w:rPr>
                <w:rFonts w:ascii="Arial" w:eastAsiaTheme="minorHAnsi" w:hAnsi="Arial" w:cs="Arial"/>
                <w:b/>
                <w:sz w:val="24"/>
                <w:szCs w:val="24"/>
                <w:lang w:eastAsia="es-MX"/>
              </w:rPr>
            </w:pPr>
          </w:p>
        </w:tc>
        <w:tc>
          <w:tcPr>
            <w:tcW w:w="4489" w:type="dxa"/>
          </w:tcPr>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r w:rsidRPr="00227CE1">
              <w:rPr>
                <w:rFonts w:ascii="Arial" w:eastAsiaTheme="minorHAnsi" w:hAnsi="Arial" w:cs="Arial"/>
                <w:b/>
                <w:sz w:val="24"/>
                <w:szCs w:val="24"/>
                <w:lang w:eastAsia="es-MX"/>
              </w:rPr>
              <w:t>EL SECRETARIO DE FINANZAS</w:t>
            </w:r>
          </w:p>
          <w:p w:rsidR="00227CE1" w:rsidRPr="00227CE1" w:rsidRDefault="00227CE1" w:rsidP="00227CE1">
            <w:pPr>
              <w:spacing w:after="0" w:line="360" w:lineRule="auto"/>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heme="minorHAnsi" w:hAnsi="Arial" w:cs="Arial"/>
                <w:b/>
                <w:sz w:val="24"/>
                <w:szCs w:val="24"/>
                <w:lang w:eastAsia="es-MX"/>
              </w:rPr>
            </w:pPr>
          </w:p>
          <w:p w:rsidR="00227CE1" w:rsidRPr="00227CE1" w:rsidRDefault="00227CE1" w:rsidP="00227CE1">
            <w:pPr>
              <w:spacing w:after="0" w:line="360" w:lineRule="auto"/>
              <w:jc w:val="center"/>
              <w:rPr>
                <w:rFonts w:ascii="Arial" w:eastAsia="Times New Roman" w:hAnsi="Arial" w:cs="Arial"/>
                <w:sz w:val="24"/>
                <w:szCs w:val="24"/>
              </w:rPr>
            </w:pPr>
            <w:r w:rsidRPr="00227CE1">
              <w:rPr>
                <w:rFonts w:ascii="Arial" w:eastAsiaTheme="minorHAnsi" w:hAnsi="Arial" w:cs="Arial"/>
                <w:b/>
                <w:sz w:val="24"/>
                <w:szCs w:val="24"/>
                <w:lang w:eastAsia="es-MX"/>
              </w:rPr>
              <w:t>LIC. BLAS JOSÉ FLORES DÁVILA</w:t>
            </w:r>
          </w:p>
        </w:tc>
      </w:tr>
      <w:bookmarkEnd w:id="1"/>
    </w:tbl>
    <w:p w:rsidR="00227CE1" w:rsidRPr="00227CE1" w:rsidRDefault="00227CE1" w:rsidP="00227CE1">
      <w:pPr>
        <w:spacing w:after="0" w:line="360" w:lineRule="auto"/>
        <w:jc w:val="both"/>
        <w:rPr>
          <w:rFonts w:ascii="Arial" w:eastAsia="Times New Roman" w:hAnsi="Arial" w:cs="Arial"/>
          <w:sz w:val="24"/>
          <w:szCs w:val="24"/>
          <w:lang w:eastAsia="es-ES"/>
        </w:rPr>
      </w:pPr>
    </w:p>
    <w:p w:rsidR="00677325" w:rsidRDefault="00677325" w:rsidP="00677325">
      <w:pPr>
        <w:spacing w:after="0" w:line="360" w:lineRule="auto"/>
        <w:jc w:val="both"/>
        <w:rPr>
          <w:rFonts w:ascii="Arial" w:hAnsi="Arial" w:cs="Arial"/>
          <w:b/>
          <w:sz w:val="24"/>
          <w:szCs w:val="24"/>
          <w:lang w:eastAsia="es-MX"/>
        </w:rPr>
      </w:pPr>
    </w:p>
    <w:sectPr w:rsidR="00677325"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611" w:rsidRDefault="00455611">
      <w:pPr>
        <w:spacing w:after="0" w:line="240" w:lineRule="auto"/>
      </w:pPr>
      <w:r>
        <w:separator/>
      </w:r>
    </w:p>
  </w:endnote>
  <w:endnote w:type="continuationSeparator" w:id="0">
    <w:p w:rsidR="00455611" w:rsidRDefault="00455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Pr="0027348B" w:rsidRDefault="00455611" w:rsidP="00601F13">
    <w:pPr>
      <w:jc w:val="both"/>
      <w:rPr>
        <w:rFonts w:ascii="Arial" w:hAnsi="Arial" w:cs="Arial"/>
        <w:sz w:val="12"/>
        <w:szCs w:val="12"/>
      </w:rPr>
    </w:pPr>
  </w:p>
  <w:p w:rsidR="00F221D6" w:rsidRDefault="004556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611" w:rsidRDefault="00455611">
      <w:pPr>
        <w:spacing w:after="0" w:line="240" w:lineRule="auto"/>
      </w:pPr>
      <w:r>
        <w:separator/>
      </w:r>
    </w:p>
  </w:footnote>
  <w:footnote w:type="continuationSeparator" w:id="0">
    <w:p w:rsidR="00455611" w:rsidRDefault="00455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1D6" w:rsidRDefault="000F2315" w:rsidP="00C75FFE">
    <w:pPr>
      <w:pStyle w:val="Encabezado"/>
      <w:spacing w:after="240"/>
      <w:ind w:right="-799"/>
      <w:rPr>
        <w:rFonts w:ascii="Arial" w:hAnsi="Arial" w:cs="Arial"/>
        <w:b/>
        <w:lang w:val="es-MX"/>
      </w:rPr>
    </w:pPr>
    <w:r>
      <w:rPr>
        <w:rFonts w:ascii="Arial" w:hAnsi="Arial" w:cs="Arial"/>
        <w:b/>
        <w:lang w:val="es-MX"/>
      </w:rPr>
      <w:br/>
      <w:t xml:space="preserve">                                                                                                                        </w:t>
    </w:r>
  </w:p>
  <w:p w:rsidR="00A774DA" w:rsidRDefault="00455611" w:rsidP="0089363A">
    <w:pPr>
      <w:pStyle w:val="Encabezado"/>
      <w:ind w:right="-799"/>
      <w:rPr>
        <w:rFonts w:ascii="Arial" w:hAnsi="Arial" w:cs="Arial"/>
        <w:b/>
        <w:lang w:val="es-MX"/>
      </w:rPr>
    </w:pPr>
  </w:p>
  <w:p w:rsidR="00F221D6" w:rsidRPr="00942D59" w:rsidRDefault="000F2315" w:rsidP="0089363A">
    <w:pPr>
      <w:pStyle w:val="Encabezado"/>
      <w:ind w:right="-799"/>
      <w:rPr>
        <w:rFonts w:ascii="Arial" w:hAnsi="Arial" w:cs="Arial"/>
        <w:b/>
        <w:sz w:val="10"/>
        <w:szCs w:val="10"/>
        <w:lang w:val="es-MX"/>
      </w:rPr>
    </w:pPr>
    <w:r>
      <w:rPr>
        <w:rFonts w:ascii="Arial" w:hAnsi="Arial" w:cs="Arial"/>
        <w:b/>
        <w:lang w:val="es-MX"/>
      </w:rPr>
      <w:br/>
    </w:r>
  </w:p>
  <w:p w:rsidR="00F221D6" w:rsidRPr="00637270" w:rsidRDefault="000F2315"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181/2019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770DF7"/>
    <w:multiLevelType w:val="hybridMultilevel"/>
    <w:tmpl w:val="B3E6EF34"/>
    <w:lvl w:ilvl="0" w:tplc="27569AF4">
      <w:start w:val="1"/>
      <w:numFmt w:val="decimal"/>
      <w:lvlText w:val="%1."/>
      <w:lvlJc w:val="left"/>
      <w:pPr>
        <w:ind w:left="550" w:hanging="360"/>
      </w:pPr>
      <w:rPr>
        <w:rFonts w:ascii="Arial" w:hAnsi="Arial" w:cs="Arial" w:hint="default"/>
        <w:b w:val="0"/>
        <w:sz w:val="24"/>
        <w:szCs w:val="24"/>
      </w:rPr>
    </w:lvl>
    <w:lvl w:ilvl="1" w:tplc="080A0019" w:tentative="1">
      <w:start w:val="1"/>
      <w:numFmt w:val="lowerLetter"/>
      <w:lvlText w:val="%2."/>
      <w:lvlJc w:val="left"/>
      <w:pPr>
        <w:ind w:left="1270" w:hanging="360"/>
      </w:pPr>
    </w:lvl>
    <w:lvl w:ilvl="2" w:tplc="080A001B" w:tentative="1">
      <w:start w:val="1"/>
      <w:numFmt w:val="lowerRoman"/>
      <w:lvlText w:val="%3."/>
      <w:lvlJc w:val="right"/>
      <w:pPr>
        <w:ind w:left="1990" w:hanging="180"/>
      </w:pPr>
    </w:lvl>
    <w:lvl w:ilvl="3" w:tplc="080A000F" w:tentative="1">
      <w:start w:val="1"/>
      <w:numFmt w:val="decimal"/>
      <w:lvlText w:val="%4."/>
      <w:lvlJc w:val="left"/>
      <w:pPr>
        <w:ind w:left="2710" w:hanging="360"/>
      </w:pPr>
    </w:lvl>
    <w:lvl w:ilvl="4" w:tplc="080A0019" w:tentative="1">
      <w:start w:val="1"/>
      <w:numFmt w:val="lowerLetter"/>
      <w:lvlText w:val="%5."/>
      <w:lvlJc w:val="left"/>
      <w:pPr>
        <w:ind w:left="3430" w:hanging="360"/>
      </w:pPr>
    </w:lvl>
    <w:lvl w:ilvl="5" w:tplc="080A001B" w:tentative="1">
      <w:start w:val="1"/>
      <w:numFmt w:val="lowerRoman"/>
      <w:lvlText w:val="%6."/>
      <w:lvlJc w:val="right"/>
      <w:pPr>
        <w:ind w:left="4150" w:hanging="180"/>
      </w:pPr>
    </w:lvl>
    <w:lvl w:ilvl="6" w:tplc="080A000F" w:tentative="1">
      <w:start w:val="1"/>
      <w:numFmt w:val="decimal"/>
      <w:lvlText w:val="%7."/>
      <w:lvlJc w:val="left"/>
      <w:pPr>
        <w:ind w:left="4870" w:hanging="360"/>
      </w:pPr>
    </w:lvl>
    <w:lvl w:ilvl="7" w:tplc="080A0019" w:tentative="1">
      <w:start w:val="1"/>
      <w:numFmt w:val="lowerLetter"/>
      <w:lvlText w:val="%8."/>
      <w:lvlJc w:val="left"/>
      <w:pPr>
        <w:ind w:left="5590" w:hanging="360"/>
      </w:pPr>
    </w:lvl>
    <w:lvl w:ilvl="8" w:tplc="080A001B" w:tentative="1">
      <w:start w:val="1"/>
      <w:numFmt w:val="lowerRoman"/>
      <w:lvlText w:val="%9."/>
      <w:lvlJc w:val="right"/>
      <w:pPr>
        <w:ind w:left="6310" w:hanging="180"/>
      </w:pPr>
    </w:lvl>
  </w:abstractNum>
  <w:abstractNum w:abstractNumId="3"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684EF0"/>
    <w:multiLevelType w:val="hybridMultilevel"/>
    <w:tmpl w:val="6E10F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633E4D"/>
    <w:multiLevelType w:val="hybridMultilevel"/>
    <w:tmpl w:val="A13E3D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0D5480"/>
    <w:multiLevelType w:val="hybridMultilevel"/>
    <w:tmpl w:val="68B8BA2A"/>
    <w:lvl w:ilvl="0" w:tplc="7B22316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3E6D5F"/>
    <w:multiLevelType w:val="hybridMultilevel"/>
    <w:tmpl w:val="65447030"/>
    <w:lvl w:ilvl="0" w:tplc="83E20A6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2126F8"/>
    <w:multiLevelType w:val="hybridMultilevel"/>
    <w:tmpl w:val="4E44ED9E"/>
    <w:lvl w:ilvl="0" w:tplc="8CB45FE4">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7"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837DA9"/>
    <w:multiLevelType w:val="hybridMultilevel"/>
    <w:tmpl w:val="13AACC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211661"/>
    <w:multiLevelType w:val="hybridMultilevel"/>
    <w:tmpl w:val="C94878A6"/>
    <w:lvl w:ilvl="0" w:tplc="080A0017">
      <w:start w:val="1"/>
      <w:numFmt w:val="lowerLetter"/>
      <w:lvlText w:val="%1)"/>
      <w:lvlJc w:val="left"/>
      <w:pPr>
        <w:ind w:left="993" w:hanging="360"/>
      </w:pPr>
    </w:lvl>
    <w:lvl w:ilvl="1" w:tplc="080A0019" w:tentative="1">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26"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33"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3"/>
  </w:num>
  <w:num w:numId="2">
    <w:abstractNumId w:val="17"/>
  </w:num>
  <w:num w:numId="3">
    <w:abstractNumId w:val="22"/>
  </w:num>
  <w:num w:numId="4">
    <w:abstractNumId w:val="10"/>
  </w:num>
  <w:num w:numId="5">
    <w:abstractNumId w:val="18"/>
  </w:num>
  <w:num w:numId="6">
    <w:abstractNumId w:val="29"/>
  </w:num>
  <w:num w:numId="7">
    <w:abstractNumId w:val="1"/>
  </w:num>
  <w:num w:numId="8">
    <w:abstractNumId w:val="11"/>
  </w:num>
  <w:num w:numId="9">
    <w:abstractNumId w:val="21"/>
  </w:num>
  <w:num w:numId="10">
    <w:abstractNumId w:val="3"/>
  </w:num>
  <w:num w:numId="11">
    <w:abstractNumId w:val="20"/>
  </w:num>
  <w:num w:numId="12">
    <w:abstractNumId w:val="31"/>
  </w:num>
  <w:num w:numId="13">
    <w:abstractNumId w:val="8"/>
  </w:num>
  <w:num w:numId="14">
    <w:abstractNumId w:val="14"/>
  </w:num>
  <w:num w:numId="15">
    <w:abstractNumId w:val="7"/>
  </w:num>
  <w:num w:numId="16">
    <w:abstractNumId w:val="27"/>
  </w:num>
  <w:num w:numId="17">
    <w:abstractNumId w:val="0"/>
  </w:num>
  <w:num w:numId="18">
    <w:abstractNumId w:val="26"/>
  </w:num>
  <w:num w:numId="19">
    <w:abstractNumId w:val="30"/>
  </w:num>
  <w:num w:numId="20">
    <w:abstractNumId w:val="28"/>
  </w:num>
  <w:num w:numId="21">
    <w:abstractNumId w:val="6"/>
  </w:num>
  <w:num w:numId="22">
    <w:abstractNumId w:val="33"/>
  </w:num>
  <w:num w:numId="23">
    <w:abstractNumId w:val="4"/>
  </w:num>
  <w:num w:numId="24">
    <w:abstractNumId w:val="5"/>
  </w:num>
  <w:num w:numId="25">
    <w:abstractNumId w:val="16"/>
  </w:num>
  <w:num w:numId="26">
    <w:abstractNumId w:val="2"/>
  </w:num>
  <w:num w:numId="27">
    <w:abstractNumId w:val="12"/>
  </w:num>
  <w:num w:numId="28">
    <w:abstractNumId w:val="19"/>
  </w:num>
  <w:num w:numId="29">
    <w:abstractNumId w:val="25"/>
  </w:num>
  <w:num w:numId="30">
    <w:abstractNumId w:val="13"/>
  </w:num>
  <w:num w:numId="31">
    <w:abstractNumId w:val="15"/>
  </w:num>
  <w:num w:numId="32">
    <w:abstractNumId w:val="9"/>
  </w:num>
  <w:num w:numId="33">
    <w:abstractNumId w:val="32"/>
  </w:num>
  <w:num w:numId="34">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8765C"/>
    <w:rsid w:val="00093A2D"/>
    <w:rsid w:val="00093BC8"/>
    <w:rsid w:val="00093F48"/>
    <w:rsid w:val="00095DBB"/>
    <w:rsid w:val="00096FD1"/>
    <w:rsid w:val="000A13D3"/>
    <w:rsid w:val="000A1EBC"/>
    <w:rsid w:val="000A237D"/>
    <w:rsid w:val="000A4341"/>
    <w:rsid w:val="000A4550"/>
    <w:rsid w:val="000B111E"/>
    <w:rsid w:val="000B2D4F"/>
    <w:rsid w:val="000B74F4"/>
    <w:rsid w:val="000C78B0"/>
    <w:rsid w:val="000D01BB"/>
    <w:rsid w:val="000D2D4C"/>
    <w:rsid w:val="000D4D9F"/>
    <w:rsid w:val="000E215B"/>
    <w:rsid w:val="000E25D8"/>
    <w:rsid w:val="000F2315"/>
    <w:rsid w:val="000F2F89"/>
    <w:rsid w:val="00102A62"/>
    <w:rsid w:val="0010655C"/>
    <w:rsid w:val="001068DE"/>
    <w:rsid w:val="001117F4"/>
    <w:rsid w:val="0011215A"/>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D7FBD"/>
    <w:rsid w:val="001E14DF"/>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5611"/>
    <w:rsid w:val="004575F4"/>
    <w:rsid w:val="00466742"/>
    <w:rsid w:val="00473C61"/>
    <w:rsid w:val="004754E6"/>
    <w:rsid w:val="0047629B"/>
    <w:rsid w:val="004821E9"/>
    <w:rsid w:val="004856C4"/>
    <w:rsid w:val="00490BB1"/>
    <w:rsid w:val="004967C2"/>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0FEB"/>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45D83"/>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B3F35"/>
    <w:rsid w:val="00EB4210"/>
    <w:rsid w:val="00EC2BAB"/>
    <w:rsid w:val="00EC4B4E"/>
    <w:rsid w:val="00EC5550"/>
    <w:rsid w:val="00EC77A5"/>
    <w:rsid w:val="00ED017B"/>
    <w:rsid w:val="00ED0DBB"/>
    <w:rsid w:val="00ED596F"/>
    <w:rsid w:val="00EE1CF8"/>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EA6FB9-0B4B-4CE4-A353-F399674B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7118</Words>
  <Characters>39149</Characters>
  <Application>Microsoft Office Word</Application>
  <DocSecurity>0</DocSecurity>
  <Lines>326</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2020-01-22T21:16:00Z</dcterms:created>
  <dcterms:modified xsi:type="dcterms:W3CDTF">2020-01-22T21:16:00Z</dcterms:modified>
</cp:coreProperties>
</file>