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</w:p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</w:p>
    <w:p w:rsidR="00823DC2" w:rsidRPr="00823DC2" w:rsidRDefault="00823DC2" w:rsidP="00823DC2">
      <w:pPr>
        <w:rPr>
          <w:rFonts w:ascii="Arial Narrow" w:hAnsi="Arial Narrow"/>
          <w:b/>
          <w:color w:val="000000"/>
          <w:sz w:val="26"/>
          <w:szCs w:val="26"/>
        </w:rPr>
      </w:pPr>
      <w:r w:rsidRPr="00823DC2">
        <w:rPr>
          <w:rFonts w:ascii="Arial Narrow" w:hAnsi="Arial Narrow"/>
          <w:color w:val="000000"/>
          <w:sz w:val="26"/>
          <w:szCs w:val="26"/>
        </w:rPr>
        <w:t xml:space="preserve">Iniciativa con Proyecto de Decreto a fin de reformar el artículo 10 de la </w:t>
      </w:r>
      <w:r w:rsidRPr="00823DC2">
        <w:rPr>
          <w:rFonts w:ascii="Arial Narrow" w:hAnsi="Arial Narrow"/>
          <w:b/>
          <w:color w:val="000000"/>
          <w:sz w:val="26"/>
          <w:szCs w:val="26"/>
        </w:rPr>
        <w:t>Ley de los Derechos de las Personas Adultas Mayores del Estado de Coahuila.</w:t>
      </w:r>
    </w:p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</w:p>
    <w:p w:rsidR="00823DC2" w:rsidRPr="00823DC2" w:rsidRDefault="00823DC2" w:rsidP="00823DC2">
      <w:pPr>
        <w:pStyle w:val="Prrafodelista"/>
        <w:widowControl/>
        <w:numPr>
          <w:ilvl w:val="0"/>
          <w:numId w:val="44"/>
        </w:numPr>
        <w:jc w:val="left"/>
        <w:rPr>
          <w:rFonts w:ascii="Arial Narrow" w:hAnsi="Arial Narrow"/>
          <w:color w:val="000000"/>
          <w:sz w:val="26"/>
          <w:szCs w:val="26"/>
        </w:rPr>
      </w:pPr>
      <w:r w:rsidRPr="00823DC2">
        <w:rPr>
          <w:rFonts w:ascii="Arial Narrow" w:hAnsi="Arial Narrow"/>
          <w:color w:val="000000"/>
          <w:sz w:val="26"/>
          <w:szCs w:val="26"/>
        </w:rPr>
        <w:t>En materia de certeza jurídica y apoyo durante procesos judiciales para las personas adultas mayores.</w:t>
      </w:r>
    </w:p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</w:p>
    <w:p w:rsidR="00823DC2" w:rsidRPr="00CC7AF9" w:rsidRDefault="00823DC2" w:rsidP="00823DC2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CC7AF9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823DC2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823DC2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823DC2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CC7AF9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CC7AF9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823DC2" w:rsidRPr="00CC7AF9" w:rsidRDefault="00823DC2" w:rsidP="00823DC2">
      <w:pPr>
        <w:rPr>
          <w:rFonts w:ascii="Arial Narrow" w:hAnsi="Arial Narrow" w:cs="Arial"/>
          <w:sz w:val="26"/>
          <w:szCs w:val="26"/>
        </w:rPr>
      </w:pPr>
    </w:p>
    <w:p w:rsidR="00823DC2" w:rsidRPr="00CC7AF9" w:rsidRDefault="00823DC2" w:rsidP="00823DC2">
      <w:pPr>
        <w:rPr>
          <w:rFonts w:ascii="Arial Narrow" w:hAnsi="Arial Narrow"/>
          <w:b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02</w:t>
      </w:r>
      <w:r w:rsidRPr="00CC7AF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CC7AF9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823DC2" w:rsidRPr="00CC7AF9" w:rsidRDefault="00823DC2" w:rsidP="00823DC2">
      <w:pPr>
        <w:rPr>
          <w:rFonts w:ascii="Arial Narrow" w:hAnsi="Arial Narrow" w:cs="Arial"/>
          <w:sz w:val="26"/>
          <w:szCs w:val="26"/>
        </w:rPr>
      </w:pPr>
    </w:p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823DC2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823DC2" w:rsidRDefault="00823DC2" w:rsidP="00823DC2">
      <w:pPr>
        <w:rPr>
          <w:rFonts w:ascii="Arial Narrow" w:hAnsi="Arial Narrow"/>
          <w:color w:val="000000"/>
          <w:sz w:val="26"/>
          <w:szCs w:val="26"/>
        </w:rPr>
      </w:pPr>
    </w:p>
    <w:p w:rsidR="00FB518D" w:rsidRPr="00521FB8" w:rsidRDefault="00FB518D" w:rsidP="00FB518D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Oficio 23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2020: Cancelación del trámite legislativo de la presente iniciativa.</w:t>
      </w:r>
    </w:p>
    <w:p w:rsidR="00823DC2" w:rsidRPr="00CC7AF9" w:rsidRDefault="00823DC2" w:rsidP="00823DC2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823DC2" w:rsidRPr="00CC7AF9" w:rsidRDefault="00823DC2" w:rsidP="00823DC2">
      <w:pPr>
        <w:rPr>
          <w:rFonts w:cs="Arial"/>
          <w:b/>
          <w:sz w:val="28"/>
          <w:szCs w:val="28"/>
        </w:rPr>
      </w:pPr>
    </w:p>
    <w:p w:rsidR="00823DC2" w:rsidRDefault="00823DC2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23DC2" w:rsidRDefault="00823DC2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23DC2" w:rsidRDefault="00823DC2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23DC2" w:rsidRDefault="00823DC2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br w:type="page"/>
      </w:r>
    </w:p>
    <w:p w:rsidR="00482D67" w:rsidRPr="00C57392" w:rsidRDefault="00F47D93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INICIATIVA CON PROYECTO DE DECRETO 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QUE PRESENTA</w:t>
      </w:r>
      <w:r w:rsidR="00753721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N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 DIPUTADAS Y DIPUTADOS INTEGRANTES DEL GRUPO PARLAMENTARIO “GRAL. ANDRÉS S. VIESCA”, DEL PARTIDO REVOLUCIONARIO INSTITUCIONAL, POR CONDUCTO DE LA DIPUTADA VERÓNICA</w:t>
      </w:r>
      <w:r w:rsidR="004B6A2D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BOREQUE MARTÍNEZ GONZÁLEZ, A FIN </w:t>
      </w:r>
      <w:r w:rsidR="004C353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REFORMAR EL ARTICULO </w:t>
      </w:r>
      <w:r w:rsidR="004021C1">
        <w:rPr>
          <w:rFonts w:asciiTheme="minorHAnsi" w:eastAsia="Arial" w:hAnsiTheme="minorHAnsi" w:cstheme="minorHAnsi"/>
          <w:b/>
          <w:bCs/>
          <w:sz w:val="24"/>
          <w:szCs w:val="24"/>
        </w:rPr>
        <w:t>10</w:t>
      </w:r>
      <w:r w:rsidR="004C353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 </w:t>
      </w:r>
      <w:r w:rsidR="0010198B">
        <w:rPr>
          <w:rFonts w:asciiTheme="minorHAnsi" w:eastAsia="Arial" w:hAnsiTheme="minorHAnsi" w:cstheme="minorHAnsi"/>
          <w:b/>
          <w:bCs/>
          <w:sz w:val="24"/>
          <w:szCs w:val="24"/>
        </w:rPr>
        <w:t>LA LEY DE LOS DERECHOS DE LAS PERSONAS ADULTAS MAYORES DEL ESTADO DE COAHUILA DE ZARAGOZA.</w:t>
      </w:r>
    </w:p>
    <w:p w:rsidR="004A52B5" w:rsidRPr="00C57392" w:rsidRDefault="004A52B5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 xml:space="preserve">H. PLENO DEL CONGRESO DEL ESTADO 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DE COAHUILA DE ZARAGOZA.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 R E S E N T E.-</w:t>
      </w:r>
    </w:p>
    <w:p w:rsidR="00753721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0560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hAnsiTheme="minorHAnsi" w:cstheme="minorHAnsi"/>
          <w:sz w:val="24"/>
          <w:szCs w:val="24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C57392">
        <w:rPr>
          <w:rFonts w:asciiTheme="minorHAnsi" w:hAnsiTheme="minorHAnsi" w:cstheme="minorHAnsi"/>
          <w:sz w:val="24"/>
          <w:szCs w:val="24"/>
        </w:rPr>
        <w:t>meter a consideración de este Honorable</w:t>
      </w:r>
      <w:r w:rsidRPr="00C57392">
        <w:rPr>
          <w:rFonts w:asciiTheme="minorHAnsi" w:hAnsiTheme="minorHAnsi" w:cstheme="minorHAnsi"/>
          <w:sz w:val="24"/>
          <w:szCs w:val="24"/>
        </w:rPr>
        <w:t xml:space="preserve"> Pleno del Congreso del Estado, la presente </w:t>
      </w:r>
      <w:r w:rsidR="004B6A2D" w:rsidRPr="00C57392">
        <w:rPr>
          <w:rFonts w:asciiTheme="minorHAnsi" w:hAnsiTheme="minorHAnsi" w:cstheme="minorHAnsi"/>
          <w:sz w:val="24"/>
          <w:szCs w:val="24"/>
        </w:rPr>
        <w:t xml:space="preserve">iniciativa con proyecto de decreto </w:t>
      </w:r>
      <w:r w:rsidR="004021C1">
        <w:rPr>
          <w:rFonts w:asciiTheme="minorHAnsi" w:hAnsiTheme="minorHAnsi" w:cstheme="minorHAnsi"/>
          <w:sz w:val="24"/>
          <w:szCs w:val="24"/>
        </w:rPr>
        <w:t>en materia de certeza jurídica y apoyo durante procesos judiciales para las personas adultas mayores</w:t>
      </w:r>
      <w:r w:rsidRPr="00C57392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, </w:t>
      </w:r>
      <w:r w:rsidRPr="00C57392">
        <w:rPr>
          <w:rFonts w:asciiTheme="minorHAnsi" w:hAnsiTheme="minorHAnsi" w:cstheme="minorHAnsi"/>
          <w:sz w:val="24"/>
          <w:szCs w:val="24"/>
        </w:rPr>
        <w:t>bajo la siguiente:</w:t>
      </w:r>
    </w:p>
    <w:p w:rsidR="00753721" w:rsidRPr="00C57392" w:rsidRDefault="00753721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82D67" w:rsidRPr="00C57392" w:rsidRDefault="00482D67" w:rsidP="00963C56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E X P O S I C I O N   D E   M O T I V O S</w:t>
      </w:r>
    </w:p>
    <w:p w:rsidR="00482D67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142FEE" w:rsidRDefault="00142FEE" w:rsidP="00142FEE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Las personas adultas mayores </w:t>
      </w:r>
      <w:r w:rsidR="004C353F">
        <w:rPr>
          <w:rFonts w:eastAsiaTheme="minorHAnsi" w:cs="Arial"/>
          <w:sz w:val="24"/>
          <w:szCs w:val="24"/>
          <w:lang w:eastAsia="en-US"/>
        </w:rPr>
        <w:t>son aquellas que cuentan con sesenta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>o más años</w:t>
      </w:r>
      <w:r>
        <w:rPr>
          <w:rFonts w:eastAsiaTheme="minorHAnsi" w:cs="Arial"/>
          <w:sz w:val="24"/>
          <w:szCs w:val="24"/>
          <w:lang w:eastAsia="en-US"/>
        </w:rPr>
        <w:t xml:space="preserve"> conforme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lo preceptuado por el artículo 5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 de la Ley de los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>Derechos d</w:t>
      </w:r>
      <w:r>
        <w:rPr>
          <w:rFonts w:eastAsiaTheme="minorHAnsi" w:cs="Arial"/>
          <w:sz w:val="24"/>
          <w:szCs w:val="24"/>
          <w:lang w:eastAsia="en-US"/>
        </w:rPr>
        <w:t xml:space="preserve">e las Personas Adultas Mayores; en nuestro país, </w:t>
      </w:r>
      <w:r w:rsidR="004C353F">
        <w:rPr>
          <w:rFonts w:eastAsiaTheme="minorHAnsi" w:cs="Arial"/>
          <w:sz w:val="24"/>
          <w:szCs w:val="24"/>
          <w:lang w:eastAsia="en-US"/>
        </w:rPr>
        <w:t>de acuerdo a cifras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>que ofrece el Instituto Nacional de Estadística y Geografía</w:t>
      </w:r>
      <w:r>
        <w:rPr>
          <w:rFonts w:eastAsiaTheme="minorHAnsi" w:cs="Arial"/>
          <w:sz w:val="24"/>
          <w:szCs w:val="24"/>
          <w:lang w:eastAsia="en-US"/>
        </w:rPr>
        <w:t xml:space="preserve"> (INEGI)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, </w:t>
      </w:r>
      <w:r>
        <w:rPr>
          <w:rFonts w:eastAsiaTheme="minorHAnsi" w:cs="Arial"/>
          <w:sz w:val="24"/>
          <w:szCs w:val="24"/>
          <w:lang w:eastAsia="en-US"/>
        </w:rPr>
        <w:t>para el 2017 el registro marcaba alrededor de unas 12, 973, 411 de personas en este sector poblacional</w:t>
      </w:r>
      <w:r w:rsidR="00ED2E01">
        <w:rPr>
          <w:rFonts w:eastAsiaTheme="minorHAnsi" w:cs="Arial"/>
          <w:sz w:val="24"/>
          <w:szCs w:val="24"/>
          <w:lang w:eastAsia="en-US"/>
        </w:rPr>
        <w:t>.</w:t>
      </w:r>
    </w:p>
    <w:p w:rsidR="00142FEE" w:rsidRDefault="00142FEE" w:rsidP="00142FEE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ED2E01" w:rsidRDefault="00ED2E01" w:rsidP="00ED2E01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lastRenderedPageBreak/>
        <w:t>Mucho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s </w:t>
      </w:r>
      <w:r w:rsidR="00142FEE">
        <w:rPr>
          <w:rFonts w:eastAsiaTheme="minorHAnsi" w:cs="Arial"/>
          <w:sz w:val="24"/>
          <w:szCs w:val="24"/>
          <w:lang w:eastAsia="en-US"/>
        </w:rPr>
        <w:t xml:space="preserve">de </w:t>
      </w:r>
      <w:r>
        <w:rPr>
          <w:rFonts w:eastAsiaTheme="minorHAnsi" w:cs="Arial"/>
          <w:sz w:val="24"/>
          <w:szCs w:val="24"/>
          <w:lang w:eastAsia="en-US"/>
        </w:rPr>
        <w:t>ellos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 sufren la disminución de algunas</w:t>
      </w:r>
      <w:r w:rsidR="00142FEE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>capacidades físicas o mentales</w:t>
      </w:r>
      <w:r>
        <w:rPr>
          <w:rFonts w:eastAsiaTheme="minorHAnsi" w:cs="Arial"/>
          <w:sz w:val="24"/>
          <w:szCs w:val="24"/>
          <w:lang w:eastAsia="en-US"/>
        </w:rPr>
        <w:t xml:space="preserve"> derivadas de la vejez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, </w:t>
      </w:r>
      <w:r>
        <w:rPr>
          <w:rFonts w:eastAsiaTheme="minorHAnsi" w:cs="Arial"/>
          <w:sz w:val="24"/>
          <w:szCs w:val="24"/>
          <w:lang w:eastAsia="en-US"/>
        </w:rPr>
        <w:t xml:space="preserve">que </w:t>
      </w:r>
      <w:r w:rsidR="00142FEE">
        <w:rPr>
          <w:rFonts w:eastAsiaTheme="minorHAnsi" w:cs="Arial"/>
          <w:sz w:val="24"/>
          <w:szCs w:val="24"/>
          <w:lang w:eastAsia="en-US"/>
        </w:rPr>
        <w:t xml:space="preserve">a su vez </w:t>
      </w:r>
      <w:r>
        <w:rPr>
          <w:rFonts w:eastAsiaTheme="minorHAnsi" w:cs="Arial"/>
          <w:sz w:val="24"/>
          <w:szCs w:val="24"/>
          <w:lang w:eastAsia="en-US"/>
        </w:rPr>
        <w:t>se traducen en</w:t>
      </w:r>
      <w:r w:rsidR="00142FEE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>dificulta</w:t>
      </w:r>
      <w:r>
        <w:rPr>
          <w:rFonts w:eastAsiaTheme="minorHAnsi" w:cs="Arial"/>
          <w:sz w:val="24"/>
          <w:szCs w:val="24"/>
          <w:lang w:eastAsia="en-US"/>
        </w:rPr>
        <w:t xml:space="preserve">des para tener </w:t>
      </w:r>
      <w:r w:rsidR="004C353F">
        <w:rPr>
          <w:rFonts w:eastAsiaTheme="minorHAnsi" w:cs="Arial"/>
          <w:sz w:val="24"/>
          <w:szCs w:val="24"/>
          <w:lang w:eastAsia="en-US"/>
        </w:rPr>
        <w:t>un efectivo ejercicio de sus</w:t>
      </w:r>
      <w:r w:rsidR="00142FEE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derechos, encontrándose </w:t>
      </w:r>
      <w:r w:rsidR="00142FEE">
        <w:rPr>
          <w:rFonts w:eastAsiaTheme="minorHAnsi" w:cs="Arial"/>
          <w:sz w:val="24"/>
          <w:szCs w:val="24"/>
          <w:lang w:eastAsia="en-US"/>
        </w:rPr>
        <w:t>en un estado de vulnerabilidad</w:t>
      </w:r>
      <w:r w:rsidR="001D1EF8">
        <w:rPr>
          <w:rFonts w:eastAsiaTheme="minorHAnsi" w:cs="Arial"/>
          <w:sz w:val="24"/>
          <w:szCs w:val="24"/>
          <w:lang w:eastAsia="en-US"/>
        </w:rPr>
        <w:t xml:space="preserve">. </w:t>
      </w:r>
      <w:r>
        <w:rPr>
          <w:rFonts w:eastAsiaTheme="minorHAnsi" w:cs="Arial"/>
          <w:sz w:val="24"/>
          <w:szCs w:val="24"/>
          <w:lang w:eastAsia="en-US"/>
        </w:rPr>
        <w:t>F</w:t>
      </w:r>
      <w:r w:rsidR="004C353F">
        <w:rPr>
          <w:rFonts w:eastAsiaTheme="minorHAnsi" w:cs="Arial"/>
          <w:sz w:val="24"/>
          <w:szCs w:val="24"/>
          <w:lang w:eastAsia="en-US"/>
        </w:rPr>
        <w:t>actores como la dificultad para desplazarse, dificultad para comunicarse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>
        <w:rPr>
          <w:rFonts w:eastAsiaTheme="minorHAnsi" w:cs="Arial"/>
          <w:sz w:val="24"/>
          <w:szCs w:val="24"/>
          <w:lang w:eastAsia="en-US"/>
        </w:rPr>
        <w:t xml:space="preserve">o </w:t>
      </w:r>
      <w:r>
        <w:rPr>
          <w:rFonts w:eastAsiaTheme="minorHAnsi" w:cs="Arial"/>
          <w:sz w:val="24"/>
          <w:szCs w:val="24"/>
          <w:lang w:eastAsia="en-US"/>
        </w:rPr>
        <w:t>simple falta de importancia y atención por sus familiares, se anteponen entre ellos y el acceso a la justicia al momento de pretenderla o necesitarla.</w:t>
      </w:r>
    </w:p>
    <w:p w:rsidR="00445F3F" w:rsidRDefault="00445F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45F3F" w:rsidRDefault="00445F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La vulnerabilidad, entendida como dificultad para el cumplimiento adecuado de los derechos por condiciones inherentes a la persona, o la edad, el género, el estado físico o mental, las circunstancias políticas, sociales, económicas, étnicas o culturales y las relaciones desiguales de poder debe enfrentarse con acciones inclusivas; estos grupos necesitan mayor protección por parte del Estado, ya que necesitan el reconocimiento óptimo de todos sus derechos.</w:t>
      </w:r>
    </w:p>
    <w:p w:rsidR="00445F3F" w:rsidRDefault="00445F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C353F" w:rsidRDefault="004C35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En el caso particular de los adultos mayores, se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 w:rsidR="00ED1989">
        <w:rPr>
          <w:rFonts w:eastAsiaTheme="minorHAnsi" w:cs="Arial"/>
          <w:sz w:val="24"/>
          <w:szCs w:val="24"/>
          <w:lang w:eastAsia="en-US"/>
        </w:rPr>
        <w:t>requieren realizar</w:t>
      </w:r>
      <w:r>
        <w:rPr>
          <w:rFonts w:eastAsiaTheme="minorHAnsi" w:cs="Arial"/>
          <w:sz w:val="24"/>
          <w:szCs w:val="24"/>
          <w:lang w:eastAsia="en-US"/>
        </w:rPr>
        <w:t xml:space="preserve"> acciones tendientes a la remoción de todos los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obstáculos para asegurar el acceso efectivo a la justicia.</w:t>
      </w:r>
    </w:p>
    <w:p w:rsidR="00445F3F" w:rsidRDefault="00445F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C353F" w:rsidRDefault="004C35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Internacionalmente se han hecho esfuerzos para derribar los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obstáculos en cuanto al acceso a la justicia de grupos vulnerables,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 w:rsidR="002B7351">
        <w:rPr>
          <w:rFonts w:eastAsiaTheme="minorHAnsi" w:cs="Arial"/>
          <w:sz w:val="24"/>
          <w:szCs w:val="24"/>
          <w:lang w:eastAsia="en-US"/>
        </w:rPr>
        <w:t xml:space="preserve">destacando "La </w:t>
      </w:r>
      <w:r w:rsidR="00ED1989">
        <w:rPr>
          <w:rFonts w:eastAsiaTheme="minorHAnsi" w:cs="Arial"/>
          <w:sz w:val="24"/>
          <w:szCs w:val="24"/>
          <w:lang w:eastAsia="en-US"/>
        </w:rPr>
        <w:t>Convención sobre los Derechos de las P</w:t>
      </w:r>
      <w:r>
        <w:rPr>
          <w:rFonts w:eastAsiaTheme="minorHAnsi" w:cs="Arial"/>
          <w:sz w:val="24"/>
          <w:szCs w:val="24"/>
          <w:lang w:eastAsia="en-US"/>
        </w:rPr>
        <w:t>ersonas con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 w:rsidR="00ED1989">
        <w:rPr>
          <w:rFonts w:eastAsiaTheme="minorHAnsi" w:cs="Arial"/>
          <w:sz w:val="24"/>
          <w:szCs w:val="24"/>
          <w:lang w:eastAsia="en-US"/>
        </w:rPr>
        <w:t>D</w:t>
      </w:r>
      <w:r>
        <w:rPr>
          <w:rFonts w:eastAsiaTheme="minorHAnsi" w:cs="Arial"/>
          <w:sz w:val="24"/>
          <w:szCs w:val="24"/>
          <w:lang w:eastAsia="en-US"/>
        </w:rPr>
        <w:t>iscapacidad", y su Protocolo Facultativo, aprobados el 13 de diciembre de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2006 en la Sede de las Naciones Unidas, en cuyo artículo 13 establece lo</w:t>
      </w:r>
      <w:r w:rsidR="00445F3F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siguiente:</w:t>
      </w:r>
    </w:p>
    <w:p w:rsidR="00445F3F" w:rsidRDefault="00445F3F" w:rsidP="00445F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C353F" w:rsidRPr="002B7351" w:rsidRDefault="002B7351" w:rsidP="004C353F">
      <w:pPr>
        <w:autoSpaceDE w:val="0"/>
        <w:autoSpaceDN w:val="0"/>
        <w:adjustRightInd w:val="0"/>
        <w:jc w:val="left"/>
        <w:rPr>
          <w:rFonts w:eastAsiaTheme="minorHAnsi" w:cs="Arial"/>
          <w:i/>
          <w:sz w:val="24"/>
          <w:szCs w:val="24"/>
          <w:lang w:eastAsia="en-US"/>
        </w:rPr>
      </w:pPr>
      <w:r>
        <w:rPr>
          <w:rFonts w:eastAsiaTheme="minorHAnsi" w:cs="Arial"/>
          <w:i/>
          <w:sz w:val="24"/>
          <w:szCs w:val="24"/>
          <w:lang w:eastAsia="en-US"/>
        </w:rPr>
        <w:t>“</w:t>
      </w:r>
      <w:r w:rsidR="004C353F" w:rsidRPr="002B7351">
        <w:rPr>
          <w:rFonts w:eastAsiaTheme="minorHAnsi" w:cs="Arial"/>
          <w:i/>
          <w:sz w:val="24"/>
          <w:szCs w:val="24"/>
          <w:lang w:eastAsia="en-US"/>
        </w:rPr>
        <w:t>Artículo 13</w:t>
      </w:r>
      <w:r w:rsidRPr="002B7351">
        <w:rPr>
          <w:rFonts w:eastAsiaTheme="minorHAnsi" w:cs="Arial"/>
          <w:i/>
          <w:sz w:val="24"/>
          <w:szCs w:val="24"/>
          <w:lang w:eastAsia="en-US"/>
        </w:rPr>
        <w:t>.</w:t>
      </w:r>
      <w:r w:rsidR="004C353F" w:rsidRPr="002B7351">
        <w:rPr>
          <w:rFonts w:eastAsiaTheme="minorHAnsi" w:cs="Arial"/>
          <w:i/>
          <w:sz w:val="24"/>
          <w:szCs w:val="24"/>
          <w:lang w:eastAsia="en-US"/>
        </w:rPr>
        <w:t xml:space="preserve"> Acceso a la justicia</w:t>
      </w:r>
      <w:r>
        <w:rPr>
          <w:rFonts w:eastAsiaTheme="minorHAnsi" w:cs="Arial"/>
          <w:i/>
          <w:sz w:val="24"/>
          <w:szCs w:val="24"/>
          <w:lang w:eastAsia="en-US"/>
        </w:rPr>
        <w:t>:</w:t>
      </w:r>
    </w:p>
    <w:p w:rsidR="002B7351" w:rsidRPr="002B7351" w:rsidRDefault="002B7351" w:rsidP="004C353F">
      <w:pPr>
        <w:autoSpaceDE w:val="0"/>
        <w:autoSpaceDN w:val="0"/>
        <w:adjustRightInd w:val="0"/>
        <w:jc w:val="left"/>
        <w:rPr>
          <w:rFonts w:eastAsiaTheme="minorHAnsi" w:cs="Arial"/>
          <w:i/>
          <w:sz w:val="24"/>
          <w:szCs w:val="24"/>
          <w:lang w:eastAsia="en-US"/>
        </w:rPr>
      </w:pPr>
    </w:p>
    <w:p w:rsidR="002B7351" w:rsidRPr="002B7351" w:rsidRDefault="004C353F" w:rsidP="002B7351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eastAsiaTheme="minorHAnsi" w:cs="Arial"/>
          <w:b w:val="0"/>
          <w:i/>
          <w:sz w:val="24"/>
          <w:szCs w:val="24"/>
          <w:lang w:eastAsia="en-US"/>
        </w:rPr>
      </w:pP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Los Estados Partes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asegurarán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que las personas con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discapacidad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tengan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acceso a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la justicia en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igualdad de condiciones con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>las demás,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incluso mediante ajustes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de procedimiento y adecuados a la edad, para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facilitar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el desempeño de las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funciones efectivas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de esas personas como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participantes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directos e indirectos,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lastRenderedPageBreak/>
        <w:t xml:space="preserve">incluida la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declaración como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>testigos, en</w:t>
      </w:r>
      <w:r w:rsidR="002B7351"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todos los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procedimientos judiciales, con inclusión de la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etapa de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investigación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y otras etapas preliminares. </w:t>
      </w:r>
    </w:p>
    <w:p w:rsidR="004C353F" w:rsidRPr="002B7351" w:rsidRDefault="004C353F" w:rsidP="002B7351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eastAsiaTheme="minorHAnsi" w:cs="Arial"/>
          <w:b w:val="0"/>
          <w:i/>
          <w:sz w:val="24"/>
          <w:szCs w:val="24"/>
          <w:lang w:eastAsia="en-US"/>
        </w:rPr>
      </w:pP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A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fin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de asegurar que las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personas con discapacidad tengan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acceso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efectivo a la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justicia, los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>Estados</w:t>
      </w:r>
      <w:r w:rsidR="002B7351"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Partes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promoverán la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capacitación adecuada de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los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que trabajan en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>la</w:t>
      </w:r>
      <w:r w:rsidR="002B7351"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administración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de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 xml:space="preserve">justicia, </w:t>
      </w:r>
      <w:r w:rsidRPr="002B7351">
        <w:rPr>
          <w:rFonts w:eastAsiaTheme="minorHAnsi" w:cs="Arial"/>
          <w:b w:val="0"/>
          <w:i/>
          <w:sz w:val="24"/>
          <w:szCs w:val="24"/>
          <w:lang w:eastAsia="en-US"/>
        </w:rPr>
        <w:t xml:space="preserve">incluido </w:t>
      </w:r>
      <w:r w:rsidRP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>el personal policial y penitenciario.</w:t>
      </w:r>
      <w:r w:rsidR="002B7351">
        <w:rPr>
          <w:rFonts w:eastAsiaTheme="minorHAnsi" w:cs="Arial"/>
          <w:b w:val="0"/>
          <w:i/>
          <w:iCs/>
          <w:sz w:val="24"/>
          <w:szCs w:val="24"/>
          <w:lang w:eastAsia="en-US"/>
        </w:rPr>
        <w:t>”</w:t>
      </w:r>
    </w:p>
    <w:p w:rsidR="002B7351" w:rsidRDefault="002B7351" w:rsidP="00120D93">
      <w:pPr>
        <w:autoSpaceDE w:val="0"/>
        <w:autoSpaceDN w:val="0"/>
        <w:adjustRightInd w:val="0"/>
        <w:rPr>
          <w:rFonts w:eastAsiaTheme="minorHAnsi" w:cs="Arial"/>
          <w:sz w:val="24"/>
          <w:szCs w:val="24"/>
          <w:lang w:eastAsia="en-US"/>
        </w:rPr>
      </w:pPr>
    </w:p>
    <w:p w:rsidR="00ED1989" w:rsidRDefault="004C353F" w:rsidP="00ED1989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2B7351">
        <w:rPr>
          <w:rFonts w:eastAsiaTheme="minorHAnsi" w:cs="Arial"/>
          <w:sz w:val="24"/>
          <w:szCs w:val="24"/>
          <w:lang w:eastAsia="en-US"/>
        </w:rPr>
        <w:t>Estas medi</w:t>
      </w:r>
      <w:r w:rsidR="002B7351">
        <w:rPr>
          <w:rFonts w:eastAsiaTheme="minorHAnsi" w:cs="Arial"/>
          <w:sz w:val="24"/>
          <w:szCs w:val="24"/>
          <w:lang w:eastAsia="en-US"/>
        </w:rPr>
        <w:t>d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as tienden a facilitar el acceso a la justicia, </w:t>
      </w:r>
      <w:r w:rsidR="002B7351">
        <w:rPr>
          <w:rFonts w:eastAsiaTheme="minorHAnsi" w:cs="Arial"/>
          <w:sz w:val="24"/>
          <w:szCs w:val="24"/>
          <w:lang w:eastAsia="en-US"/>
        </w:rPr>
        <w:t xml:space="preserve">y </w:t>
      </w:r>
      <w:r w:rsidRPr="002B7351">
        <w:rPr>
          <w:rFonts w:eastAsiaTheme="minorHAnsi" w:cs="Arial"/>
          <w:sz w:val="24"/>
          <w:szCs w:val="24"/>
          <w:lang w:eastAsia="en-US"/>
        </w:rPr>
        <w:t>no solo a las</w:t>
      </w:r>
      <w:r w:rsidR="002B7351">
        <w:rPr>
          <w:rFonts w:eastAsiaTheme="minorHAnsi" w:cs="Arial"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personas con alguna discapacidad, </w:t>
      </w:r>
      <w:r w:rsidR="002B7351">
        <w:rPr>
          <w:rFonts w:eastAsiaTheme="minorHAnsi" w:cs="Arial"/>
          <w:sz w:val="24"/>
          <w:szCs w:val="24"/>
          <w:lang w:eastAsia="en-US"/>
        </w:rPr>
        <w:t xml:space="preserve">ya que es posible dimensionar y considerar su aplicación </w:t>
      </w:r>
      <w:r w:rsidRPr="002B7351">
        <w:rPr>
          <w:rFonts w:eastAsiaTheme="minorHAnsi" w:cs="Arial"/>
          <w:sz w:val="24"/>
          <w:szCs w:val="24"/>
          <w:lang w:eastAsia="en-US"/>
        </w:rPr>
        <w:t>para todo</w:t>
      </w:r>
      <w:r w:rsidR="002B7351">
        <w:rPr>
          <w:rFonts w:eastAsiaTheme="minorHAnsi" w:cs="Arial"/>
          <w:sz w:val="24"/>
          <w:szCs w:val="24"/>
          <w:lang w:eastAsia="en-US"/>
        </w:rPr>
        <w:t xml:space="preserve"> 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grupo vulnerable, </w:t>
      </w:r>
      <w:r w:rsidR="002B7351">
        <w:rPr>
          <w:rFonts w:eastAsiaTheme="minorHAnsi" w:cs="Arial"/>
          <w:sz w:val="24"/>
          <w:szCs w:val="24"/>
          <w:lang w:eastAsia="en-US"/>
        </w:rPr>
        <w:t>y así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 hacer efect</w:t>
      </w:r>
      <w:r w:rsidR="002B7351">
        <w:rPr>
          <w:rFonts w:eastAsiaTheme="minorHAnsi" w:cs="Arial"/>
          <w:sz w:val="24"/>
          <w:szCs w:val="24"/>
          <w:lang w:eastAsia="en-US"/>
        </w:rPr>
        <w:t>ivo el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 derecho de acceso a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l</w:t>
      </w:r>
      <w:r w:rsidRPr="002B7351">
        <w:rPr>
          <w:rFonts w:eastAsiaTheme="minorHAnsi" w:cs="Arial"/>
          <w:sz w:val="24"/>
          <w:szCs w:val="24"/>
          <w:lang w:eastAsia="en-US"/>
        </w:rPr>
        <w:t xml:space="preserve">a justicia. </w:t>
      </w:r>
    </w:p>
    <w:p w:rsidR="00ED1989" w:rsidRDefault="00ED1989" w:rsidP="00ED1989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021C1" w:rsidRDefault="00ED1989" w:rsidP="00ED1989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En nuestra entidad, la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Ley de los Derechos de las Personas Adultas Mayores, reconoce en su artículo 10 los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 derechos de las personas adultas mayores, </w:t>
      </w:r>
      <w:r>
        <w:rPr>
          <w:rFonts w:eastAsiaTheme="minorHAnsi" w:cs="Arial"/>
          <w:sz w:val="24"/>
          <w:szCs w:val="24"/>
          <w:lang w:eastAsia="en-US"/>
        </w:rPr>
        <w:t xml:space="preserve">y entre ellos se encuentra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el </w:t>
      </w:r>
      <w:r>
        <w:rPr>
          <w:rFonts w:eastAsiaTheme="minorHAnsi" w:cs="Arial"/>
          <w:sz w:val="24"/>
          <w:szCs w:val="24"/>
          <w:lang w:eastAsia="en-US"/>
        </w:rPr>
        <w:t>“</w:t>
      </w:r>
      <w:r w:rsidR="004C353F" w:rsidRPr="00ED1989">
        <w:rPr>
          <w:rFonts w:eastAsiaTheme="minorHAnsi" w:cs="Arial"/>
          <w:i/>
          <w:sz w:val="24"/>
          <w:szCs w:val="24"/>
          <w:lang w:eastAsia="en-US"/>
        </w:rPr>
        <w:t>recibir asistencia jurídica</w:t>
      </w:r>
      <w:r w:rsidRPr="00ED1989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="004C353F" w:rsidRPr="00ED1989">
        <w:rPr>
          <w:rFonts w:eastAsiaTheme="minorHAnsi" w:cs="Arial"/>
          <w:i/>
          <w:sz w:val="24"/>
          <w:szCs w:val="24"/>
          <w:lang w:eastAsia="en-US"/>
        </w:rPr>
        <w:t>en forma gratuita cuando no tenga los medios necesarios para hacerlo</w:t>
      </w:r>
      <w:r>
        <w:rPr>
          <w:rFonts w:eastAsiaTheme="minorHAnsi" w:cs="Arial"/>
          <w:sz w:val="24"/>
          <w:szCs w:val="24"/>
          <w:lang w:eastAsia="en-US"/>
        </w:rPr>
        <w:t>”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; </w:t>
      </w:r>
      <w:r>
        <w:rPr>
          <w:rFonts w:eastAsiaTheme="minorHAnsi" w:cs="Arial"/>
          <w:sz w:val="24"/>
          <w:szCs w:val="24"/>
          <w:lang w:eastAsia="en-US"/>
        </w:rPr>
        <w:t>igualmente el “</w:t>
      </w:r>
      <w:r w:rsidR="004C353F" w:rsidRPr="00ED1989">
        <w:rPr>
          <w:rFonts w:eastAsiaTheme="minorHAnsi" w:cs="Arial"/>
          <w:i/>
          <w:sz w:val="24"/>
          <w:szCs w:val="24"/>
          <w:lang w:eastAsia="en-US"/>
        </w:rPr>
        <w:t>recibir un trato digno y apropiado en los procedimientos judiciales.</w:t>
      </w:r>
      <w:r>
        <w:rPr>
          <w:rFonts w:eastAsiaTheme="minorHAnsi" w:cs="Arial"/>
          <w:sz w:val="24"/>
          <w:szCs w:val="24"/>
          <w:lang w:eastAsia="en-US"/>
        </w:rPr>
        <w:t>”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4021C1" w:rsidRDefault="004021C1" w:rsidP="00ED1989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4C353F" w:rsidRPr="00ED1989" w:rsidRDefault="00120D93" w:rsidP="00ED1989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Consideramos que a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 tal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precepto legal se debe incluir de manera imperativa </w:t>
      </w:r>
      <w:r>
        <w:rPr>
          <w:rFonts w:eastAsiaTheme="minorHAnsi" w:cs="Arial"/>
          <w:sz w:val="24"/>
          <w:szCs w:val="24"/>
          <w:lang w:eastAsia="en-US"/>
        </w:rPr>
        <w:t xml:space="preserve">que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las autoridades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judiciales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 o administrativas en las que se lleven procedimientos seguidos en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forma de juicio, </w:t>
      </w:r>
      <w:r>
        <w:rPr>
          <w:rFonts w:eastAsiaTheme="minorHAnsi" w:cs="Arial"/>
          <w:sz w:val="24"/>
          <w:szCs w:val="24"/>
          <w:lang w:eastAsia="en-US"/>
        </w:rPr>
        <w:t xml:space="preserve">se comprometan en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velar por qu</w:t>
      </w:r>
      <w:r>
        <w:rPr>
          <w:rFonts w:eastAsiaTheme="minorHAnsi" w:cs="Arial"/>
          <w:sz w:val="24"/>
          <w:szCs w:val="24"/>
          <w:lang w:eastAsia="en-US"/>
        </w:rPr>
        <w:t xml:space="preserve">e las personas adultas mayores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que presenten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 xml:space="preserve">algún </w:t>
      </w:r>
      <w:r>
        <w:rPr>
          <w:rFonts w:eastAsiaTheme="minorHAnsi" w:cs="Arial"/>
          <w:sz w:val="24"/>
          <w:szCs w:val="24"/>
          <w:lang w:eastAsia="en-US"/>
        </w:rPr>
        <w:t>signo de vulnerabilidad física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, mental, o bien por sus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condiciones socioeconómicas, tengan un ejercicio pleno de sus derechos, por lo que deberán invocar la parti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cipación de las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instituciones públicas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, que puedan brindar servicio, asesoría o apoyo de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cualquier naturaleza, que permita el efectivo acceso a la justicia, en igual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de condiciones que una persona que no esté en un supuesto de</w:t>
      </w:r>
      <w:r w:rsidR="00ED1989">
        <w:rPr>
          <w:rFonts w:eastAsiaTheme="minorHAnsi" w:cs="Arial"/>
          <w:sz w:val="24"/>
          <w:szCs w:val="24"/>
          <w:lang w:eastAsia="en-US"/>
        </w:rPr>
        <w:t xml:space="preserve"> </w:t>
      </w:r>
      <w:r w:rsidR="004C353F" w:rsidRPr="002B7351">
        <w:rPr>
          <w:rFonts w:eastAsiaTheme="minorHAnsi" w:cs="Arial"/>
          <w:sz w:val="24"/>
          <w:szCs w:val="24"/>
          <w:lang w:eastAsia="en-US"/>
        </w:rPr>
        <w:t>vulnerabilidad.</w:t>
      </w:r>
    </w:p>
    <w:p w:rsidR="004C353F" w:rsidRDefault="004C353F" w:rsidP="00ED1989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C57392">
        <w:rPr>
          <w:rFonts w:asciiTheme="minorHAnsi" w:eastAsia="Arial" w:hAnsiTheme="minorHAnsi" w:cstheme="minorHAnsi"/>
          <w:sz w:val="24"/>
          <w:szCs w:val="24"/>
        </w:rPr>
        <w:t>Es por eso, Diputadas y Diputados que se presenta ante este Honorable recinto el siguiente:</w:t>
      </w:r>
    </w:p>
    <w:p w:rsidR="00482D67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C57392" w:rsidRDefault="00482D67" w:rsidP="00963C5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lastRenderedPageBreak/>
        <w:t>PROYECTO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DECRETO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Default="00482D67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 xml:space="preserve">ARTÍCULO ÚNICO. </w:t>
      </w:r>
      <w:r w:rsidR="004021C1">
        <w:rPr>
          <w:rFonts w:asciiTheme="minorHAnsi" w:hAnsiTheme="minorHAnsi" w:cstheme="minorHAnsi"/>
          <w:b/>
          <w:sz w:val="24"/>
          <w:szCs w:val="24"/>
        </w:rPr>
        <w:t>–</w:t>
      </w:r>
      <w:r w:rsidR="004021C1">
        <w:rPr>
          <w:rFonts w:asciiTheme="minorHAnsi" w:hAnsiTheme="minorHAnsi" w:cstheme="minorHAnsi"/>
          <w:sz w:val="24"/>
          <w:szCs w:val="24"/>
        </w:rPr>
        <w:t xml:space="preserve"> Se adiciona un numeral 4 a </w:t>
      </w:r>
      <w:r w:rsidR="00120D93">
        <w:rPr>
          <w:rFonts w:asciiTheme="minorHAnsi" w:hAnsiTheme="minorHAnsi" w:cstheme="minorHAnsi"/>
          <w:sz w:val="24"/>
          <w:szCs w:val="24"/>
        </w:rPr>
        <w:t>la fracción II</w:t>
      </w:r>
      <w:r w:rsidR="004021C1">
        <w:rPr>
          <w:rFonts w:asciiTheme="minorHAnsi" w:hAnsiTheme="minorHAnsi" w:cstheme="minorHAnsi"/>
          <w:sz w:val="24"/>
          <w:szCs w:val="24"/>
        </w:rPr>
        <w:t xml:space="preserve"> del artículo 10 de la Ley de los Derechos de las Personas Adultas Mayores del Estado de Coahuila</w:t>
      </w:r>
      <w:r w:rsidR="00437652" w:rsidRPr="00C57392">
        <w:rPr>
          <w:rFonts w:asciiTheme="minorHAnsi" w:hAnsiTheme="minorHAnsi" w:cstheme="minorHAnsi"/>
          <w:sz w:val="24"/>
          <w:szCs w:val="24"/>
        </w:rPr>
        <w:t>, para quedar como sigue:</w:t>
      </w:r>
    </w:p>
    <w:p w:rsidR="004021C1" w:rsidRDefault="004021C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21C1" w:rsidRPr="004021C1" w:rsidRDefault="004021C1" w:rsidP="00963C5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21C1">
        <w:rPr>
          <w:rFonts w:asciiTheme="minorHAnsi" w:hAnsiTheme="minorHAnsi" w:cstheme="minorHAnsi"/>
          <w:b/>
          <w:sz w:val="22"/>
          <w:szCs w:val="22"/>
        </w:rPr>
        <w:t xml:space="preserve">Articulo </w:t>
      </w:r>
      <w:proofErr w:type="gramStart"/>
      <w:r w:rsidRPr="004021C1">
        <w:rPr>
          <w:rFonts w:asciiTheme="minorHAnsi" w:hAnsiTheme="minorHAnsi" w:cstheme="minorHAnsi"/>
          <w:b/>
          <w:sz w:val="22"/>
          <w:szCs w:val="22"/>
        </w:rPr>
        <w:t>10….</w:t>
      </w:r>
      <w:proofErr w:type="gramEnd"/>
      <w:r w:rsidRPr="004021C1">
        <w:rPr>
          <w:rFonts w:asciiTheme="minorHAnsi" w:hAnsiTheme="minorHAnsi" w:cstheme="minorHAnsi"/>
          <w:b/>
          <w:sz w:val="22"/>
          <w:szCs w:val="22"/>
        </w:rPr>
        <w:t>.</w:t>
      </w:r>
    </w:p>
    <w:p w:rsidR="00437652" w:rsidRPr="004021C1" w:rsidRDefault="004021C1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21C1">
        <w:rPr>
          <w:rFonts w:asciiTheme="minorHAnsi" w:hAnsiTheme="minorHAnsi" w:cstheme="minorHAnsi"/>
          <w:sz w:val="22"/>
          <w:szCs w:val="22"/>
        </w:rPr>
        <w:t>I…</w:t>
      </w:r>
    </w:p>
    <w:p w:rsidR="004021C1" w:rsidRPr="004021C1" w:rsidRDefault="004021C1" w:rsidP="00963C5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021C1" w:rsidRPr="004021C1" w:rsidRDefault="004021C1" w:rsidP="00963C5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21C1">
        <w:rPr>
          <w:rFonts w:asciiTheme="minorHAnsi" w:hAnsiTheme="minorHAnsi" w:cstheme="minorHAnsi"/>
          <w:b/>
          <w:sz w:val="22"/>
          <w:szCs w:val="22"/>
        </w:rPr>
        <w:t xml:space="preserve">II. </w:t>
      </w:r>
    </w:p>
    <w:p w:rsidR="004021C1" w:rsidRPr="008C4E25" w:rsidRDefault="004021C1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4E25">
        <w:rPr>
          <w:rFonts w:asciiTheme="minorHAnsi" w:hAnsiTheme="minorHAnsi" w:cstheme="minorHAnsi"/>
          <w:sz w:val="22"/>
          <w:szCs w:val="22"/>
        </w:rPr>
        <w:t>1…</w:t>
      </w:r>
    </w:p>
    <w:p w:rsidR="004021C1" w:rsidRPr="008C4E25" w:rsidRDefault="004021C1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4E25">
        <w:rPr>
          <w:rFonts w:asciiTheme="minorHAnsi" w:hAnsiTheme="minorHAnsi" w:cstheme="minorHAnsi"/>
          <w:sz w:val="22"/>
          <w:szCs w:val="22"/>
        </w:rPr>
        <w:t>2…</w:t>
      </w:r>
    </w:p>
    <w:p w:rsidR="004021C1" w:rsidRPr="008C4E25" w:rsidRDefault="004021C1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4E25">
        <w:rPr>
          <w:rFonts w:asciiTheme="minorHAnsi" w:hAnsiTheme="minorHAnsi" w:cstheme="minorHAnsi"/>
          <w:sz w:val="22"/>
          <w:szCs w:val="22"/>
        </w:rPr>
        <w:t>3…</w:t>
      </w:r>
    </w:p>
    <w:p w:rsidR="004021C1" w:rsidRPr="003766B1" w:rsidRDefault="004021C1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66B1">
        <w:rPr>
          <w:rFonts w:asciiTheme="minorHAnsi" w:hAnsiTheme="minorHAnsi" w:cstheme="minorHAnsi"/>
          <w:sz w:val="22"/>
          <w:szCs w:val="22"/>
        </w:rPr>
        <w:t>….</w:t>
      </w:r>
    </w:p>
    <w:p w:rsidR="004021C1" w:rsidRPr="003766B1" w:rsidRDefault="004021C1" w:rsidP="004021C1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2"/>
          <w:szCs w:val="22"/>
          <w:lang w:eastAsia="en-US"/>
        </w:rPr>
      </w:pPr>
      <w:r w:rsidRPr="003766B1">
        <w:rPr>
          <w:rFonts w:asciiTheme="minorHAnsi" w:hAnsiTheme="minorHAnsi" w:cstheme="minorHAnsi"/>
          <w:sz w:val="22"/>
          <w:szCs w:val="22"/>
        </w:rPr>
        <w:t xml:space="preserve">4. </w:t>
      </w:r>
      <w:r w:rsidRPr="003766B1">
        <w:rPr>
          <w:rFonts w:eastAsiaTheme="minorHAnsi" w:cs="Arial"/>
          <w:bCs/>
          <w:sz w:val="22"/>
          <w:szCs w:val="22"/>
          <w:lang w:eastAsia="en-US"/>
        </w:rPr>
        <w:t>E</w:t>
      </w:r>
      <w:r w:rsidR="008C4E25" w:rsidRPr="003766B1">
        <w:rPr>
          <w:rFonts w:eastAsiaTheme="minorHAnsi" w:cs="Arial"/>
          <w:bCs/>
          <w:sz w:val="22"/>
          <w:szCs w:val="22"/>
          <w:lang w:eastAsia="en-US"/>
        </w:rPr>
        <w:t>n los procedimientos Judiciales</w:t>
      </w:r>
      <w:r w:rsidRPr="003766B1">
        <w:rPr>
          <w:rFonts w:eastAsiaTheme="minorHAnsi" w:cs="Arial"/>
          <w:bCs/>
          <w:sz w:val="22"/>
          <w:szCs w:val="22"/>
          <w:lang w:eastAsia="en-US"/>
        </w:rPr>
        <w:t>, cuando el Juez, advierta alguna limitante de movilidad, comunicación, psicológica, o de cualquier otra naturaleza, que pueda constituir la vulnerabilidad del derecho al acceso a la justicia del adulto mayor, de manera oficiosa, solicitará de aquellas dependencias que tengan un área de atención para la limitante que presente el adulto mayor, le brinde la atención necesaria, e incluso el acompañamiento de profesional en el procedimiento cuando así se requiera.</w:t>
      </w:r>
    </w:p>
    <w:p w:rsidR="00FA7DB6" w:rsidRDefault="00FA7DB6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21C1" w:rsidRPr="00FD20FC" w:rsidRDefault="00FA7DB6" w:rsidP="00963C56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D20FC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="008C4E25" w:rsidRPr="00FD20FC">
        <w:rPr>
          <w:rFonts w:asciiTheme="minorHAnsi" w:hAnsiTheme="minorHAnsi" w:cstheme="minorHAnsi"/>
          <w:sz w:val="24"/>
          <w:szCs w:val="24"/>
          <w:lang w:val="en-US"/>
        </w:rPr>
        <w:t>….</w:t>
      </w:r>
    </w:p>
    <w:p w:rsidR="0020467F" w:rsidRPr="00FD20FC" w:rsidRDefault="0020467F" w:rsidP="00963C56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A84F5D" w:rsidRPr="00C57392" w:rsidRDefault="00A84F5D" w:rsidP="00963C56">
      <w:pPr>
        <w:tabs>
          <w:tab w:val="left" w:pos="706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 xml:space="preserve">T R </w:t>
      </w:r>
      <w:proofErr w:type="gramStart"/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proofErr w:type="gramEnd"/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N S I T O R I O S.</w:t>
      </w:r>
    </w:p>
    <w:p w:rsidR="00A84F5D" w:rsidRPr="00C57392" w:rsidRDefault="00A84F5D" w:rsidP="00963C56">
      <w:pPr>
        <w:tabs>
          <w:tab w:val="left" w:pos="7065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84F5D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PRIMERO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A84F5D" w:rsidRPr="00C57392" w:rsidRDefault="00A84F5D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84F5D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SEGUNDO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Se derogan todas las disposiciones legales que se opongan al presente Decreto.</w:t>
      </w:r>
    </w:p>
    <w:p w:rsidR="003766B1" w:rsidRDefault="003766B1" w:rsidP="003766B1">
      <w:pPr>
        <w:spacing w:line="360" w:lineRule="auto"/>
        <w:jc w:val="center"/>
        <w:rPr>
          <w:rFonts w:eastAsia="Arial" w:cs="Arial"/>
          <w:b/>
          <w:bCs/>
          <w:sz w:val="24"/>
          <w:szCs w:val="24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DADO EN EL SALÓN DE SESIONES, </w:t>
      </w:r>
    </w:p>
    <w:p w:rsidR="003766B1" w:rsidRDefault="003766B1" w:rsidP="003766B1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SALTILLO, COAHUILA DE ZARAGOZA, A SEPTIEMBRE DEL 2019.</w:t>
      </w:r>
    </w:p>
    <w:p w:rsidR="003766B1" w:rsidRDefault="003766B1" w:rsidP="003766B1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ATENTAMENTE.</w:t>
      </w:r>
    </w:p>
    <w:p w:rsidR="003766B1" w:rsidRDefault="003766B1" w:rsidP="003766B1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DIPUTADA VERÓNICA BOREQUE MARTÍNEZ GONZÁLEZ</w:t>
      </w: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CONJUNTAMENTE CON LAS DIPUTADAS Y LOS DIPUTADOS INTEGRANTES DEL</w:t>
      </w: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 xml:space="preserve">DIP. MARÍA ESPERANZA CHAPA GARCÍA              DIP. LUCÍA AZUCENA RAMOS </w:t>
      </w:r>
      <w:proofErr w:type="spellStart"/>
      <w:r w:rsidRPr="00200828">
        <w:rPr>
          <w:rFonts w:eastAsia="Arial" w:cs="Arial"/>
          <w:b/>
          <w:bCs/>
          <w:sz w:val="22"/>
          <w:szCs w:val="22"/>
        </w:rPr>
        <w:t>RAMOS</w:t>
      </w:r>
      <w:proofErr w:type="spellEnd"/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3766B1" w:rsidRPr="00200828" w:rsidRDefault="003766B1" w:rsidP="003766B1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3766B1" w:rsidRDefault="003766B1" w:rsidP="003766B1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3766B1" w:rsidRPr="00200828" w:rsidRDefault="003766B1" w:rsidP="003766B1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3766B1" w:rsidRPr="003766B1" w:rsidRDefault="003766B1" w:rsidP="003766B1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3766B1" w:rsidRPr="003766B1" w:rsidRDefault="003766B1" w:rsidP="00963C56">
      <w:pPr>
        <w:spacing w:line="360" w:lineRule="auto"/>
        <w:rPr>
          <w:rFonts w:cs="Arial"/>
          <w:b/>
          <w:sz w:val="16"/>
          <w:szCs w:val="16"/>
        </w:rPr>
      </w:pPr>
      <w:r w:rsidRPr="003766B1">
        <w:rPr>
          <w:rFonts w:eastAsia="Arial" w:cs="Arial"/>
          <w:b/>
          <w:bCs/>
          <w:sz w:val="16"/>
          <w:szCs w:val="16"/>
        </w:rPr>
        <w:t xml:space="preserve">ESTA HOJA DE FIRMAS CORRESPONDE </w:t>
      </w:r>
      <w:r w:rsidRPr="003766B1">
        <w:rPr>
          <w:rFonts w:asciiTheme="minorHAnsi" w:eastAsia="Arial" w:hAnsiTheme="minorHAnsi" w:cstheme="minorHAnsi"/>
          <w:b/>
          <w:bCs/>
          <w:sz w:val="16"/>
          <w:szCs w:val="16"/>
        </w:rPr>
        <w:t>INICIATIVA CON PROYECTO DE DECRETO A FIN REFORMAR EL ARTICULO 10 DE LA LEY DE LOS DERECHOS DE LAS PERSONAS ADULTAS MAYORES DEL ESTADO DE COAHUILA DE ZARAGOZA.</w:t>
      </w:r>
    </w:p>
    <w:p w:rsidR="003766B1" w:rsidRDefault="003766B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766B1" w:rsidRPr="00C57392" w:rsidRDefault="003766B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3766B1" w:rsidRPr="00C57392" w:rsidSect="00823DC2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F1" w:rsidRDefault="00B943F1" w:rsidP="000A603A">
      <w:r>
        <w:separator/>
      </w:r>
    </w:p>
  </w:endnote>
  <w:endnote w:type="continuationSeparator" w:id="0">
    <w:p w:rsidR="00B943F1" w:rsidRDefault="00B943F1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4021C1" w:rsidRPr="00CC015D" w:rsidRDefault="004021C1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FB518D" w:rsidRPr="00FB518D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4021C1" w:rsidRDefault="0040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F1" w:rsidRDefault="00B943F1" w:rsidP="000A603A">
      <w:r>
        <w:separator/>
      </w:r>
    </w:p>
  </w:footnote>
  <w:footnote w:type="continuationSeparator" w:id="0">
    <w:p w:rsidR="00B943F1" w:rsidRDefault="00B943F1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021C1" w:rsidRPr="00D775E4" w:rsidTr="006E7A6D">
      <w:trPr>
        <w:jc w:val="center"/>
      </w:trPr>
      <w:tc>
        <w:tcPr>
          <w:tcW w:w="1253" w:type="dxa"/>
        </w:tcPr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021C1" w:rsidRPr="00815938" w:rsidRDefault="004021C1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021C1" w:rsidRPr="002E1219" w:rsidRDefault="004021C1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4021C1" w:rsidRDefault="004021C1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021C1" w:rsidRPr="004D5011" w:rsidRDefault="004021C1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4021C1" w:rsidRPr="00E41A80" w:rsidRDefault="004021C1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4021C1" w:rsidRPr="00D775E4" w:rsidRDefault="004021C1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021C1" w:rsidRDefault="004021C1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4021C1" w:rsidRDefault="004021C1" w:rsidP="000A603A">
          <w:pPr>
            <w:jc w:val="center"/>
            <w:rPr>
              <w:b/>
              <w:bCs/>
              <w:sz w:val="12"/>
            </w:rPr>
          </w:pPr>
        </w:p>
        <w:p w:rsidR="004021C1" w:rsidRPr="00D775E4" w:rsidRDefault="004021C1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4021C1" w:rsidRDefault="004021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5465A"/>
    <w:multiLevelType w:val="hybridMultilevel"/>
    <w:tmpl w:val="9984D5DC"/>
    <w:lvl w:ilvl="0" w:tplc="3E6C1B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1"/>
  </w:num>
  <w:num w:numId="30">
    <w:abstractNumId w:val="27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6"/>
  </w:num>
  <w:num w:numId="37">
    <w:abstractNumId w:val="23"/>
  </w:num>
  <w:num w:numId="38">
    <w:abstractNumId w:val="11"/>
  </w:num>
  <w:num w:numId="39">
    <w:abstractNumId w:val="30"/>
  </w:num>
  <w:num w:numId="40">
    <w:abstractNumId w:val="16"/>
  </w:num>
  <w:num w:numId="41">
    <w:abstractNumId w:val="17"/>
  </w:num>
  <w:num w:numId="42">
    <w:abstractNumId w:val="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198B"/>
    <w:rsid w:val="001054A3"/>
    <w:rsid w:val="00120D93"/>
    <w:rsid w:val="001254CC"/>
    <w:rsid w:val="00140C37"/>
    <w:rsid w:val="001413D5"/>
    <w:rsid w:val="00142FEE"/>
    <w:rsid w:val="00151ADB"/>
    <w:rsid w:val="00155E8A"/>
    <w:rsid w:val="00172F99"/>
    <w:rsid w:val="001761C9"/>
    <w:rsid w:val="001809A0"/>
    <w:rsid w:val="001821F2"/>
    <w:rsid w:val="001A3348"/>
    <w:rsid w:val="001D1EF8"/>
    <w:rsid w:val="001E046B"/>
    <w:rsid w:val="001F4338"/>
    <w:rsid w:val="001F606F"/>
    <w:rsid w:val="0020467F"/>
    <w:rsid w:val="00212FFF"/>
    <w:rsid w:val="00214714"/>
    <w:rsid w:val="00225699"/>
    <w:rsid w:val="00226B93"/>
    <w:rsid w:val="00232902"/>
    <w:rsid w:val="002706C9"/>
    <w:rsid w:val="0027146B"/>
    <w:rsid w:val="00291570"/>
    <w:rsid w:val="002943B8"/>
    <w:rsid w:val="00295386"/>
    <w:rsid w:val="002970F5"/>
    <w:rsid w:val="002B3080"/>
    <w:rsid w:val="002B4717"/>
    <w:rsid w:val="002B7351"/>
    <w:rsid w:val="002B775A"/>
    <w:rsid w:val="002C2003"/>
    <w:rsid w:val="002C41E3"/>
    <w:rsid w:val="002C5593"/>
    <w:rsid w:val="002D1E3E"/>
    <w:rsid w:val="002E0CBE"/>
    <w:rsid w:val="003125BE"/>
    <w:rsid w:val="003176D2"/>
    <w:rsid w:val="00324BB3"/>
    <w:rsid w:val="0033248B"/>
    <w:rsid w:val="003333F9"/>
    <w:rsid w:val="00343072"/>
    <w:rsid w:val="0034408F"/>
    <w:rsid w:val="0034509D"/>
    <w:rsid w:val="003479B7"/>
    <w:rsid w:val="00350486"/>
    <w:rsid w:val="0037475C"/>
    <w:rsid w:val="003766B1"/>
    <w:rsid w:val="00386C90"/>
    <w:rsid w:val="00397042"/>
    <w:rsid w:val="003A3393"/>
    <w:rsid w:val="003C3DFE"/>
    <w:rsid w:val="003C67AB"/>
    <w:rsid w:val="003E01FC"/>
    <w:rsid w:val="003F1A4D"/>
    <w:rsid w:val="004021C1"/>
    <w:rsid w:val="00404A35"/>
    <w:rsid w:val="0041493C"/>
    <w:rsid w:val="0041617C"/>
    <w:rsid w:val="00423751"/>
    <w:rsid w:val="00437652"/>
    <w:rsid w:val="004445A3"/>
    <w:rsid w:val="00445F3F"/>
    <w:rsid w:val="00453A8E"/>
    <w:rsid w:val="004615F9"/>
    <w:rsid w:val="00482D67"/>
    <w:rsid w:val="004A52B5"/>
    <w:rsid w:val="004A76BA"/>
    <w:rsid w:val="004B0413"/>
    <w:rsid w:val="004B5CD7"/>
    <w:rsid w:val="004B6A2D"/>
    <w:rsid w:val="004C353F"/>
    <w:rsid w:val="004C4D90"/>
    <w:rsid w:val="004D0FF1"/>
    <w:rsid w:val="004E1144"/>
    <w:rsid w:val="004E3D2B"/>
    <w:rsid w:val="004E50DE"/>
    <w:rsid w:val="004E6E1A"/>
    <w:rsid w:val="00502D24"/>
    <w:rsid w:val="0050555D"/>
    <w:rsid w:val="00536561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E22B4"/>
    <w:rsid w:val="005F5F94"/>
    <w:rsid w:val="00601686"/>
    <w:rsid w:val="00607880"/>
    <w:rsid w:val="00610708"/>
    <w:rsid w:val="006107DC"/>
    <w:rsid w:val="00615131"/>
    <w:rsid w:val="00640ADC"/>
    <w:rsid w:val="00650729"/>
    <w:rsid w:val="00661D17"/>
    <w:rsid w:val="0066314C"/>
    <w:rsid w:val="00677C21"/>
    <w:rsid w:val="00686D83"/>
    <w:rsid w:val="006A4846"/>
    <w:rsid w:val="006C0D8C"/>
    <w:rsid w:val="006C0F60"/>
    <w:rsid w:val="006C642B"/>
    <w:rsid w:val="006E1B1A"/>
    <w:rsid w:val="006E6535"/>
    <w:rsid w:val="006E7A6D"/>
    <w:rsid w:val="00721B7E"/>
    <w:rsid w:val="0072722C"/>
    <w:rsid w:val="007439C5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80054A"/>
    <w:rsid w:val="00812403"/>
    <w:rsid w:val="0081254D"/>
    <w:rsid w:val="0082396F"/>
    <w:rsid w:val="00823DC2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B17C2"/>
    <w:rsid w:val="008B41D6"/>
    <w:rsid w:val="008B582F"/>
    <w:rsid w:val="008C30A2"/>
    <w:rsid w:val="008C4E25"/>
    <w:rsid w:val="008E39D7"/>
    <w:rsid w:val="008E5FFC"/>
    <w:rsid w:val="008F5F8D"/>
    <w:rsid w:val="00916677"/>
    <w:rsid w:val="009449FF"/>
    <w:rsid w:val="00957718"/>
    <w:rsid w:val="00963C56"/>
    <w:rsid w:val="00964534"/>
    <w:rsid w:val="00972BAE"/>
    <w:rsid w:val="00974D3F"/>
    <w:rsid w:val="0097793D"/>
    <w:rsid w:val="0099102F"/>
    <w:rsid w:val="009928D5"/>
    <w:rsid w:val="0099517D"/>
    <w:rsid w:val="00995EC3"/>
    <w:rsid w:val="009A798E"/>
    <w:rsid w:val="009D067F"/>
    <w:rsid w:val="009D5A85"/>
    <w:rsid w:val="009E0560"/>
    <w:rsid w:val="009E074E"/>
    <w:rsid w:val="009E21A1"/>
    <w:rsid w:val="009F2551"/>
    <w:rsid w:val="00A04829"/>
    <w:rsid w:val="00A10C96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C34C9"/>
    <w:rsid w:val="00AC48B5"/>
    <w:rsid w:val="00AC61DD"/>
    <w:rsid w:val="00AE0980"/>
    <w:rsid w:val="00AE408E"/>
    <w:rsid w:val="00B10081"/>
    <w:rsid w:val="00B32DCC"/>
    <w:rsid w:val="00B33B14"/>
    <w:rsid w:val="00B457D1"/>
    <w:rsid w:val="00B830DF"/>
    <w:rsid w:val="00B835EC"/>
    <w:rsid w:val="00B9406C"/>
    <w:rsid w:val="00B943F1"/>
    <w:rsid w:val="00BA3410"/>
    <w:rsid w:val="00BE3817"/>
    <w:rsid w:val="00C00DBB"/>
    <w:rsid w:val="00C117DA"/>
    <w:rsid w:val="00C27F4F"/>
    <w:rsid w:val="00C521D0"/>
    <w:rsid w:val="00C52224"/>
    <w:rsid w:val="00C56795"/>
    <w:rsid w:val="00C57392"/>
    <w:rsid w:val="00C5771B"/>
    <w:rsid w:val="00C74438"/>
    <w:rsid w:val="00C75C70"/>
    <w:rsid w:val="00C77F9A"/>
    <w:rsid w:val="00C869C3"/>
    <w:rsid w:val="00C968E2"/>
    <w:rsid w:val="00CA4F41"/>
    <w:rsid w:val="00CC015D"/>
    <w:rsid w:val="00CE52CF"/>
    <w:rsid w:val="00CF2314"/>
    <w:rsid w:val="00CF4B88"/>
    <w:rsid w:val="00CF777F"/>
    <w:rsid w:val="00D12D42"/>
    <w:rsid w:val="00D35069"/>
    <w:rsid w:val="00D3708A"/>
    <w:rsid w:val="00D37233"/>
    <w:rsid w:val="00D505B6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252AA"/>
    <w:rsid w:val="00E47BC1"/>
    <w:rsid w:val="00E548F0"/>
    <w:rsid w:val="00E663FF"/>
    <w:rsid w:val="00E82023"/>
    <w:rsid w:val="00E83304"/>
    <w:rsid w:val="00E8728A"/>
    <w:rsid w:val="00E948D7"/>
    <w:rsid w:val="00EB2AA9"/>
    <w:rsid w:val="00ED1989"/>
    <w:rsid w:val="00ED2B91"/>
    <w:rsid w:val="00ED2E01"/>
    <w:rsid w:val="00EE4B8E"/>
    <w:rsid w:val="00F12402"/>
    <w:rsid w:val="00F225A0"/>
    <w:rsid w:val="00F33E34"/>
    <w:rsid w:val="00F36F3E"/>
    <w:rsid w:val="00F41AE8"/>
    <w:rsid w:val="00F47D93"/>
    <w:rsid w:val="00F47FBB"/>
    <w:rsid w:val="00F7240B"/>
    <w:rsid w:val="00F72B91"/>
    <w:rsid w:val="00F747F8"/>
    <w:rsid w:val="00F83381"/>
    <w:rsid w:val="00F97BB6"/>
    <w:rsid w:val="00FA1135"/>
    <w:rsid w:val="00FA7DB6"/>
    <w:rsid w:val="00FB518D"/>
    <w:rsid w:val="00FD0C13"/>
    <w:rsid w:val="00FD20FC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7BECA-BC78-4537-BA7A-56A7C5C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6E17-A427-4FAB-A966-773D7F9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4</cp:revision>
  <cp:lastPrinted>2019-08-30T15:36:00Z</cp:lastPrinted>
  <dcterms:created xsi:type="dcterms:W3CDTF">2019-09-02T19:05:00Z</dcterms:created>
  <dcterms:modified xsi:type="dcterms:W3CDTF">2021-01-18T18:50:00Z</dcterms:modified>
</cp:coreProperties>
</file>