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4C7" w:rsidRDefault="00EF74C7" w:rsidP="00EF74C7">
      <w:pPr>
        <w:spacing w:after="0" w:line="240" w:lineRule="auto"/>
        <w:jc w:val="both"/>
        <w:rPr>
          <w:rFonts w:ascii="Arial Narrow" w:eastAsia="Times New Roman" w:hAnsi="Arial Narrow" w:cs="Times New Roman"/>
          <w:color w:val="000000"/>
          <w:sz w:val="26"/>
          <w:szCs w:val="26"/>
          <w:lang w:eastAsia="es-ES"/>
        </w:rPr>
      </w:pPr>
    </w:p>
    <w:p w:rsidR="00032554" w:rsidRDefault="00032554" w:rsidP="00EF74C7">
      <w:pPr>
        <w:spacing w:after="0" w:line="240" w:lineRule="auto"/>
        <w:jc w:val="both"/>
        <w:rPr>
          <w:rFonts w:ascii="Arial Narrow" w:eastAsia="Times New Roman" w:hAnsi="Arial Narrow" w:cs="Times New Roman"/>
          <w:color w:val="000000"/>
          <w:sz w:val="26"/>
          <w:szCs w:val="26"/>
          <w:lang w:eastAsia="es-ES"/>
        </w:rPr>
      </w:pPr>
    </w:p>
    <w:p w:rsidR="00EF74C7" w:rsidRPr="00EF74C7" w:rsidRDefault="00EF74C7" w:rsidP="00EF74C7">
      <w:pPr>
        <w:spacing w:after="0" w:line="240" w:lineRule="auto"/>
        <w:jc w:val="both"/>
        <w:rPr>
          <w:rFonts w:ascii="Arial Narrow" w:eastAsia="Times New Roman" w:hAnsi="Arial Narrow" w:cs="Times New Roman"/>
          <w:b/>
          <w:color w:val="000000"/>
          <w:sz w:val="26"/>
          <w:szCs w:val="26"/>
          <w:lang w:eastAsia="es-ES"/>
        </w:rPr>
      </w:pPr>
      <w:r w:rsidRPr="00EF74C7">
        <w:rPr>
          <w:rFonts w:ascii="Arial Narrow" w:eastAsia="Times New Roman" w:hAnsi="Arial Narrow" w:cs="Times New Roman"/>
          <w:color w:val="000000"/>
          <w:sz w:val="26"/>
          <w:szCs w:val="26"/>
          <w:lang w:eastAsia="es-ES"/>
        </w:rPr>
        <w:t xml:space="preserve">Iniciativa con Proyecto de Decreto por el que se reforman </w:t>
      </w:r>
      <w:r>
        <w:rPr>
          <w:rFonts w:ascii="Arial Narrow" w:eastAsia="Times New Roman" w:hAnsi="Arial Narrow" w:cs="Times New Roman"/>
          <w:color w:val="000000"/>
          <w:sz w:val="26"/>
          <w:szCs w:val="26"/>
          <w:lang w:eastAsia="es-ES"/>
        </w:rPr>
        <w:t xml:space="preserve">los </w:t>
      </w:r>
      <w:r w:rsidRPr="00EF74C7">
        <w:rPr>
          <w:rFonts w:ascii="Arial Narrow" w:eastAsia="Times New Roman" w:hAnsi="Arial Narrow" w:cs="Times New Roman"/>
          <w:color w:val="000000"/>
          <w:sz w:val="26"/>
          <w:szCs w:val="26"/>
          <w:lang w:eastAsia="es-ES"/>
        </w:rPr>
        <w:t>artículos 91 fracción IV, 188 fracción XIII, 228 fracción VII, y 239</w:t>
      </w:r>
      <w:r>
        <w:rPr>
          <w:rFonts w:ascii="Arial Narrow" w:eastAsia="Times New Roman" w:hAnsi="Arial Narrow" w:cs="Times New Roman"/>
          <w:color w:val="000000"/>
          <w:sz w:val="26"/>
          <w:szCs w:val="26"/>
          <w:lang w:eastAsia="es-ES"/>
        </w:rPr>
        <w:t xml:space="preserve"> </w:t>
      </w:r>
      <w:r w:rsidRPr="00EF74C7">
        <w:rPr>
          <w:rFonts w:ascii="Arial Narrow" w:eastAsia="Times New Roman" w:hAnsi="Arial Narrow" w:cs="Times New Roman"/>
          <w:color w:val="000000"/>
          <w:sz w:val="26"/>
          <w:szCs w:val="26"/>
          <w:lang w:eastAsia="es-ES"/>
        </w:rPr>
        <w:t xml:space="preserve">del </w:t>
      </w:r>
      <w:r w:rsidRPr="00EF74C7">
        <w:rPr>
          <w:rFonts w:ascii="Arial Narrow" w:eastAsia="Times New Roman" w:hAnsi="Arial Narrow" w:cs="Times New Roman"/>
          <w:b/>
          <w:color w:val="000000"/>
          <w:sz w:val="26"/>
          <w:szCs w:val="26"/>
          <w:lang w:eastAsia="es-ES"/>
        </w:rPr>
        <w:t xml:space="preserve">Código Penal </w:t>
      </w:r>
      <w:r w:rsidRPr="00EF74C7">
        <w:rPr>
          <w:rFonts w:ascii="Arial Narrow" w:eastAsia="Times New Roman" w:hAnsi="Arial Narrow" w:cs="Times New Roman"/>
          <w:b/>
          <w:color w:val="000000"/>
          <w:sz w:val="26"/>
          <w:szCs w:val="26"/>
          <w:lang w:eastAsia="es-ES"/>
        </w:rPr>
        <w:t xml:space="preserve">de </w:t>
      </w:r>
      <w:r w:rsidRPr="00EF74C7">
        <w:rPr>
          <w:rFonts w:ascii="Arial Narrow" w:eastAsia="Times New Roman" w:hAnsi="Arial Narrow" w:cs="Times New Roman"/>
          <w:b/>
          <w:color w:val="000000"/>
          <w:sz w:val="26"/>
          <w:szCs w:val="26"/>
          <w:lang w:eastAsia="es-ES"/>
        </w:rPr>
        <w:t>Coahuila</w:t>
      </w:r>
      <w:r w:rsidRPr="00EF74C7">
        <w:rPr>
          <w:rFonts w:ascii="Arial Narrow" w:eastAsia="Times New Roman" w:hAnsi="Arial Narrow" w:cs="Times New Roman"/>
          <w:b/>
          <w:color w:val="000000"/>
          <w:sz w:val="26"/>
          <w:szCs w:val="26"/>
          <w:lang w:eastAsia="es-ES"/>
        </w:rPr>
        <w:t xml:space="preserve"> de Zaragoza.</w:t>
      </w:r>
    </w:p>
    <w:p w:rsidR="00EF74C7" w:rsidRDefault="00EF74C7" w:rsidP="00EF74C7">
      <w:pPr>
        <w:spacing w:after="0" w:line="240" w:lineRule="auto"/>
        <w:jc w:val="both"/>
        <w:rPr>
          <w:rFonts w:ascii="Arial Narrow" w:eastAsia="Times New Roman" w:hAnsi="Arial Narrow" w:cs="Times New Roman"/>
          <w:color w:val="000000"/>
          <w:sz w:val="26"/>
          <w:szCs w:val="26"/>
          <w:lang w:eastAsia="es-ES"/>
        </w:rPr>
      </w:pPr>
    </w:p>
    <w:p w:rsidR="00EF74C7" w:rsidRPr="00EF74C7" w:rsidRDefault="00EF74C7" w:rsidP="00EF74C7">
      <w:pPr>
        <w:widowControl w:val="0"/>
        <w:numPr>
          <w:ilvl w:val="0"/>
          <w:numId w:val="34"/>
        </w:numPr>
        <w:spacing w:after="0" w:line="240" w:lineRule="auto"/>
        <w:contextualSpacing/>
        <w:jc w:val="both"/>
        <w:rPr>
          <w:rFonts w:ascii="Arial Narrow" w:eastAsia="Times New Roman" w:hAnsi="Arial Narrow" w:cs="Times New Roman"/>
          <w:b/>
          <w:snapToGrid w:val="0"/>
          <w:color w:val="000000"/>
          <w:sz w:val="26"/>
          <w:szCs w:val="26"/>
          <w:lang w:eastAsia="es-ES"/>
        </w:rPr>
      </w:pPr>
      <w:r w:rsidRPr="00EF74C7">
        <w:rPr>
          <w:rFonts w:ascii="Arial Narrow" w:eastAsia="Times New Roman" w:hAnsi="Arial Narrow" w:cs="Times New Roman"/>
          <w:b/>
          <w:snapToGrid w:val="0"/>
          <w:color w:val="000000"/>
          <w:sz w:val="26"/>
          <w:szCs w:val="26"/>
          <w:lang w:eastAsia="es-ES"/>
        </w:rPr>
        <w:t>E</w:t>
      </w:r>
      <w:r w:rsidRPr="00EF74C7">
        <w:rPr>
          <w:rFonts w:ascii="Arial Narrow" w:eastAsia="Times New Roman" w:hAnsi="Arial Narrow" w:cs="Times New Roman"/>
          <w:b/>
          <w:snapToGrid w:val="0"/>
          <w:color w:val="000000"/>
          <w:sz w:val="26"/>
          <w:szCs w:val="26"/>
          <w:lang w:eastAsia="es-ES"/>
        </w:rPr>
        <w:t>n materia de delitos en contra de la población LGBTTTIQ.</w:t>
      </w:r>
    </w:p>
    <w:p w:rsidR="00EF74C7" w:rsidRPr="00EF74C7" w:rsidRDefault="00EF74C7" w:rsidP="00EF74C7">
      <w:pPr>
        <w:spacing w:after="0" w:line="240" w:lineRule="auto"/>
        <w:jc w:val="both"/>
        <w:rPr>
          <w:rFonts w:ascii="Arial Narrow" w:eastAsia="Times New Roman" w:hAnsi="Arial Narrow" w:cs="Times New Roman"/>
          <w:color w:val="000000"/>
          <w:sz w:val="26"/>
          <w:szCs w:val="26"/>
          <w:lang w:eastAsia="es-ES"/>
        </w:rPr>
      </w:pPr>
    </w:p>
    <w:p w:rsidR="00120AD0" w:rsidRDefault="00EF74C7" w:rsidP="00EF74C7">
      <w:pPr>
        <w:spacing w:after="0" w:line="240" w:lineRule="auto"/>
        <w:jc w:val="both"/>
        <w:rPr>
          <w:rFonts w:ascii="Arial Narrow" w:eastAsia="Times New Roman" w:hAnsi="Arial Narrow" w:cs="Times New Roman"/>
          <w:color w:val="000000"/>
          <w:sz w:val="26"/>
          <w:szCs w:val="26"/>
          <w:lang w:eastAsia="es-ES"/>
        </w:rPr>
      </w:pPr>
      <w:r w:rsidRPr="00EF74C7">
        <w:rPr>
          <w:rFonts w:ascii="Arial Narrow" w:eastAsia="Times New Roman" w:hAnsi="Arial Narrow" w:cs="Times New Roman"/>
          <w:color w:val="000000"/>
          <w:sz w:val="26"/>
          <w:szCs w:val="26"/>
          <w:lang w:eastAsia="es-ES"/>
        </w:rPr>
        <w:t xml:space="preserve">Planteada por la </w:t>
      </w:r>
      <w:r w:rsidRPr="00EF74C7">
        <w:rPr>
          <w:rFonts w:ascii="Arial Narrow" w:eastAsia="Times New Roman" w:hAnsi="Arial Narrow" w:cs="Times New Roman"/>
          <w:b/>
          <w:color w:val="000000"/>
          <w:sz w:val="26"/>
          <w:szCs w:val="26"/>
          <w:lang w:eastAsia="es-ES"/>
        </w:rPr>
        <w:t>Diputada Claudia Isela</w:t>
      </w:r>
      <w:bookmarkStart w:id="0" w:name="_GoBack"/>
      <w:bookmarkEnd w:id="0"/>
      <w:r w:rsidRPr="00EF74C7">
        <w:rPr>
          <w:rFonts w:ascii="Arial Narrow" w:eastAsia="Times New Roman" w:hAnsi="Arial Narrow" w:cs="Times New Roman"/>
          <w:b/>
          <w:color w:val="000000"/>
          <w:sz w:val="26"/>
          <w:szCs w:val="26"/>
          <w:lang w:eastAsia="es-ES"/>
        </w:rPr>
        <w:t xml:space="preserve"> Ramírez Pineda,</w:t>
      </w:r>
      <w:r w:rsidRPr="00EF74C7">
        <w:rPr>
          <w:rFonts w:ascii="Arial Narrow" w:eastAsia="Times New Roman" w:hAnsi="Arial Narrow" w:cs="Times New Roman"/>
          <w:color w:val="000000"/>
          <w:sz w:val="26"/>
          <w:szCs w:val="26"/>
          <w:lang w:eastAsia="es-ES"/>
        </w:rPr>
        <w:t xml:space="preserve"> de la Fracción Parlamentaria “Elvia Carrillo Puerto” del Partido de la Revolución Democrática</w:t>
      </w:r>
      <w:r w:rsidR="00120AD0">
        <w:rPr>
          <w:rFonts w:ascii="Arial Narrow" w:eastAsia="Times New Roman" w:hAnsi="Arial Narrow" w:cs="Times New Roman"/>
          <w:color w:val="000000"/>
          <w:sz w:val="26"/>
          <w:szCs w:val="26"/>
          <w:lang w:eastAsia="es-ES"/>
        </w:rPr>
        <w:t>.</w:t>
      </w:r>
    </w:p>
    <w:p w:rsidR="00EF74C7" w:rsidRPr="00EF74C7" w:rsidRDefault="00EF74C7" w:rsidP="00EF74C7">
      <w:pPr>
        <w:spacing w:after="0" w:line="240" w:lineRule="auto"/>
        <w:jc w:val="both"/>
        <w:rPr>
          <w:rFonts w:ascii="Arial Narrow" w:eastAsia="Times New Roman" w:hAnsi="Arial Narrow" w:cs="Arial"/>
          <w:sz w:val="26"/>
          <w:szCs w:val="26"/>
          <w:lang w:eastAsia="es-ES"/>
        </w:rPr>
      </w:pPr>
    </w:p>
    <w:p w:rsidR="00EF74C7" w:rsidRPr="00EF74C7" w:rsidRDefault="00EF74C7" w:rsidP="00EF74C7">
      <w:pPr>
        <w:spacing w:after="0" w:line="240" w:lineRule="auto"/>
        <w:jc w:val="both"/>
        <w:rPr>
          <w:rFonts w:ascii="Arial Narrow" w:eastAsia="Times New Roman" w:hAnsi="Arial Narrow" w:cs="Times New Roman"/>
          <w:b/>
          <w:color w:val="000000"/>
          <w:sz w:val="26"/>
          <w:szCs w:val="26"/>
          <w:lang w:eastAsia="es-ES"/>
        </w:rPr>
      </w:pPr>
      <w:r w:rsidRPr="00EF74C7">
        <w:rPr>
          <w:rFonts w:ascii="Arial Narrow" w:eastAsia="Times New Roman" w:hAnsi="Arial Narrow" w:cs="Times New Roman"/>
          <w:color w:val="000000"/>
          <w:sz w:val="26"/>
          <w:szCs w:val="26"/>
          <w:lang w:eastAsia="es-ES"/>
        </w:rPr>
        <w:t xml:space="preserve">Fecha de Lectura de la Iniciativa: </w:t>
      </w:r>
      <w:r>
        <w:rPr>
          <w:rFonts w:ascii="Arial Narrow" w:eastAsia="Times New Roman" w:hAnsi="Arial Narrow" w:cs="Times New Roman"/>
          <w:b/>
          <w:color w:val="000000"/>
          <w:sz w:val="26"/>
          <w:szCs w:val="26"/>
          <w:lang w:eastAsia="es-ES"/>
        </w:rPr>
        <w:t>25</w:t>
      </w:r>
      <w:r w:rsidRPr="00EF74C7">
        <w:rPr>
          <w:rFonts w:ascii="Arial Narrow" w:eastAsia="Times New Roman" w:hAnsi="Arial Narrow" w:cs="Times New Roman"/>
          <w:b/>
          <w:color w:val="000000"/>
          <w:sz w:val="26"/>
          <w:szCs w:val="26"/>
          <w:lang w:eastAsia="es-ES"/>
        </w:rPr>
        <w:t xml:space="preserve"> de Septiembre de 2019.</w:t>
      </w:r>
    </w:p>
    <w:p w:rsidR="00EF74C7" w:rsidRPr="00EF74C7" w:rsidRDefault="00EF74C7" w:rsidP="00EF74C7">
      <w:pPr>
        <w:spacing w:after="0" w:line="240" w:lineRule="auto"/>
        <w:jc w:val="both"/>
        <w:rPr>
          <w:rFonts w:ascii="Arial Narrow" w:eastAsia="Times New Roman" w:hAnsi="Arial Narrow" w:cs="Arial"/>
          <w:sz w:val="26"/>
          <w:szCs w:val="26"/>
          <w:lang w:eastAsia="es-ES"/>
        </w:rPr>
      </w:pPr>
    </w:p>
    <w:p w:rsidR="00EF74C7" w:rsidRPr="00EF74C7" w:rsidRDefault="00EF74C7" w:rsidP="00EF74C7">
      <w:pPr>
        <w:spacing w:after="0" w:line="240" w:lineRule="auto"/>
        <w:jc w:val="both"/>
        <w:rPr>
          <w:rFonts w:ascii="Arial Narrow" w:eastAsia="Times New Roman" w:hAnsi="Arial Narrow" w:cs="Times New Roman"/>
          <w:b/>
          <w:color w:val="000000"/>
          <w:sz w:val="26"/>
          <w:szCs w:val="26"/>
          <w:lang w:eastAsia="es-ES"/>
        </w:rPr>
      </w:pPr>
      <w:r w:rsidRPr="00EF74C7">
        <w:rPr>
          <w:rFonts w:ascii="Arial Narrow" w:eastAsia="Times New Roman" w:hAnsi="Arial Narrow" w:cs="Times New Roman"/>
          <w:color w:val="000000"/>
          <w:sz w:val="26"/>
          <w:szCs w:val="26"/>
          <w:lang w:eastAsia="es-ES"/>
        </w:rPr>
        <w:t xml:space="preserve">Turnada a la </w:t>
      </w:r>
      <w:r w:rsidRPr="00EF74C7">
        <w:rPr>
          <w:rFonts w:ascii="Arial Narrow" w:eastAsia="Times New Roman" w:hAnsi="Arial Narrow" w:cs="Times New Roman"/>
          <w:b/>
          <w:color w:val="000000"/>
          <w:sz w:val="26"/>
          <w:szCs w:val="26"/>
          <w:lang w:eastAsia="es-ES"/>
        </w:rPr>
        <w:t>Comisión de Gobernación, Puntos Constitucionales y Justicia</w:t>
      </w:r>
      <w:r w:rsidR="009D68CD">
        <w:rPr>
          <w:rFonts w:ascii="Arial Narrow" w:eastAsia="Times New Roman" w:hAnsi="Arial Narrow" w:cs="Times New Roman"/>
          <w:b/>
          <w:color w:val="000000"/>
          <w:sz w:val="26"/>
          <w:szCs w:val="26"/>
          <w:lang w:eastAsia="es-ES"/>
        </w:rPr>
        <w:t>.</w:t>
      </w:r>
    </w:p>
    <w:p w:rsidR="00EF74C7" w:rsidRPr="00EF74C7" w:rsidRDefault="00EF74C7" w:rsidP="00EF74C7">
      <w:pPr>
        <w:spacing w:after="0" w:line="240" w:lineRule="auto"/>
        <w:jc w:val="both"/>
        <w:rPr>
          <w:rFonts w:ascii="Arial" w:eastAsia="Calibri" w:hAnsi="Arial" w:cs="Arial"/>
          <w:b/>
          <w:sz w:val="28"/>
          <w:szCs w:val="28"/>
          <w:lang w:eastAsia="es-ES"/>
        </w:rPr>
      </w:pPr>
    </w:p>
    <w:p w:rsidR="00EF74C7" w:rsidRPr="00EF74C7" w:rsidRDefault="00EF74C7" w:rsidP="00EF74C7">
      <w:pPr>
        <w:spacing w:after="0" w:line="240" w:lineRule="auto"/>
        <w:jc w:val="both"/>
        <w:rPr>
          <w:rFonts w:ascii="Arial Narrow" w:eastAsia="Times New Roman" w:hAnsi="Arial Narrow" w:cs="Times New Roman"/>
          <w:b/>
          <w:color w:val="000000"/>
          <w:sz w:val="26"/>
          <w:szCs w:val="26"/>
          <w:lang w:eastAsia="es-ES"/>
        </w:rPr>
      </w:pPr>
      <w:r w:rsidRPr="00EF74C7">
        <w:rPr>
          <w:rFonts w:ascii="Arial Narrow" w:eastAsia="Times New Roman" w:hAnsi="Arial Narrow" w:cs="Times New Roman"/>
          <w:b/>
          <w:color w:val="000000"/>
          <w:sz w:val="26"/>
          <w:szCs w:val="26"/>
          <w:lang w:eastAsia="es-ES"/>
        </w:rPr>
        <w:t>Lectura del Dictamen:</w:t>
      </w:r>
    </w:p>
    <w:p w:rsidR="00EF74C7" w:rsidRPr="00EF74C7" w:rsidRDefault="00EF74C7" w:rsidP="00EF74C7">
      <w:pPr>
        <w:spacing w:after="0" w:line="240" w:lineRule="auto"/>
        <w:jc w:val="both"/>
        <w:rPr>
          <w:rFonts w:ascii="Arial Narrow" w:eastAsia="Times New Roman" w:hAnsi="Arial Narrow" w:cs="Times New Roman"/>
          <w:b/>
          <w:color w:val="000000"/>
          <w:sz w:val="26"/>
          <w:szCs w:val="26"/>
          <w:lang w:eastAsia="es-ES"/>
        </w:rPr>
      </w:pPr>
    </w:p>
    <w:p w:rsidR="00EF74C7" w:rsidRPr="00EF74C7" w:rsidRDefault="00EF74C7" w:rsidP="00EF74C7">
      <w:pPr>
        <w:spacing w:after="0" w:line="240" w:lineRule="auto"/>
        <w:jc w:val="both"/>
        <w:rPr>
          <w:rFonts w:ascii="Arial Narrow" w:eastAsia="Times New Roman" w:hAnsi="Arial Narrow" w:cs="Times New Roman"/>
          <w:b/>
          <w:color w:val="000000"/>
          <w:sz w:val="26"/>
          <w:szCs w:val="26"/>
          <w:lang w:eastAsia="es-ES"/>
        </w:rPr>
      </w:pPr>
      <w:r w:rsidRPr="00EF74C7">
        <w:rPr>
          <w:rFonts w:ascii="Arial Narrow" w:eastAsia="Times New Roman" w:hAnsi="Arial Narrow" w:cs="Times New Roman"/>
          <w:b/>
          <w:color w:val="000000"/>
          <w:sz w:val="26"/>
          <w:szCs w:val="26"/>
          <w:lang w:eastAsia="es-ES"/>
        </w:rPr>
        <w:t xml:space="preserve">Decreto No. </w:t>
      </w:r>
    </w:p>
    <w:p w:rsidR="00EF74C7" w:rsidRPr="00EF74C7" w:rsidRDefault="00EF74C7" w:rsidP="00EF74C7">
      <w:pPr>
        <w:spacing w:after="0" w:line="240" w:lineRule="auto"/>
        <w:jc w:val="both"/>
        <w:rPr>
          <w:rFonts w:ascii="Arial Narrow" w:eastAsia="Times New Roman" w:hAnsi="Arial Narrow" w:cs="Times New Roman"/>
          <w:b/>
          <w:color w:val="000000"/>
          <w:sz w:val="26"/>
          <w:szCs w:val="26"/>
          <w:lang w:eastAsia="es-ES"/>
        </w:rPr>
      </w:pPr>
    </w:p>
    <w:p w:rsidR="00EF74C7" w:rsidRPr="00EF74C7" w:rsidRDefault="00EF74C7" w:rsidP="00EF74C7">
      <w:pPr>
        <w:spacing w:after="0" w:line="240" w:lineRule="auto"/>
        <w:jc w:val="both"/>
        <w:rPr>
          <w:rFonts w:ascii="Arial Narrow" w:eastAsia="Times New Roman" w:hAnsi="Arial Narrow" w:cs="Times New Roman"/>
          <w:color w:val="000000"/>
          <w:sz w:val="26"/>
          <w:szCs w:val="26"/>
          <w:lang w:eastAsia="es-ES"/>
        </w:rPr>
      </w:pPr>
      <w:r w:rsidRPr="00EF74C7">
        <w:rPr>
          <w:rFonts w:ascii="Arial Narrow" w:eastAsia="Times New Roman" w:hAnsi="Arial Narrow" w:cs="Times New Roman"/>
          <w:color w:val="000000"/>
          <w:sz w:val="26"/>
          <w:szCs w:val="26"/>
          <w:lang w:eastAsia="es-ES"/>
        </w:rPr>
        <w:t>Publicación en el Periódico Oficial del Gobierno del Estado:</w:t>
      </w:r>
    </w:p>
    <w:p w:rsidR="00EF74C7" w:rsidRPr="00EF74C7" w:rsidRDefault="00EF74C7" w:rsidP="00EF74C7">
      <w:pPr>
        <w:spacing w:after="0" w:line="360" w:lineRule="auto"/>
        <w:jc w:val="both"/>
        <w:rPr>
          <w:rFonts w:ascii="Arial" w:eastAsia="Times New Roman" w:hAnsi="Arial" w:cs="Times New Roman"/>
          <w:sz w:val="26"/>
          <w:szCs w:val="26"/>
          <w:lang w:eastAsia="es-ES"/>
        </w:rPr>
      </w:pPr>
    </w:p>
    <w:p w:rsidR="00EF74C7" w:rsidRPr="00EF74C7" w:rsidRDefault="00EF74C7" w:rsidP="00EF74C7">
      <w:pPr>
        <w:spacing w:after="240" w:line="360" w:lineRule="auto"/>
        <w:jc w:val="both"/>
        <w:rPr>
          <w:rFonts w:ascii="Arial" w:eastAsia="Calibri" w:hAnsi="Arial" w:cs="Arial"/>
          <w:b/>
          <w:sz w:val="28"/>
          <w:szCs w:val="28"/>
        </w:rPr>
      </w:pPr>
    </w:p>
    <w:p w:rsidR="00EF74C7" w:rsidRDefault="00EF74C7" w:rsidP="00180918">
      <w:pPr>
        <w:spacing w:after="240" w:line="360" w:lineRule="auto"/>
        <w:jc w:val="both"/>
        <w:rPr>
          <w:rFonts w:ascii="Arial" w:eastAsia="Calibri" w:hAnsi="Arial" w:cs="Arial"/>
          <w:b/>
          <w:sz w:val="28"/>
          <w:szCs w:val="28"/>
        </w:rPr>
      </w:pPr>
    </w:p>
    <w:p w:rsidR="00EF74C7" w:rsidRDefault="00EF74C7" w:rsidP="00180918">
      <w:pPr>
        <w:spacing w:after="240" w:line="360" w:lineRule="auto"/>
        <w:jc w:val="both"/>
        <w:rPr>
          <w:rFonts w:ascii="Arial" w:eastAsia="Calibri" w:hAnsi="Arial" w:cs="Arial"/>
          <w:b/>
          <w:sz w:val="28"/>
          <w:szCs w:val="28"/>
        </w:rPr>
      </w:pPr>
    </w:p>
    <w:p w:rsidR="00EF74C7" w:rsidRDefault="00EF74C7">
      <w:pPr>
        <w:rPr>
          <w:rFonts w:ascii="Arial" w:eastAsia="Calibri" w:hAnsi="Arial" w:cs="Arial"/>
          <w:b/>
          <w:sz w:val="28"/>
          <w:szCs w:val="28"/>
        </w:rPr>
      </w:pPr>
      <w:r>
        <w:rPr>
          <w:rFonts w:ascii="Arial" w:eastAsia="Calibri" w:hAnsi="Arial" w:cs="Arial"/>
          <w:b/>
          <w:sz w:val="28"/>
          <w:szCs w:val="28"/>
        </w:rPr>
        <w:br w:type="page"/>
      </w:r>
    </w:p>
    <w:p w:rsidR="00F97D17" w:rsidRPr="00180918" w:rsidRDefault="00D66061" w:rsidP="00180918">
      <w:pPr>
        <w:spacing w:after="240" w:line="360" w:lineRule="auto"/>
        <w:jc w:val="both"/>
        <w:rPr>
          <w:rFonts w:ascii="Arial" w:eastAsia="Calibri" w:hAnsi="Arial" w:cs="Arial"/>
          <w:b/>
          <w:sz w:val="28"/>
          <w:szCs w:val="28"/>
        </w:rPr>
      </w:pPr>
      <w:r w:rsidRPr="00180918">
        <w:rPr>
          <w:rFonts w:ascii="Arial" w:eastAsia="Calibri" w:hAnsi="Arial" w:cs="Arial"/>
          <w:b/>
          <w:sz w:val="28"/>
          <w:szCs w:val="28"/>
        </w:rPr>
        <w:lastRenderedPageBreak/>
        <w:t xml:space="preserve">INICIATIVA CON PROYECTO DE DECRETO </w:t>
      </w:r>
      <w:r w:rsidR="00743E63" w:rsidRPr="00180918">
        <w:rPr>
          <w:rFonts w:ascii="Arial" w:eastAsia="Calibri" w:hAnsi="Arial" w:cs="Arial"/>
          <w:b/>
          <w:sz w:val="28"/>
          <w:szCs w:val="28"/>
        </w:rPr>
        <w:t xml:space="preserve">POR EL QUE SE </w:t>
      </w:r>
      <w:r w:rsidR="00D348F7" w:rsidRPr="00180918">
        <w:rPr>
          <w:rFonts w:ascii="Arial" w:eastAsia="Calibri" w:hAnsi="Arial" w:cs="Arial"/>
          <w:b/>
          <w:sz w:val="28"/>
          <w:szCs w:val="28"/>
        </w:rPr>
        <w:t>REFORMAN Y ADICIONAN</w:t>
      </w:r>
      <w:r w:rsidR="00A86E8C" w:rsidRPr="00180918">
        <w:rPr>
          <w:rFonts w:ascii="Arial" w:eastAsia="Calibri" w:hAnsi="Arial" w:cs="Arial"/>
          <w:b/>
          <w:sz w:val="28"/>
          <w:szCs w:val="28"/>
        </w:rPr>
        <w:t xml:space="preserve"> DIVERSAS DISPOSICIONES DEL CÓDIGO PENAL PARA EL ESTADO DE COAHUILA DE ZARAGOZA</w:t>
      </w:r>
      <w:r w:rsidR="00063693" w:rsidRPr="00180918">
        <w:rPr>
          <w:rFonts w:ascii="Arial" w:eastAsia="Calibri" w:hAnsi="Arial" w:cs="Arial"/>
          <w:b/>
          <w:sz w:val="28"/>
          <w:szCs w:val="28"/>
        </w:rPr>
        <w:t>,</w:t>
      </w:r>
      <w:r w:rsidRPr="00180918">
        <w:rPr>
          <w:rFonts w:ascii="Arial" w:eastAsia="Calibri" w:hAnsi="Arial" w:cs="Arial"/>
          <w:b/>
          <w:sz w:val="28"/>
          <w:szCs w:val="28"/>
        </w:rPr>
        <w:t xml:space="preserve"> QUE PRESENTA LA DIPUTADA CLAUDIA ISELA RAMÍREZ PINEDA DE LA FRACCIÓN PARLAMENTARIA “ELVIA CARRILLO PUERTO” DEL PARTIDO DE LA REVOLUCIÓN DEMOCRÁTICA</w:t>
      </w:r>
      <w:r w:rsidR="00A86E8C" w:rsidRPr="00180918">
        <w:rPr>
          <w:rFonts w:ascii="Arial" w:eastAsia="Calibri" w:hAnsi="Arial" w:cs="Arial"/>
          <w:b/>
          <w:sz w:val="28"/>
          <w:szCs w:val="28"/>
        </w:rPr>
        <w:t xml:space="preserve"> EN COORDINACIÓN CON LA ASOCIACIÓN CIVIL SAN AELREDO A.C., EN MATERIA DE DELITOS EN CON</w:t>
      </w:r>
      <w:r w:rsidR="009B10EB" w:rsidRPr="00180918">
        <w:rPr>
          <w:rFonts w:ascii="Arial" w:eastAsia="Calibri" w:hAnsi="Arial" w:cs="Arial"/>
          <w:b/>
          <w:sz w:val="28"/>
          <w:szCs w:val="28"/>
        </w:rPr>
        <w:t>TRA DE LA POBLACIÓN LGBTTTIQ+</w:t>
      </w:r>
      <w:r w:rsidR="00063693" w:rsidRPr="00180918">
        <w:rPr>
          <w:rFonts w:ascii="Arial" w:eastAsia="Calibri" w:hAnsi="Arial" w:cs="Arial"/>
          <w:b/>
          <w:sz w:val="28"/>
          <w:szCs w:val="28"/>
        </w:rPr>
        <w:t xml:space="preserve">. </w:t>
      </w:r>
    </w:p>
    <w:p w:rsidR="00F97D17" w:rsidRPr="002A5F2B" w:rsidRDefault="00F97D17" w:rsidP="00F97D17">
      <w:pPr>
        <w:spacing w:after="240" w:line="360" w:lineRule="auto"/>
        <w:rPr>
          <w:rFonts w:ascii="Arial" w:eastAsia="Calibri" w:hAnsi="Arial" w:cs="Arial"/>
          <w:b/>
          <w:sz w:val="28"/>
          <w:szCs w:val="28"/>
        </w:rPr>
      </w:pPr>
      <w:r w:rsidRPr="002A5F2B">
        <w:rPr>
          <w:rFonts w:ascii="Arial" w:eastAsia="Calibri" w:hAnsi="Arial" w:cs="Arial"/>
          <w:b/>
          <w:sz w:val="28"/>
          <w:szCs w:val="28"/>
        </w:rPr>
        <w:t>H. PLENO DEL CONGRESO DEL ESTADO</w:t>
      </w:r>
      <w:r w:rsidR="008331E8">
        <w:rPr>
          <w:rFonts w:ascii="Arial" w:eastAsia="Calibri" w:hAnsi="Arial" w:cs="Arial"/>
          <w:b/>
          <w:sz w:val="28"/>
          <w:szCs w:val="28"/>
        </w:rPr>
        <w:t>.</w:t>
      </w:r>
    </w:p>
    <w:p w:rsidR="00F97D17" w:rsidRPr="002A5F2B" w:rsidRDefault="00F97D17" w:rsidP="00F97D17">
      <w:pPr>
        <w:spacing w:after="240" w:line="360" w:lineRule="auto"/>
        <w:rPr>
          <w:rFonts w:ascii="Arial" w:eastAsia="Calibri" w:hAnsi="Arial" w:cs="Arial"/>
          <w:b/>
          <w:sz w:val="28"/>
          <w:szCs w:val="28"/>
        </w:rPr>
      </w:pPr>
      <w:r w:rsidRPr="002A5F2B">
        <w:rPr>
          <w:rFonts w:ascii="Arial" w:eastAsia="Calibri" w:hAnsi="Arial" w:cs="Arial"/>
          <w:b/>
          <w:sz w:val="28"/>
          <w:szCs w:val="28"/>
        </w:rPr>
        <w:t>PRESENTE.</w:t>
      </w:r>
    </w:p>
    <w:p w:rsidR="00F97D17" w:rsidRPr="002A5F2B" w:rsidRDefault="00F97D17" w:rsidP="00F97D17">
      <w:pPr>
        <w:spacing w:after="240" w:line="360" w:lineRule="auto"/>
        <w:jc w:val="both"/>
        <w:rPr>
          <w:rFonts w:ascii="Arial" w:eastAsia="Calibri" w:hAnsi="Arial" w:cs="Arial"/>
          <w:bCs/>
          <w:sz w:val="28"/>
          <w:szCs w:val="28"/>
        </w:rPr>
      </w:pPr>
      <w:r w:rsidRPr="002A5F2B">
        <w:rPr>
          <w:rFonts w:ascii="Arial" w:eastAsia="Calibri" w:hAnsi="Arial" w:cs="Arial"/>
          <w:sz w:val="28"/>
          <w:szCs w:val="28"/>
        </w:rPr>
        <w:t xml:space="preserve">La suscrita Diputada Claudia Isela Ramírez Pineda, de la Fracción Parlamentaria “Elvia Carrillo Puerto” del Partido de la Revolución Democrática, con apoyo en lo dispuesto por los artículos 59 fracción I, 60 y 67 fracción I de la </w:t>
      </w:r>
      <w:r w:rsidRPr="002A5F2B">
        <w:rPr>
          <w:rFonts w:ascii="Arial" w:eastAsia="Calibri" w:hAnsi="Arial" w:cs="Arial"/>
          <w:i/>
          <w:sz w:val="28"/>
          <w:szCs w:val="28"/>
        </w:rPr>
        <w:t>Constitución Política del Estado de Coahuila</w:t>
      </w:r>
      <w:r w:rsidRPr="002A5F2B">
        <w:rPr>
          <w:rFonts w:ascii="Arial" w:eastAsia="Calibri" w:hAnsi="Arial" w:cs="Arial"/>
          <w:sz w:val="28"/>
          <w:szCs w:val="28"/>
        </w:rPr>
        <w:t xml:space="preserve">, así como 21 fracción IV, 152 fracción I y demás relativos de la </w:t>
      </w:r>
      <w:r w:rsidRPr="002A5F2B">
        <w:rPr>
          <w:rFonts w:ascii="Arial" w:eastAsia="Calibri" w:hAnsi="Arial" w:cs="Arial"/>
          <w:i/>
          <w:sz w:val="28"/>
          <w:szCs w:val="28"/>
        </w:rPr>
        <w:t>Ley Orgánica del Congreso del Estado Independiente, Libre y Soberano de Coahuila de Zaragoza</w:t>
      </w:r>
      <w:r w:rsidRPr="002A5F2B">
        <w:rPr>
          <w:rFonts w:ascii="Arial" w:eastAsia="Calibri" w:hAnsi="Arial" w:cs="Arial"/>
          <w:sz w:val="28"/>
          <w:szCs w:val="28"/>
        </w:rPr>
        <w:t xml:space="preserve">, me permito presentar a esta soberanía la </w:t>
      </w:r>
      <w:r w:rsidR="00FB07E2" w:rsidRPr="002A5F2B">
        <w:rPr>
          <w:rFonts w:ascii="Arial" w:eastAsia="Calibri" w:hAnsi="Arial" w:cs="Arial"/>
          <w:sz w:val="28"/>
          <w:szCs w:val="28"/>
        </w:rPr>
        <w:t xml:space="preserve">siguiente </w:t>
      </w:r>
      <w:r w:rsidRPr="002A5F2B">
        <w:rPr>
          <w:rFonts w:ascii="Arial" w:eastAsia="Calibri" w:hAnsi="Arial" w:cs="Arial"/>
          <w:sz w:val="28"/>
          <w:szCs w:val="28"/>
        </w:rPr>
        <w:t>iniciativa</w:t>
      </w:r>
      <w:r w:rsidR="0009571E">
        <w:rPr>
          <w:rFonts w:ascii="Arial" w:eastAsia="Calibri" w:hAnsi="Arial" w:cs="Arial"/>
          <w:sz w:val="28"/>
          <w:szCs w:val="28"/>
        </w:rPr>
        <w:t xml:space="preserve"> con proyecto de decreto </w:t>
      </w:r>
      <w:r w:rsidR="00D348F7">
        <w:rPr>
          <w:rFonts w:ascii="Arial" w:eastAsia="Calibri" w:hAnsi="Arial" w:cs="Arial"/>
          <w:sz w:val="28"/>
          <w:szCs w:val="28"/>
        </w:rPr>
        <w:t xml:space="preserve">por el que se reforman y adicionan </w:t>
      </w:r>
      <w:r w:rsidR="00C85E4A">
        <w:rPr>
          <w:rFonts w:ascii="Arial" w:eastAsia="Calibri" w:hAnsi="Arial" w:cs="Arial"/>
          <w:sz w:val="28"/>
          <w:szCs w:val="28"/>
        </w:rPr>
        <w:t>diversas disposiciones del Código Penal del Estado de Coahuila de Zaragoza</w:t>
      </w:r>
      <w:r w:rsidRPr="002A5F2B">
        <w:rPr>
          <w:rFonts w:ascii="Arial" w:hAnsi="Arial" w:cs="Arial"/>
          <w:sz w:val="28"/>
          <w:szCs w:val="28"/>
        </w:rPr>
        <w:t xml:space="preserve">, </w:t>
      </w:r>
      <w:r w:rsidRPr="002A5F2B">
        <w:rPr>
          <w:rFonts w:ascii="Arial" w:eastAsia="Calibri" w:hAnsi="Arial" w:cs="Arial"/>
          <w:sz w:val="28"/>
          <w:szCs w:val="28"/>
        </w:rPr>
        <w:t>conforme a la siguiente:</w:t>
      </w:r>
    </w:p>
    <w:p w:rsidR="000B1E21" w:rsidRPr="008D6EA2" w:rsidRDefault="00F97D17" w:rsidP="008D6EA2">
      <w:pPr>
        <w:spacing w:after="240" w:line="360" w:lineRule="auto"/>
        <w:jc w:val="center"/>
        <w:rPr>
          <w:rFonts w:ascii="Arial" w:eastAsia="Calibri" w:hAnsi="Arial" w:cs="Arial"/>
          <w:b/>
          <w:bCs/>
          <w:sz w:val="28"/>
          <w:szCs w:val="28"/>
        </w:rPr>
      </w:pPr>
      <w:r w:rsidRPr="00137394">
        <w:rPr>
          <w:rFonts w:ascii="Arial" w:eastAsia="Calibri" w:hAnsi="Arial" w:cs="Arial"/>
          <w:b/>
          <w:bCs/>
          <w:sz w:val="28"/>
          <w:szCs w:val="28"/>
        </w:rPr>
        <w:t>EXPOSICIÓN DE MOTIVOS</w:t>
      </w:r>
      <w:r w:rsidR="005B5C77">
        <w:rPr>
          <w:rFonts w:ascii="Arial" w:eastAsia="Calibri" w:hAnsi="Arial" w:cs="Arial"/>
          <w:b/>
          <w:bCs/>
          <w:sz w:val="28"/>
          <w:szCs w:val="28"/>
        </w:rPr>
        <w:t xml:space="preserve">   </w:t>
      </w:r>
    </w:p>
    <w:p w:rsidR="00C85E4A" w:rsidRDefault="00C85E4A" w:rsidP="00F97D17">
      <w:pPr>
        <w:spacing w:after="240" w:line="360" w:lineRule="auto"/>
        <w:jc w:val="both"/>
        <w:rPr>
          <w:rFonts w:ascii="Arial" w:hAnsi="Arial" w:cs="Arial"/>
          <w:sz w:val="28"/>
          <w:szCs w:val="28"/>
        </w:rPr>
      </w:pPr>
      <w:r>
        <w:rPr>
          <w:rFonts w:ascii="Arial" w:hAnsi="Arial" w:cs="Arial"/>
          <w:sz w:val="28"/>
          <w:szCs w:val="28"/>
        </w:rPr>
        <w:lastRenderedPageBreak/>
        <w:t>El 22 de junio de 2015, una mujer transex</w:t>
      </w:r>
      <w:r w:rsidR="00FB21B4">
        <w:rPr>
          <w:rFonts w:ascii="Arial" w:hAnsi="Arial" w:cs="Arial"/>
          <w:sz w:val="28"/>
          <w:szCs w:val="28"/>
        </w:rPr>
        <w:t>ual fue asesinada en Chihuahua, su cuerpo se encontró con marcas de tortura, señas de asfixia, y con cuatro balazos en la cabeza, sus manos estaban atadas a un má</w:t>
      </w:r>
      <w:r w:rsidR="005B338B">
        <w:rPr>
          <w:rFonts w:ascii="Arial" w:hAnsi="Arial" w:cs="Arial"/>
          <w:sz w:val="28"/>
          <w:szCs w:val="28"/>
        </w:rPr>
        <w:t xml:space="preserve">stil de plástico y su cuerpo </w:t>
      </w:r>
      <w:r w:rsidR="00FB21B4">
        <w:rPr>
          <w:rFonts w:ascii="Arial" w:hAnsi="Arial" w:cs="Arial"/>
          <w:sz w:val="28"/>
          <w:szCs w:val="28"/>
        </w:rPr>
        <w:t>enredado en una bandera de México.</w:t>
      </w:r>
      <w:r w:rsidR="00C235B0">
        <w:rPr>
          <w:rStyle w:val="Refdenotaalpie"/>
          <w:rFonts w:ascii="Arial" w:hAnsi="Arial" w:cs="Arial"/>
          <w:sz w:val="28"/>
          <w:szCs w:val="28"/>
        </w:rPr>
        <w:footnoteReference w:id="1"/>
      </w:r>
      <w:r w:rsidR="00FB21B4">
        <w:rPr>
          <w:rFonts w:ascii="Arial" w:hAnsi="Arial" w:cs="Arial"/>
          <w:sz w:val="28"/>
          <w:szCs w:val="28"/>
        </w:rPr>
        <w:t xml:space="preserve"> </w:t>
      </w:r>
    </w:p>
    <w:p w:rsidR="00FB21B4" w:rsidRDefault="00FB21B4" w:rsidP="00F97D17">
      <w:pPr>
        <w:spacing w:after="240" w:line="360" w:lineRule="auto"/>
        <w:jc w:val="both"/>
        <w:rPr>
          <w:rFonts w:ascii="Arial" w:hAnsi="Arial" w:cs="Arial"/>
          <w:sz w:val="28"/>
          <w:szCs w:val="28"/>
        </w:rPr>
      </w:pPr>
      <w:r w:rsidRPr="00FB21B4">
        <w:rPr>
          <w:rFonts w:ascii="Arial" w:hAnsi="Arial" w:cs="Arial"/>
          <w:sz w:val="28"/>
          <w:szCs w:val="28"/>
        </w:rPr>
        <w:t>Presentaba fractura de pómulo, nariz y maxilar, indicios claros de que no fue un asesinato cualquiera, como los que suceden a diario en nuestro país po</w:t>
      </w:r>
      <w:r>
        <w:rPr>
          <w:rFonts w:ascii="Arial" w:hAnsi="Arial" w:cs="Arial"/>
          <w:sz w:val="28"/>
          <w:szCs w:val="28"/>
        </w:rPr>
        <w:t xml:space="preserve">r el alto índice de violencia, </w:t>
      </w:r>
      <w:r w:rsidRPr="00FB21B4">
        <w:rPr>
          <w:rFonts w:ascii="Arial" w:hAnsi="Arial" w:cs="Arial"/>
          <w:sz w:val="28"/>
          <w:szCs w:val="28"/>
        </w:rPr>
        <w:t>sino que había una intención</w:t>
      </w:r>
      <w:r>
        <w:rPr>
          <w:rFonts w:ascii="Arial" w:hAnsi="Arial" w:cs="Arial"/>
          <w:sz w:val="28"/>
          <w:szCs w:val="28"/>
        </w:rPr>
        <w:t xml:space="preserve"> clara</w:t>
      </w:r>
      <w:r w:rsidRPr="00FB21B4">
        <w:rPr>
          <w:rFonts w:ascii="Arial" w:hAnsi="Arial" w:cs="Arial"/>
          <w:sz w:val="28"/>
          <w:szCs w:val="28"/>
        </w:rPr>
        <w:t xml:space="preserve"> de causar dolor y mostrar un castigo ejemplar, con un mensaje claro “tu vida no vale nada, tú no tienes lugar en nuestra sociedad”. El símbolo patrio en el que fue envuelta agrava el mensaje: “No hay lugar para ti en este país”.</w:t>
      </w:r>
      <w:r w:rsidR="00C235B0">
        <w:rPr>
          <w:rStyle w:val="Refdenotaalpie"/>
          <w:rFonts w:ascii="Arial" w:hAnsi="Arial" w:cs="Arial"/>
          <w:sz w:val="28"/>
          <w:szCs w:val="28"/>
        </w:rPr>
        <w:footnoteReference w:id="2"/>
      </w:r>
    </w:p>
    <w:p w:rsidR="0033492A" w:rsidRDefault="004E3A1B" w:rsidP="00F97D17">
      <w:pPr>
        <w:spacing w:after="240" w:line="360" w:lineRule="auto"/>
        <w:jc w:val="both"/>
        <w:rPr>
          <w:rFonts w:ascii="Arial" w:hAnsi="Arial" w:cs="Arial"/>
          <w:sz w:val="28"/>
          <w:szCs w:val="28"/>
        </w:rPr>
      </w:pPr>
      <w:r>
        <w:rPr>
          <w:rFonts w:ascii="Arial" w:hAnsi="Arial" w:cs="Arial"/>
          <w:sz w:val="28"/>
          <w:szCs w:val="28"/>
        </w:rPr>
        <w:t>Por</w:t>
      </w:r>
      <w:r w:rsidR="00FB21B4">
        <w:rPr>
          <w:rFonts w:ascii="Arial" w:hAnsi="Arial" w:cs="Arial"/>
          <w:sz w:val="28"/>
          <w:szCs w:val="28"/>
        </w:rPr>
        <w:t xml:space="preserve"> esos </w:t>
      </w:r>
      <w:r w:rsidR="0033492A">
        <w:rPr>
          <w:rFonts w:ascii="Arial" w:hAnsi="Arial" w:cs="Arial"/>
          <w:sz w:val="28"/>
          <w:szCs w:val="28"/>
        </w:rPr>
        <w:t xml:space="preserve">mismos </w:t>
      </w:r>
      <w:r w:rsidR="00FB21B4">
        <w:rPr>
          <w:rFonts w:ascii="Arial" w:hAnsi="Arial" w:cs="Arial"/>
          <w:sz w:val="28"/>
          <w:szCs w:val="28"/>
        </w:rPr>
        <w:t>días</w:t>
      </w:r>
      <w:r w:rsidR="0033492A">
        <w:rPr>
          <w:rFonts w:ascii="Arial" w:hAnsi="Arial" w:cs="Arial"/>
          <w:sz w:val="28"/>
          <w:szCs w:val="28"/>
        </w:rPr>
        <w:t xml:space="preserve">,  varios grupos conservadores y religiosos hacían una vigilia de oración en favor de la familia y los valores tradicionales, con el objetivo de impedir que </w:t>
      </w:r>
      <w:r w:rsidR="005B338B">
        <w:rPr>
          <w:rFonts w:ascii="Arial" w:hAnsi="Arial" w:cs="Arial"/>
          <w:sz w:val="28"/>
          <w:szCs w:val="28"/>
        </w:rPr>
        <w:t xml:space="preserve">en </w:t>
      </w:r>
      <w:r w:rsidR="0033492A">
        <w:rPr>
          <w:rFonts w:ascii="Arial" w:hAnsi="Arial" w:cs="Arial"/>
          <w:sz w:val="28"/>
          <w:szCs w:val="28"/>
        </w:rPr>
        <w:t>el Congreso de Chihuahua se aprobara el matrimonio igualitario. Durante semanas un discurso de odio, disfrazado de libertad de expresión</w:t>
      </w:r>
      <w:r w:rsidR="005B338B">
        <w:rPr>
          <w:rFonts w:ascii="Arial" w:hAnsi="Arial" w:cs="Arial"/>
          <w:sz w:val="28"/>
          <w:szCs w:val="28"/>
        </w:rPr>
        <w:t>,</w:t>
      </w:r>
      <w:r w:rsidR="0033492A">
        <w:rPr>
          <w:rFonts w:ascii="Arial" w:hAnsi="Arial" w:cs="Arial"/>
          <w:sz w:val="28"/>
          <w:szCs w:val="28"/>
        </w:rPr>
        <w:t xml:space="preserve"> se generó en el espacio público y culminó en una tragedia, una vida se perdió por el simple hecho de no adaptarse a los está</w:t>
      </w:r>
      <w:r w:rsidR="005B338B">
        <w:rPr>
          <w:rFonts w:ascii="Arial" w:hAnsi="Arial" w:cs="Arial"/>
          <w:sz w:val="28"/>
          <w:szCs w:val="28"/>
        </w:rPr>
        <w:t>n</w:t>
      </w:r>
      <w:r w:rsidR="0033492A">
        <w:rPr>
          <w:rFonts w:ascii="Arial" w:hAnsi="Arial" w:cs="Arial"/>
          <w:sz w:val="28"/>
          <w:szCs w:val="28"/>
        </w:rPr>
        <w:t>dares machistas y prejuicioso</w:t>
      </w:r>
      <w:r w:rsidR="00C235B0">
        <w:rPr>
          <w:rFonts w:ascii="Arial" w:hAnsi="Arial" w:cs="Arial"/>
          <w:sz w:val="28"/>
          <w:szCs w:val="28"/>
        </w:rPr>
        <w:t>s de ciertos sectores sociales.</w:t>
      </w:r>
      <w:r w:rsidR="00C235B0">
        <w:rPr>
          <w:rStyle w:val="Refdenotaalpie"/>
          <w:rFonts w:ascii="Arial" w:hAnsi="Arial" w:cs="Arial"/>
          <w:sz w:val="28"/>
          <w:szCs w:val="28"/>
        </w:rPr>
        <w:footnoteReference w:id="3"/>
      </w:r>
    </w:p>
    <w:p w:rsidR="0033492A" w:rsidRDefault="0033492A" w:rsidP="00F97D17">
      <w:pPr>
        <w:spacing w:after="240" w:line="360" w:lineRule="auto"/>
        <w:jc w:val="both"/>
        <w:rPr>
          <w:rFonts w:ascii="Arial" w:hAnsi="Arial" w:cs="Arial"/>
          <w:sz w:val="28"/>
          <w:szCs w:val="28"/>
        </w:rPr>
      </w:pPr>
      <w:r>
        <w:rPr>
          <w:rFonts w:ascii="Arial" w:hAnsi="Arial" w:cs="Arial"/>
          <w:sz w:val="28"/>
          <w:szCs w:val="28"/>
        </w:rPr>
        <w:lastRenderedPageBreak/>
        <w:t xml:space="preserve">Los crímenes de odio, </w:t>
      </w:r>
      <w:r w:rsidR="003167B0">
        <w:rPr>
          <w:rFonts w:ascii="Arial" w:hAnsi="Arial" w:cs="Arial"/>
          <w:sz w:val="28"/>
          <w:szCs w:val="28"/>
        </w:rPr>
        <w:t>en contra de la población LGBTTTIQ+</w:t>
      </w:r>
      <w:r w:rsidR="005B338B">
        <w:rPr>
          <w:rFonts w:ascii="Arial" w:hAnsi="Arial" w:cs="Arial"/>
          <w:sz w:val="28"/>
          <w:szCs w:val="28"/>
        </w:rPr>
        <w:t>,</w:t>
      </w:r>
      <w:r w:rsidR="003167B0">
        <w:rPr>
          <w:rFonts w:ascii="Arial" w:hAnsi="Arial" w:cs="Arial"/>
          <w:sz w:val="28"/>
          <w:szCs w:val="28"/>
        </w:rPr>
        <w:t xml:space="preserve"> son una realidad y son cada vez más frecuentes en nuestro país a medida que las personas de la diversidad sexual van revindicando sus derechos. </w:t>
      </w:r>
      <w:r w:rsidR="007F4E02">
        <w:rPr>
          <w:rFonts w:ascii="Arial" w:hAnsi="Arial" w:cs="Arial"/>
          <w:sz w:val="28"/>
          <w:szCs w:val="28"/>
        </w:rPr>
        <w:t>Según el Observatorio de Personas Trans Asesinadas, de la Organización Internacional Transgender Europe, México ocupa el segundo lugar a nivel mundial en este tipo de homicidios, solamente detrás de Brasil.</w:t>
      </w:r>
      <w:r w:rsidR="005143C2">
        <w:rPr>
          <w:rStyle w:val="Refdenotaalpie"/>
          <w:rFonts w:ascii="Arial" w:hAnsi="Arial" w:cs="Arial"/>
          <w:sz w:val="28"/>
          <w:szCs w:val="28"/>
        </w:rPr>
        <w:footnoteReference w:id="4"/>
      </w:r>
    </w:p>
    <w:p w:rsidR="00795817" w:rsidRDefault="007F4E02" w:rsidP="00DC78AE">
      <w:pPr>
        <w:spacing w:after="240" w:line="360" w:lineRule="auto"/>
        <w:jc w:val="both"/>
        <w:rPr>
          <w:rFonts w:ascii="Arial" w:hAnsi="Arial" w:cs="Arial"/>
          <w:sz w:val="28"/>
          <w:szCs w:val="28"/>
        </w:rPr>
      </w:pPr>
      <w:r>
        <w:rPr>
          <w:rFonts w:ascii="Arial" w:hAnsi="Arial" w:cs="Arial"/>
          <w:sz w:val="28"/>
          <w:szCs w:val="28"/>
        </w:rPr>
        <w:t>Solo entre los años 2016 y 2017 se reportaron 51 casos de trans-homicidio, aunque la cifra aumenta exponencialmente, debido a que en la mayoría de los casos tales delitos no se sancionan</w:t>
      </w:r>
      <w:r w:rsidR="005B338B">
        <w:rPr>
          <w:rFonts w:ascii="Arial" w:hAnsi="Arial" w:cs="Arial"/>
          <w:sz w:val="28"/>
          <w:szCs w:val="28"/>
        </w:rPr>
        <w:t>,</w:t>
      </w:r>
      <w:r>
        <w:rPr>
          <w:rFonts w:ascii="Arial" w:hAnsi="Arial" w:cs="Arial"/>
          <w:sz w:val="28"/>
          <w:szCs w:val="28"/>
        </w:rPr>
        <w:t xml:space="preserve"> o bien, no se reconoce la calidad de transexualidad de la víctima. </w:t>
      </w:r>
    </w:p>
    <w:p w:rsidR="00DC78AE" w:rsidRDefault="00DC78AE" w:rsidP="00DC78AE">
      <w:pPr>
        <w:spacing w:after="240" w:line="360" w:lineRule="auto"/>
        <w:jc w:val="both"/>
        <w:rPr>
          <w:rFonts w:ascii="Arial" w:hAnsi="Arial" w:cs="Arial"/>
          <w:sz w:val="28"/>
          <w:szCs w:val="28"/>
        </w:rPr>
      </w:pPr>
      <w:r>
        <w:rPr>
          <w:rFonts w:ascii="Arial" w:hAnsi="Arial" w:cs="Arial"/>
          <w:sz w:val="28"/>
          <w:szCs w:val="28"/>
        </w:rPr>
        <w:t>En ese sentido, la</w:t>
      </w:r>
      <w:r w:rsidR="007F4E02">
        <w:rPr>
          <w:rFonts w:ascii="Arial" w:hAnsi="Arial" w:cs="Arial"/>
          <w:sz w:val="28"/>
          <w:szCs w:val="28"/>
        </w:rPr>
        <w:t xml:space="preserve"> Comisión Intera</w:t>
      </w:r>
      <w:r>
        <w:rPr>
          <w:rFonts w:ascii="Arial" w:hAnsi="Arial" w:cs="Arial"/>
          <w:sz w:val="28"/>
          <w:szCs w:val="28"/>
        </w:rPr>
        <w:t xml:space="preserve">mericana de Derechos Humanos ha reconocido en su </w:t>
      </w:r>
      <w:r w:rsidR="007F4E02">
        <w:rPr>
          <w:rFonts w:ascii="Arial" w:hAnsi="Arial" w:cs="Arial"/>
          <w:sz w:val="28"/>
          <w:szCs w:val="28"/>
        </w:rPr>
        <w:t xml:space="preserve">informe </w:t>
      </w:r>
      <w:r>
        <w:rPr>
          <w:rFonts w:ascii="Arial" w:hAnsi="Arial" w:cs="Arial"/>
          <w:sz w:val="28"/>
          <w:szCs w:val="28"/>
        </w:rPr>
        <w:t>“</w:t>
      </w:r>
      <w:r w:rsidRPr="00DC78AE">
        <w:rPr>
          <w:rFonts w:ascii="Arial" w:hAnsi="Arial" w:cs="Arial"/>
          <w:sz w:val="28"/>
          <w:szCs w:val="28"/>
        </w:rPr>
        <w:t>Violencia contra personas lesbianas, gay, bisexuales, trans e intersex en América</w:t>
      </w:r>
      <w:r>
        <w:rPr>
          <w:rFonts w:ascii="Arial" w:hAnsi="Arial" w:cs="Arial"/>
          <w:sz w:val="28"/>
          <w:szCs w:val="28"/>
        </w:rPr>
        <w:t>”</w:t>
      </w:r>
      <w:r w:rsidR="005B338B">
        <w:rPr>
          <w:rFonts w:ascii="Arial" w:hAnsi="Arial" w:cs="Arial"/>
          <w:sz w:val="28"/>
          <w:szCs w:val="28"/>
        </w:rPr>
        <w:t>,</w:t>
      </w:r>
      <w:r>
        <w:rPr>
          <w:rFonts w:ascii="Arial" w:hAnsi="Arial" w:cs="Arial"/>
          <w:sz w:val="28"/>
          <w:szCs w:val="28"/>
        </w:rPr>
        <w:t xml:space="preserve"> que </w:t>
      </w:r>
      <w:r w:rsidRPr="00DC78AE">
        <w:rPr>
          <w:rFonts w:ascii="Arial" w:hAnsi="Arial" w:cs="Arial"/>
          <w:sz w:val="28"/>
          <w:szCs w:val="28"/>
        </w:rPr>
        <w:t>las estadísticas disponibles no ref</w:t>
      </w:r>
      <w:r>
        <w:rPr>
          <w:rFonts w:ascii="Arial" w:hAnsi="Arial" w:cs="Arial"/>
          <w:sz w:val="28"/>
          <w:szCs w:val="28"/>
        </w:rPr>
        <w:t xml:space="preserve">lejan la verdadera dimensión de </w:t>
      </w:r>
      <w:r w:rsidRPr="00DC78AE">
        <w:rPr>
          <w:rFonts w:ascii="Arial" w:hAnsi="Arial" w:cs="Arial"/>
          <w:sz w:val="28"/>
          <w:szCs w:val="28"/>
        </w:rPr>
        <w:t xml:space="preserve">la violencia que enfrentan las personas LGBTI en el continente americano. </w:t>
      </w:r>
      <w:r>
        <w:rPr>
          <w:rFonts w:ascii="Arial" w:hAnsi="Arial" w:cs="Arial"/>
          <w:sz w:val="28"/>
          <w:szCs w:val="28"/>
        </w:rPr>
        <w:t>Señalando</w:t>
      </w:r>
      <w:r w:rsidRPr="00DC78AE">
        <w:rPr>
          <w:rFonts w:ascii="Arial" w:hAnsi="Arial" w:cs="Arial"/>
          <w:sz w:val="28"/>
          <w:szCs w:val="28"/>
        </w:rPr>
        <w:t xml:space="preserve"> que “muchos casos de violencia contra p</w:t>
      </w:r>
      <w:r>
        <w:rPr>
          <w:rFonts w:ascii="Arial" w:hAnsi="Arial" w:cs="Arial"/>
          <w:sz w:val="28"/>
          <w:szCs w:val="28"/>
        </w:rPr>
        <w:t xml:space="preserve">ersonas LGBT no se denuncian ya </w:t>
      </w:r>
      <w:r w:rsidRPr="00DC78AE">
        <w:rPr>
          <w:rFonts w:ascii="Arial" w:hAnsi="Arial" w:cs="Arial"/>
          <w:sz w:val="28"/>
          <w:szCs w:val="28"/>
        </w:rPr>
        <w:t>que muchas personas, temiendo represalias, no quiere</w:t>
      </w:r>
      <w:r>
        <w:rPr>
          <w:rFonts w:ascii="Arial" w:hAnsi="Arial" w:cs="Arial"/>
          <w:sz w:val="28"/>
          <w:szCs w:val="28"/>
        </w:rPr>
        <w:t xml:space="preserve">n identificarse como LGBT o no </w:t>
      </w:r>
      <w:r w:rsidRPr="00DC78AE">
        <w:rPr>
          <w:rFonts w:ascii="Arial" w:hAnsi="Arial" w:cs="Arial"/>
          <w:sz w:val="28"/>
          <w:szCs w:val="28"/>
        </w:rPr>
        <w:t>confían en la polic</w:t>
      </w:r>
      <w:r>
        <w:rPr>
          <w:rFonts w:ascii="Arial" w:hAnsi="Arial" w:cs="Arial"/>
          <w:sz w:val="28"/>
          <w:szCs w:val="28"/>
        </w:rPr>
        <w:t xml:space="preserve">ía o en el sistema judicial”. </w:t>
      </w:r>
      <w:r>
        <w:rPr>
          <w:rStyle w:val="Refdenotaalpie"/>
          <w:rFonts w:ascii="Arial" w:hAnsi="Arial" w:cs="Arial"/>
          <w:sz w:val="28"/>
          <w:szCs w:val="28"/>
        </w:rPr>
        <w:footnoteReference w:id="5"/>
      </w:r>
    </w:p>
    <w:p w:rsidR="00832EA4" w:rsidRDefault="00DC78AE" w:rsidP="00DC78AE">
      <w:pPr>
        <w:spacing w:after="240" w:line="360" w:lineRule="auto"/>
        <w:jc w:val="both"/>
        <w:rPr>
          <w:rFonts w:ascii="Arial" w:hAnsi="Arial" w:cs="Arial"/>
          <w:sz w:val="28"/>
          <w:szCs w:val="28"/>
        </w:rPr>
      </w:pPr>
      <w:r w:rsidRPr="00DC78AE">
        <w:rPr>
          <w:rFonts w:ascii="Arial" w:hAnsi="Arial" w:cs="Arial"/>
          <w:sz w:val="28"/>
          <w:szCs w:val="28"/>
        </w:rPr>
        <w:lastRenderedPageBreak/>
        <w:t>Por otro lado, existe una capacitación insuficiente de agentes de policía, fiscales y autoridades forenses que también puede producir registros imprecisos. Por ejemplo, cuando las víctimas que son personas trans son registradas según su sexo asignado al nacer, su identidad de género no es reflejada en los registros. Las mujeres trans con frecuencia son identificadas en los registros púbicos como “hombre</w:t>
      </w:r>
      <w:r>
        <w:rPr>
          <w:rFonts w:ascii="Arial" w:hAnsi="Arial" w:cs="Arial"/>
          <w:sz w:val="28"/>
          <w:szCs w:val="28"/>
        </w:rPr>
        <w:t xml:space="preserve">s vestidos con ropa de mujer”. </w:t>
      </w:r>
      <w:r w:rsidR="00832EA4">
        <w:rPr>
          <w:rFonts w:ascii="Arial" w:hAnsi="Arial" w:cs="Arial"/>
          <w:sz w:val="28"/>
          <w:szCs w:val="28"/>
        </w:rPr>
        <w:t xml:space="preserve">Tales acciones además de invisibilizar y estigmatizar a la población trans, evitan  que existan registros confiables sobre la magnitud del problema. </w:t>
      </w:r>
    </w:p>
    <w:p w:rsidR="00755DC1" w:rsidRDefault="00832EA4" w:rsidP="00832EA4">
      <w:pPr>
        <w:spacing w:after="240" w:line="360" w:lineRule="auto"/>
        <w:jc w:val="both"/>
        <w:rPr>
          <w:rFonts w:ascii="Arial" w:hAnsi="Arial" w:cs="Arial"/>
          <w:sz w:val="28"/>
          <w:szCs w:val="28"/>
        </w:rPr>
      </w:pPr>
      <w:r>
        <w:rPr>
          <w:rFonts w:ascii="Arial" w:hAnsi="Arial" w:cs="Arial"/>
          <w:sz w:val="28"/>
          <w:szCs w:val="28"/>
        </w:rPr>
        <w:t xml:space="preserve">En otro estudio, realizado </w:t>
      </w:r>
      <w:r w:rsidR="00795817">
        <w:rPr>
          <w:rFonts w:ascii="Arial" w:hAnsi="Arial" w:cs="Arial"/>
          <w:sz w:val="28"/>
          <w:szCs w:val="28"/>
        </w:rPr>
        <w:t>también por</w:t>
      </w:r>
      <w:r>
        <w:rPr>
          <w:rFonts w:ascii="Arial" w:hAnsi="Arial" w:cs="Arial"/>
          <w:sz w:val="28"/>
          <w:szCs w:val="28"/>
        </w:rPr>
        <w:t xml:space="preserve"> la</w:t>
      </w:r>
      <w:r w:rsidRPr="00832EA4">
        <w:rPr>
          <w:rFonts w:ascii="Arial" w:hAnsi="Arial" w:cs="Arial"/>
          <w:sz w:val="28"/>
          <w:szCs w:val="28"/>
        </w:rPr>
        <w:t xml:space="preserve"> Comisión</w:t>
      </w:r>
      <w:r>
        <w:rPr>
          <w:rFonts w:ascii="Arial" w:hAnsi="Arial" w:cs="Arial"/>
          <w:sz w:val="28"/>
          <w:szCs w:val="28"/>
        </w:rPr>
        <w:t xml:space="preserve"> Interamericana de Derechos Humanos, se</w:t>
      </w:r>
      <w:r w:rsidRPr="00832EA4">
        <w:rPr>
          <w:rFonts w:ascii="Arial" w:hAnsi="Arial" w:cs="Arial"/>
          <w:sz w:val="28"/>
          <w:szCs w:val="28"/>
        </w:rPr>
        <w:t xml:space="preserve"> determinó que </w:t>
      </w:r>
      <w:r>
        <w:rPr>
          <w:rFonts w:ascii="Arial" w:hAnsi="Arial" w:cs="Arial"/>
          <w:sz w:val="28"/>
          <w:szCs w:val="28"/>
        </w:rPr>
        <w:t xml:space="preserve">entre enero de 2013 </w:t>
      </w:r>
      <w:r w:rsidR="00795817">
        <w:rPr>
          <w:rFonts w:ascii="Arial" w:hAnsi="Arial" w:cs="Arial"/>
          <w:sz w:val="28"/>
          <w:szCs w:val="28"/>
        </w:rPr>
        <w:t>y marzo de 2014, alrededor de</w:t>
      </w:r>
      <w:r w:rsidRPr="00832EA4">
        <w:rPr>
          <w:rFonts w:ascii="Arial" w:hAnsi="Arial" w:cs="Arial"/>
          <w:sz w:val="28"/>
          <w:szCs w:val="28"/>
        </w:rPr>
        <w:t xml:space="preserve"> 594 personas LGBT</w:t>
      </w:r>
      <w:r w:rsidR="005B338B">
        <w:rPr>
          <w:rFonts w:ascii="Arial" w:hAnsi="Arial" w:cs="Arial"/>
          <w:sz w:val="28"/>
          <w:szCs w:val="28"/>
        </w:rPr>
        <w:t>,</w:t>
      </w:r>
      <w:r w:rsidRPr="00832EA4">
        <w:rPr>
          <w:rFonts w:ascii="Arial" w:hAnsi="Arial" w:cs="Arial"/>
          <w:sz w:val="28"/>
          <w:szCs w:val="28"/>
        </w:rPr>
        <w:t xml:space="preserve"> o perci</w:t>
      </w:r>
      <w:r>
        <w:rPr>
          <w:rFonts w:ascii="Arial" w:hAnsi="Arial" w:cs="Arial"/>
          <w:sz w:val="28"/>
          <w:szCs w:val="28"/>
        </w:rPr>
        <w:t>bidas como tales</w:t>
      </w:r>
      <w:r w:rsidR="005B338B">
        <w:rPr>
          <w:rFonts w:ascii="Arial" w:hAnsi="Arial" w:cs="Arial"/>
          <w:sz w:val="28"/>
          <w:szCs w:val="28"/>
        </w:rPr>
        <w:t>,</w:t>
      </w:r>
      <w:r>
        <w:rPr>
          <w:rFonts w:ascii="Arial" w:hAnsi="Arial" w:cs="Arial"/>
          <w:sz w:val="28"/>
          <w:szCs w:val="28"/>
        </w:rPr>
        <w:t xml:space="preserve"> fueron</w:t>
      </w:r>
      <w:r w:rsidR="00795817">
        <w:rPr>
          <w:rFonts w:ascii="Arial" w:hAnsi="Arial" w:cs="Arial"/>
          <w:sz w:val="28"/>
          <w:szCs w:val="28"/>
        </w:rPr>
        <w:t xml:space="preserve"> </w:t>
      </w:r>
      <w:r w:rsidRPr="00832EA4">
        <w:rPr>
          <w:rFonts w:ascii="Arial" w:hAnsi="Arial" w:cs="Arial"/>
          <w:sz w:val="28"/>
          <w:szCs w:val="28"/>
        </w:rPr>
        <w:t xml:space="preserve">asesinadas en ataques aparentemente relacionados con </w:t>
      </w:r>
      <w:r>
        <w:rPr>
          <w:rFonts w:ascii="Arial" w:hAnsi="Arial" w:cs="Arial"/>
          <w:sz w:val="28"/>
          <w:szCs w:val="28"/>
        </w:rPr>
        <w:t xml:space="preserve">la percepción de su orientación </w:t>
      </w:r>
      <w:r w:rsidRPr="00832EA4">
        <w:rPr>
          <w:rFonts w:ascii="Arial" w:hAnsi="Arial" w:cs="Arial"/>
          <w:sz w:val="28"/>
          <w:szCs w:val="28"/>
        </w:rPr>
        <w:t>sexual o su identidad y expresión de género. Este n</w:t>
      </w:r>
      <w:r>
        <w:rPr>
          <w:rFonts w:ascii="Arial" w:hAnsi="Arial" w:cs="Arial"/>
          <w:sz w:val="28"/>
          <w:szCs w:val="28"/>
        </w:rPr>
        <w:t xml:space="preserve">úmero incluyó 283 asesinatos de </w:t>
      </w:r>
      <w:r w:rsidRPr="00832EA4">
        <w:rPr>
          <w:rFonts w:ascii="Arial" w:hAnsi="Arial" w:cs="Arial"/>
          <w:sz w:val="28"/>
          <w:szCs w:val="28"/>
        </w:rPr>
        <w:t>hombres gay, o percibidos como tales, y 282 asesinatos de muj</w:t>
      </w:r>
      <w:r>
        <w:rPr>
          <w:rFonts w:ascii="Arial" w:hAnsi="Arial" w:cs="Arial"/>
          <w:sz w:val="28"/>
          <w:szCs w:val="28"/>
        </w:rPr>
        <w:t xml:space="preserve">eres trans o personas </w:t>
      </w:r>
      <w:r w:rsidRPr="00832EA4">
        <w:rPr>
          <w:rFonts w:ascii="Arial" w:hAnsi="Arial" w:cs="Arial"/>
          <w:sz w:val="28"/>
          <w:szCs w:val="28"/>
        </w:rPr>
        <w:t>trans con expresión de género femenina.</w:t>
      </w:r>
      <w:r w:rsidR="005143C2">
        <w:rPr>
          <w:rStyle w:val="Refdenotaalpie"/>
          <w:rFonts w:ascii="Arial" w:hAnsi="Arial" w:cs="Arial"/>
          <w:sz w:val="28"/>
          <w:szCs w:val="28"/>
        </w:rPr>
        <w:footnoteReference w:id="6"/>
      </w:r>
      <w:r w:rsidRPr="00832EA4">
        <w:rPr>
          <w:rFonts w:ascii="Arial" w:hAnsi="Arial" w:cs="Arial"/>
          <w:sz w:val="28"/>
          <w:szCs w:val="28"/>
        </w:rPr>
        <w:t xml:space="preserve"> </w:t>
      </w:r>
    </w:p>
    <w:p w:rsidR="005B06E7" w:rsidRDefault="005B06E7" w:rsidP="00832EA4">
      <w:pPr>
        <w:spacing w:after="240" w:line="360" w:lineRule="auto"/>
        <w:jc w:val="both"/>
        <w:rPr>
          <w:rFonts w:ascii="Arial" w:hAnsi="Arial" w:cs="Arial"/>
          <w:sz w:val="28"/>
          <w:szCs w:val="28"/>
        </w:rPr>
      </w:pPr>
      <w:r>
        <w:rPr>
          <w:rFonts w:ascii="Arial" w:hAnsi="Arial" w:cs="Arial"/>
          <w:sz w:val="28"/>
          <w:szCs w:val="28"/>
        </w:rPr>
        <w:t>Del citado estudio, podemos concluir que las principales</w:t>
      </w:r>
      <w:r w:rsidR="00755DC1">
        <w:rPr>
          <w:rFonts w:ascii="Arial" w:hAnsi="Arial" w:cs="Arial"/>
          <w:sz w:val="28"/>
          <w:szCs w:val="28"/>
        </w:rPr>
        <w:t xml:space="preserve"> conductas delictivas que afectan a</w:t>
      </w:r>
      <w:r>
        <w:rPr>
          <w:rFonts w:ascii="Arial" w:hAnsi="Arial" w:cs="Arial"/>
          <w:sz w:val="28"/>
          <w:szCs w:val="28"/>
        </w:rPr>
        <w:t xml:space="preserve"> los grupos de la diversidad sexual son el homicidio en cualquiera de sus modalidades como el transhomicidio y el transfeminicidio, así como los asesinatos, las violaciones y las lesiones motivadas por el odio </w:t>
      </w:r>
      <w:r>
        <w:rPr>
          <w:rFonts w:ascii="Arial" w:hAnsi="Arial" w:cs="Arial"/>
          <w:sz w:val="28"/>
          <w:szCs w:val="28"/>
        </w:rPr>
        <w:lastRenderedPageBreak/>
        <w:t>y/o la discriminación en contra de las personas que se identifican o son percibidas como parte de la comunidad LGBTTTIQ+.</w:t>
      </w:r>
    </w:p>
    <w:p w:rsidR="004E3A1B" w:rsidRDefault="005B06E7" w:rsidP="00832EA4">
      <w:pPr>
        <w:spacing w:after="240" w:line="360" w:lineRule="auto"/>
        <w:jc w:val="both"/>
        <w:rPr>
          <w:rFonts w:ascii="Arial" w:hAnsi="Arial" w:cs="Arial"/>
          <w:sz w:val="28"/>
          <w:szCs w:val="28"/>
        </w:rPr>
      </w:pPr>
      <w:r>
        <w:rPr>
          <w:rFonts w:ascii="Arial" w:hAnsi="Arial" w:cs="Arial"/>
          <w:sz w:val="28"/>
          <w:szCs w:val="28"/>
        </w:rPr>
        <w:t>Es por estos motivos que se vuelve indispensable reflexionar</w:t>
      </w:r>
      <w:r w:rsidR="00795817">
        <w:rPr>
          <w:rFonts w:ascii="Arial" w:hAnsi="Arial" w:cs="Arial"/>
          <w:sz w:val="28"/>
          <w:szCs w:val="28"/>
        </w:rPr>
        <w:t xml:space="preserve"> sobre la problemática que viven las personas LGBTTTIQ+, en especial las personas trans, pues en nuestro país, se les mata por el simple hecho de expresar quienes son. La cultura machista sumada a la falta de instituciones </w:t>
      </w:r>
      <w:r w:rsidR="004E3A1B">
        <w:rPr>
          <w:rFonts w:ascii="Arial" w:hAnsi="Arial" w:cs="Arial"/>
          <w:sz w:val="28"/>
          <w:szCs w:val="28"/>
        </w:rPr>
        <w:t>que protejan de forma efectiva</w:t>
      </w:r>
      <w:r w:rsidR="00795817">
        <w:rPr>
          <w:rFonts w:ascii="Arial" w:hAnsi="Arial" w:cs="Arial"/>
          <w:sz w:val="28"/>
          <w:szCs w:val="28"/>
        </w:rPr>
        <w:t xml:space="preserve"> los derechos de este grupo</w:t>
      </w:r>
      <w:r w:rsidR="004E3A1B">
        <w:rPr>
          <w:rFonts w:ascii="Arial" w:hAnsi="Arial" w:cs="Arial"/>
          <w:sz w:val="28"/>
          <w:szCs w:val="28"/>
        </w:rPr>
        <w:t xml:space="preserve"> en situación de vulnerabilidad</w:t>
      </w:r>
      <w:r w:rsidR="00991B31">
        <w:rPr>
          <w:rFonts w:ascii="Arial" w:hAnsi="Arial" w:cs="Arial"/>
          <w:sz w:val="28"/>
          <w:szCs w:val="28"/>
        </w:rPr>
        <w:t>,</w:t>
      </w:r>
      <w:r w:rsidR="004E3A1B">
        <w:rPr>
          <w:rFonts w:ascii="Arial" w:hAnsi="Arial" w:cs="Arial"/>
          <w:sz w:val="28"/>
          <w:szCs w:val="28"/>
        </w:rPr>
        <w:t xml:space="preserve"> trae como consecuencia que los delitos cometidos en contra de ellos queden en la total impunidad.</w:t>
      </w:r>
    </w:p>
    <w:p w:rsidR="004E3A1B" w:rsidRDefault="004E3A1B" w:rsidP="00832EA4">
      <w:pPr>
        <w:spacing w:after="240" w:line="360" w:lineRule="auto"/>
        <w:jc w:val="both"/>
        <w:rPr>
          <w:rFonts w:ascii="Arial" w:hAnsi="Arial" w:cs="Arial"/>
          <w:sz w:val="28"/>
          <w:szCs w:val="28"/>
        </w:rPr>
      </w:pPr>
      <w:r>
        <w:rPr>
          <w:rFonts w:ascii="Arial" w:hAnsi="Arial" w:cs="Arial"/>
          <w:sz w:val="28"/>
          <w:szCs w:val="28"/>
        </w:rPr>
        <w:t>De ahí que la propuesta que someto ante este pleno el día de hoy tiene como finalidad reformar las normas penales existentes a fin de dar un marco jurídico que visibilice a las personas de la comunidad LGBTTTIQ+, reconociendo la grave problemática de la que son víctimas y estableciendo tipos penales específicos que contribuyan a maximizar la protección de este grupo frente a posibles agresiones y violen</w:t>
      </w:r>
      <w:r w:rsidR="00BB6972">
        <w:rPr>
          <w:rFonts w:ascii="Arial" w:hAnsi="Arial" w:cs="Arial"/>
          <w:sz w:val="28"/>
          <w:szCs w:val="28"/>
        </w:rPr>
        <w:t>cia en su contra.</w:t>
      </w:r>
    </w:p>
    <w:p w:rsidR="00755DC1" w:rsidRDefault="00755DC1" w:rsidP="00832EA4">
      <w:pPr>
        <w:spacing w:after="240" w:line="360" w:lineRule="auto"/>
        <w:jc w:val="both"/>
        <w:rPr>
          <w:rFonts w:ascii="Arial" w:hAnsi="Arial" w:cs="Arial"/>
          <w:sz w:val="28"/>
          <w:szCs w:val="28"/>
        </w:rPr>
      </w:pPr>
      <w:r>
        <w:rPr>
          <w:rFonts w:ascii="Arial" w:hAnsi="Arial" w:cs="Arial"/>
          <w:sz w:val="28"/>
          <w:szCs w:val="28"/>
        </w:rPr>
        <w:t xml:space="preserve">En la </w:t>
      </w:r>
      <w:r w:rsidR="005B06E7">
        <w:rPr>
          <w:rFonts w:ascii="Arial" w:hAnsi="Arial" w:cs="Arial"/>
          <w:sz w:val="28"/>
          <w:szCs w:val="28"/>
        </w:rPr>
        <w:t xml:space="preserve">propuesta legislativa se hace referencia al transhomicidio y al transfemincidio este último </w:t>
      </w:r>
      <w:r w:rsidR="00076CCD">
        <w:rPr>
          <w:rFonts w:ascii="Arial" w:hAnsi="Arial" w:cs="Arial"/>
          <w:sz w:val="28"/>
          <w:szCs w:val="28"/>
        </w:rPr>
        <w:t>definido</w:t>
      </w:r>
      <w:r w:rsidR="005B06E7">
        <w:rPr>
          <w:rFonts w:ascii="Arial" w:hAnsi="Arial" w:cs="Arial"/>
          <w:sz w:val="28"/>
          <w:szCs w:val="28"/>
        </w:rPr>
        <w:t xml:space="preserve"> ya como una categoría legal, en la recomendación 02/2019 de la Comisión de</w:t>
      </w:r>
      <w:r w:rsidR="00076CCD">
        <w:rPr>
          <w:rFonts w:ascii="Arial" w:hAnsi="Arial" w:cs="Arial"/>
          <w:sz w:val="28"/>
          <w:szCs w:val="28"/>
        </w:rPr>
        <w:t xml:space="preserve"> Derechos Humanos del Distrito Federal, como el asesinato de mujeres trans en una intersección de violencia transfóbica y misógina, que no admite que los roles,</w:t>
      </w:r>
      <w:r w:rsidR="00991B31">
        <w:rPr>
          <w:rFonts w:ascii="Arial" w:hAnsi="Arial" w:cs="Arial"/>
          <w:sz w:val="28"/>
          <w:szCs w:val="28"/>
        </w:rPr>
        <w:t xml:space="preserve"> </w:t>
      </w:r>
      <w:r w:rsidR="00076CCD">
        <w:rPr>
          <w:rFonts w:ascii="Arial" w:hAnsi="Arial" w:cs="Arial"/>
          <w:sz w:val="28"/>
          <w:szCs w:val="28"/>
        </w:rPr>
        <w:t xml:space="preserve">expresiones e identidades de género se distancien de la norma asignada al nacer, de la </w:t>
      </w:r>
      <w:r w:rsidR="00076CCD">
        <w:rPr>
          <w:rFonts w:ascii="Arial" w:hAnsi="Arial" w:cs="Arial"/>
          <w:sz w:val="28"/>
          <w:szCs w:val="28"/>
        </w:rPr>
        <w:lastRenderedPageBreak/>
        <w:t>expectativa impuesta, cometido por hombres y motivado por el odio el desprecio, placer o sentido de posesión hacia la mujer trans.</w:t>
      </w:r>
      <w:r w:rsidR="00076CCD">
        <w:rPr>
          <w:rStyle w:val="Refdenotaalpie"/>
          <w:rFonts w:ascii="Arial" w:hAnsi="Arial" w:cs="Arial"/>
          <w:sz w:val="28"/>
          <w:szCs w:val="28"/>
        </w:rPr>
        <w:footnoteReference w:id="7"/>
      </w:r>
    </w:p>
    <w:p w:rsidR="00076CCD" w:rsidRDefault="00076CCD" w:rsidP="00832EA4">
      <w:pPr>
        <w:spacing w:after="240" w:line="360" w:lineRule="auto"/>
        <w:jc w:val="both"/>
        <w:rPr>
          <w:rFonts w:ascii="Arial" w:hAnsi="Arial" w:cs="Arial"/>
          <w:sz w:val="28"/>
          <w:szCs w:val="28"/>
        </w:rPr>
      </w:pPr>
      <w:r>
        <w:rPr>
          <w:rFonts w:ascii="Arial" w:hAnsi="Arial" w:cs="Arial"/>
          <w:sz w:val="28"/>
          <w:szCs w:val="28"/>
        </w:rPr>
        <w:t>De igual manera, se reforman los artículos 184, 228 y 239 del Código Penal para establecer calificativas y agravantes a los delitos de violación, lesiones y homicidio, relacionadas con la calidad de la víctima cuando esta pertenezca a una orientación sexual, expresión o identidad de género distintas a la heteronormatividad.</w:t>
      </w:r>
      <w:r w:rsidR="000C3AA2">
        <w:rPr>
          <w:rFonts w:ascii="Arial" w:hAnsi="Arial" w:cs="Arial"/>
          <w:sz w:val="28"/>
          <w:szCs w:val="28"/>
        </w:rPr>
        <w:t xml:space="preserve"> </w:t>
      </w:r>
    </w:p>
    <w:p w:rsidR="000C3AA2" w:rsidRDefault="000C3AA2" w:rsidP="00832EA4">
      <w:pPr>
        <w:spacing w:after="240" w:line="360" w:lineRule="auto"/>
        <w:jc w:val="both"/>
        <w:rPr>
          <w:rFonts w:ascii="Arial" w:hAnsi="Arial" w:cs="Arial"/>
          <w:sz w:val="28"/>
          <w:szCs w:val="28"/>
        </w:rPr>
      </w:pPr>
      <w:r>
        <w:rPr>
          <w:rFonts w:ascii="Arial" w:hAnsi="Arial" w:cs="Arial"/>
          <w:sz w:val="28"/>
          <w:szCs w:val="28"/>
        </w:rPr>
        <w:t xml:space="preserve">Si bien es cierto que el artículo 184 del Código Penal ya establece en su fracción XIII, la expresión “preferencias sexuales” consideramos que </w:t>
      </w:r>
      <w:r w:rsidR="002E72A8">
        <w:rPr>
          <w:rFonts w:ascii="Arial" w:hAnsi="Arial" w:cs="Arial"/>
          <w:sz w:val="28"/>
          <w:szCs w:val="28"/>
        </w:rPr>
        <w:t>esta es insuficiente para tipificar</w:t>
      </w:r>
      <w:r>
        <w:rPr>
          <w:rFonts w:ascii="Arial" w:hAnsi="Arial" w:cs="Arial"/>
          <w:sz w:val="28"/>
          <w:szCs w:val="28"/>
        </w:rPr>
        <w:t xml:space="preserve"> la amplitud de manifestaciones no heteronormadas</w:t>
      </w:r>
      <w:r w:rsidR="002E72A8">
        <w:rPr>
          <w:rFonts w:ascii="Arial" w:hAnsi="Arial" w:cs="Arial"/>
          <w:sz w:val="28"/>
          <w:szCs w:val="28"/>
        </w:rPr>
        <w:t>, debido al</w:t>
      </w:r>
      <w:r>
        <w:rPr>
          <w:rFonts w:ascii="Arial" w:hAnsi="Arial" w:cs="Arial"/>
          <w:sz w:val="28"/>
          <w:szCs w:val="28"/>
        </w:rPr>
        <w:t xml:space="preserve"> hecho de que la heterosexualidad también es una prefere</w:t>
      </w:r>
      <w:r w:rsidR="002E72A8">
        <w:rPr>
          <w:rFonts w:ascii="Arial" w:hAnsi="Arial" w:cs="Arial"/>
          <w:sz w:val="28"/>
          <w:szCs w:val="28"/>
        </w:rPr>
        <w:t xml:space="preserve">ncia sexual, </w:t>
      </w:r>
      <w:r>
        <w:rPr>
          <w:rFonts w:ascii="Arial" w:hAnsi="Arial" w:cs="Arial"/>
          <w:sz w:val="28"/>
          <w:szCs w:val="28"/>
        </w:rPr>
        <w:t>no obstante, difícilmente una persona será asesinada o agredida por expresar su heterosexualidad</w:t>
      </w:r>
      <w:r w:rsidR="002E72A8">
        <w:rPr>
          <w:rFonts w:ascii="Arial" w:hAnsi="Arial" w:cs="Arial"/>
          <w:sz w:val="28"/>
          <w:szCs w:val="28"/>
        </w:rPr>
        <w:t>, por lo que, de dejarlo así, no tendría sentido qu</w:t>
      </w:r>
      <w:r w:rsidR="00B76E46">
        <w:rPr>
          <w:rFonts w:ascii="Arial" w:hAnsi="Arial" w:cs="Arial"/>
          <w:sz w:val="28"/>
          <w:szCs w:val="28"/>
        </w:rPr>
        <w:t>e se estableciera como calificativa</w:t>
      </w:r>
      <w:r>
        <w:rPr>
          <w:rFonts w:ascii="Arial" w:hAnsi="Arial" w:cs="Arial"/>
          <w:sz w:val="28"/>
          <w:szCs w:val="28"/>
        </w:rPr>
        <w:t xml:space="preserve">. </w:t>
      </w:r>
      <w:r w:rsidR="002E72A8">
        <w:rPr>
          <w:rFonts w:ascii="Arial" w:hAnsi="Arial" w:cs="Arial"/>
          <w:sz w:val="28"/>
          <w:szCs w:val="28"/>
        </w:rPr>
        <w:t>De ahí que considere</w:t>
      </w:r>
      <w:r>
        <w:rPr>
          <w:rFonts w:ascii="Arial" w:hAnsi="Arial" w:cs="Arial"/>
          <w:sz w:val="28"/>
          <w:szCs w:val="28"/>
        </w:rPr>
        <w:t>mos importante incluir dentro de este artículo las categorías de orientación sexual, expresión de género e identidad de género con la finalidad de visibilizar las todas aquellas minorías que no se identifican como heterosexuales.</w:t>
      </w:r>
    </w:p>
    <w:p w:rsidR="00076CCD" w:rsidRDefault="000C3AA2" w:rsidP="00832EA4">
      <w:pPr>
        <w:spacing w:after="240" w:line="360" w:lineRule="auto"/>
        <w:jc w:val="both"/>
        <w:rPr>
          <w:rFonts w:ascii="Arial" w:hAnsi="Arial" w:cs="Arial"/>
          <w:sz w:val="28"/>
          <w:szCs w:val="28"/>
        </w:rPr>
      </w:pPr>
      <w:r>
        <w:rPr>
          <w:rFonts w:ascii="Arial" w:hAnsi="Arial" w:cs="Arial"/>
          <w:sz w:val="28"/>
          <w:szCs w:val="28"/>
        </w:rPr>
        <w:t>Del mismo modo, con</w:t>
      </w:r>
      <w:r w:rsidR="00076CCD">
        <w:rPr>
          <w:rFonts w:ascii="Arial" w:hAnsi="Arial" w:cs="Arial"/>
          <w:sz w:val="28"/>
          <w:szCs w:val="28"/>
        </w:rPr>
        <w:t xml:space="preserve"> estas reformas buscamos que las personas de la diversidad sexual tengan leyes más justas que permitan sancionar de manera efectiva </w:t>
      </w:r>
      <w:r w:rsidR="005143C2">
        <w:rPr>
          <w:rFonts w:ascii="Arial" w:hAnsi="Arial" w:cs="Arial"/>
          <w:sz w:val="28"/>
          <w:szCs w:val="28"/>
        </w:rPr>
        <w:t xml:space="preserve">las conductas delictivas que se cometan en su contra y al </w:t>
      </w:r>
      <w:r w:rsidR="005143C2">
        <w:rPr>
          <w:rFonts w:ascii="Arial" w:hAnsi="Arial" w:cs="Arial"/>
          <w:sz w:val="28"/>
          <w:szCs w:val="28"/>
        </w:rPr>
        <w:lastRenderedPageBreak/>
        <w:t>mismo tiempo evitar cualquier laguna o vacío legal que permita que tales crímenes queden impunes.</w:t>
      </w:r>
    </w:p>
    <w:p w:rsidR="00F97D17" w:rsidRPr="002A5F2B" w:rsidRDefault="00F97D17" w:rsidP="00F97D17">
      <w:pPr>
        <w:spacing w:after="240" w:line="360" w:lineRule="auto"/>
        <w:jc w:val="both"/>
        <w:rPr>
          <w:rFonts w:ascii="Arial" w:hAnsi="Arial" w:cs="Arial"/>
          <w:sz w:val="28"/>
          <w:szCs w:val="28"/>
        </w:rPr>
      </w:pPr>
      <w:r w:rsidRPr="0054225F">
        <w:rPr>
          <w:rFonts w:ascii="Arial" w:hAnsi="Arial" w:cs="Arial"/>
          <w:sz w:val="28"/>
          <w:szCs w:val="28"/>
        </w:rPr>
        <w:t>Por estas razones y con fundamento en lo dispuesto por los artículos 59 fracción I, 60 y 67 fracción I de la Constitución Política del Estado de Coahuila, así como 21 fracción IV, 152 fracción I y demás relativos de la Ley Orgánica del Congreso del Estado Independiente, Libre y Soberano de Coahuila de Zaragoza, se presenta ante este H. Congreso del Estado, la siguiente:</w:t>
      </w:r>
    </w:p>
    <w:p w:rsidR="00373D09" w:rsidRDefault="00373D09" w:rsidP="00BF7E4A">
      <w:pPr>
        <w:spacing w:after="240" w:line="360" w:lineRule="auto"/>
        <w:jc w:val="center"/>
        <w:rPr>
          <w:rFonts w:ascii="Arial" w:hAnsi="Arial" w:cs="Arial"/>
          <w:b/>
          <w:sz w:val="28"/>
          <w:szCs w:val="28"/>
        </w:rPr>
      </w:pPr>
      <w:r w:rsidRPr="002A5F2B">
        <w:rPr>
          <w:rFonts w:ascii="Arial" w:hAnsi="Arial" w:cs="Arial"/>
          <w:b/>
          <w:sz w:val="28"/>
          <w:szCs w:val="28"/>
        </w:rPr>
        <w:t>INICIATIVA CON PROYECTO DE DECRETO</w:t>
      </w:r>
    </w:p>
    <w:p w:rsidR="00743E63" w:rsidRDefault="00AB38B0" w:rsidP="00743E63">
      <w:pPr>
        <w:spacing w:after="240" w:line="360" w:lineRule="auto"/>
        <w:jc w:val="both"/>
        <w:rPr>
          <w:rFonts w:ascii="Arial" w:hAnsi="Arial" w:cs="Arial"/>
          <w:sz w:val="28"/>
          <w:szCs w:val="28"/>
        </w:rPr>
      </w:pPr>
      <w:r>
        <w:rPr>
          <w:rFonts w:ascii="Arial" w:hAnsi="Arial" w:cs="Arial"/>
          <w:b/>
          <w:sz w:val="28"/>
          <w:szCs w:val="28"/>
        </w:rPr>
        <w:t>PRIMER</w:t>
      </w:r>
      <w:r w:rsidR="00743E63">
        <w:rPr>
          <w:rFonts w:ascii="Arial" w:hAnsi="Arial" w:cs="Arial"/>
          <w:b/>
          <w:sz w:val="28"/>
          <w:szCs w:val="28"/>
        </w:rPr>
        <w:t xml:space="preserve">O.- </w:t>
      </w:r>
      <w:r w:rsidR="00743E63">
        <w:rPr>
          <w:rFonts w:ascii="Arial" w:hAnsi="Arial" w:cs="Arial"/>
          <w:sz w:val="28"/>
          <w:szCs w:val="28"/>
        </w:rPr>
        <w:t xml:space="preserve"> Se</w:t>
      </w:r>
      <w:r>
        <w:rPr>
          <w:rFonts w:ascii="Arial" w:eastAsia="Times New Roman" w:hAnsi="Arial" w:cs="Arial"/>
          <w:sz w:val="28"/>
          <w:szCs w:val="28"/>
          <w:lang w:val="es-ES_tradnl" w:eastAsia="es-ES"/>
        </w:rPr>
        <w:t xml:space="preserve"> reforman artículos 91 fracción IV, 188 fracción XIII, 228 fracción VII, y 239 </w:t>
      </w:r>
      <w:r w:rsidR="00BB6972">
        <w:rPr>
          <w:rFonts w:ascii="Arial" w:eastAsia="Times New Roman" w:hAnsi="Arial" w:cs="Arial"/>
          <w:sz w:val="28"/>
          <w:szCs w:val="28"/>
          <w:lang w:val="es-ES_tradnl" w:eastAsia="es-ES"/>
        </w:rPr>
        <w:t>del Código Penal del Estado de Coahuila de Zaragoza</w:t>
      </w:r>
      <w:r w:rsidR="00743E63" w:rsidRPr="002A5F2B">
        <w:rPr>
          <w:rFonts w:ascii="Arial" w:hAnsi="Arial" w:cs="Arial"/>
          <w:sz w:val="28"/>
          <w:szCs w:val="28"/>
        </w:rPr>
        <w:t>,</w:t>
      </w:r>
      <w:r w:rsidR="00743E63">
        <w:rPr>
          <w:rFonts w:ascii="Arial" w:hAnsi="Arial" w:cs="Arial"/>
          <w:sz w:val="28"/>
          <w:szCs w:val="28"/>
        </w:rPr>
        <w:t xml:space="preserve"> para quedar como sigue</w:t>
      </w:r>
      <w:r w:rsidR="00BB6972">
        <w:rPr>
          <w:rFonts w:ascii="Arial" w:hAnsi="Arial" w:cs="Arial"/>
          <w:sz w:val="28"/>
          <w:szCs w:val="28"/>
        </w:rPr>
        <w:t>n</w:t>
      </w:r>
      <w:r w:rsidR="00743E63">
        <w:rPr>
          <w:rFonts w:ascii="Arial" w:hAnsi="Arial" w:cs="Arial"/>
          <w:sz w:val="28"/>
          <w:szCs w:val="28"/>
        </w:rPr>
        <w:t>:</w:t>
      </w:r>
    </w:p>
    <w:p w:rsidR="00755DC1" w:rsidRPr="00755DC1" w:rsidRDefault="00755DC1" w:rsidP="00D348F7">
      <w:pPr>
        <w:spacing w:after="240" w:line="240" w:lineRule="auto"/>
        <w:ind w:left="720"/>
        <w:jc w:val="both"/>
        <w:rPr>
          <w:rFonts w:ascii="Arial" w:hAnsi="Arial" w:cs="Arial"/>
          <w:b/>
          <w:sz w:val="28"/>
          <w:szCs w:val="28"/>
        </w:rPr>
      </w:pPr>
      <w:r w:rsidRPr="00755DC1">
        <w:rPr>
          <w:rFonts w:ascii="Arial" w:hAnsi="Arial" w:cs="Arial"/>
          <w:b/>
          <w:sz w:val="28"/>
          <w:szCs w:val="28"/>
        </w:rPr>
        <w:t>Artículo 91 (Reglas para fijar el marco punible de la pena de prisión) Para fijar el marco legal punible de la pena de prisión aplicable para el delito de que se trate, el juez o tribunal atenderá:</w:t>
      </w:r>
    </w:p>
    <w:p w:rsidR="00755DC1" w:rsidRPr="00755DC1" w:rsidRDefault="00755DC1" w:rsidP="00D348F7">
      <w:pPr>
        <w:spacing w:after="240" w:line="240" w:lineRule="auto"/>
        <w:ind w:left="720"/>
        <w:jc w:val="both"/>
        <w:rPr>
          <w:rFonts w:ascii="Arial" w:hAnsi="Arial" w:cs="Arial"/>
          <w:b/>
          <w:sz w:val="28"/>
          <w:szCs w:val="28"/>
        </w:rPr>
      </w:pPr>
      <w:r w:rsidRPr="00755DC1">
        <w:rPr>
          <w:rFonts w:ascii="Arial" w:hAnsi="Arial" w:cs="Arial"/>
          <w:b/>
          <w:sz w:val="28"/>
          <w:szCs w:val="28"/>
        </w:rPr>
        <w:t>I…</w:t>
      </w:r>
    </w:p>
    <w:p w:rsidR="00755DC1" w:rsidRPr="00755DC1" w:rsidRDefault="00755DC1" w:rsidP="00D348F7">
      <w:pPr>
        <w:spacing w:after="240" w:line="240" w:lineRule="auto"/>
        <w:ind w:left="720"/>
        <w:jc w:val="both"/>
        <w:rPr>
          <w:rFonts w:ascii="Arial" w:hAnsi="Arial" w:cs="Arial"/>
          <w:b/>
          <w:sz w:val="28"/>
          <w:szCs w:val="28"/>
        </w:rPr>
      </w:pPr>
      <w:r w:rsidRPr="00755DC1">
        <w:rPr>
          <w:rFonts w:ascii="Arial" w:hAnsi="Arial" w:cs="Arial"/>
          <w:b/>
          <w:sz w:val="28"/>
          <w:szCs w:val="28"/>
        </w:rPr>
        <w:t>IV. (Punibilidad de tipos penales complementados y privilegiados)</w:t>
      </w:r>
    </w:p>
    <w:p w:rsidR="00755DC1" w:rsidRPr="00755DC1" w:rsidRDefault="00755DC1" w:rsidP="00D348F7">
      <w:pPr>
        <w:spacing w:after="240" w:line="240" w:lineRule="auto"/>
        <w:ind w:left="720"/>
        <w:jc w:val="both"/>
        <w:rPr>
          <w:rFonts w:ascii="Arial" w:hAnsi="Arial" w:cs="Arial"/>
          <w:sz w:val="28"/>
          <w:szCs w:val="28"/>
        </w:rPr>
      </w:pPr>
      <w:r w:rsidRPr="00755DC1">
        <w:rPr>
          <w:rFonts w:ascii="Arial" w:hAnsi="Arial" w:cs="Arial"/>
          <w:sz w:val="28"/>
          <w:szCs w:val="28"/>
        </w:rPr>
        <w:t>Los tipos penales complementados no admiten las circunstanc</w:t>
      </w:r>
      <w:r>
        <w:rPr>
          <w:rFonts w:ascii="Arial" w:hAnsi="Arial" w:cs="Arial"/>
          <w:sz w:val="28"/>
          <w:szCs w:val="28"/>
        </w:rPr>
        <w:t xml:space="preserve">ias calificativas o modalidades </w:t>
      </w:r>
      <w:r w:rsidRPr="00755DC1">
        <w:rPr>
          <w:rFonts w:ascii="Arial" w:hAnsi="Arial" w:cs="Arial"/>
          <w:sz w:val="28"/>
          <w:szCs w:val="28"/>
        </w:rPr>
        <w:t>agravantes que la ley vincule al tipo penal básico del delito de que se trate, las cuales si concurren</w:t>
      </w:r>
      <w:r>
        <w:rPr>
          <w:rFonts w:ascii="Arial" w:hAnsi="Arial" w:cs="Arial"/>
          <w:sz w:val="28"/>
          <w:szCs w:val="28"/>
        </w:rPr>
        <w:t xml:space="preserve"> </w:t>
      </w:r>
      <w:r w:rsidRPr="00755DC1">
        <w:rPr>
          <w:rFonts w:ascii="Arial" w:hAnsi="Arial" w:cs="Arial"/>
          <w:sz w:val="28"/>
          <w:szCs w:val="28"/>
        </w:rPr>
        <w:t>excluirán la aplicación del tipo penal complementado, y el aume</w:t>
      </w:r>
      <w:r>
        <w:rPr>
          <w:rFonts w:ascii="Arial" w:hAnsi="Arial" w:cs="Arial"/>
          <w:sz w:val="28"/>
          <w:szCs w:val="28"/>
        </w:rPr>
        <w:t xml:space="preserve">nto de pena que corresponda por </w:t>
      </w:r>
      <w:r w:rsidRPr="00755DC1">
        <w:rPr>
          <w:rFonts w:ascii="Arial" w:hAnsi="Arial" w:cs="Arial"/>
          <w:sz w:val="28"/>
          <w:szCs w:val="28"/>
        </w:rPr>
        <w:t>aquéllas, se hará a partir del marco punible del tipo básico.</w:t>
      </w:r>
    </w:p>
    <w:p w:rsidR="00755DC1" w:rsidRPr="00755DC1" w:rsidRDefault="00755DC1" w:rsidP="00D348F7">
      <w:pPr>
        <w:spacing w:after="240" w:line="240" w:lineRule="auto"/>
        <w:ind w:left="720"/>
        <w:jc w:val="both"/>
        <w:rPr>
          <w:rFonts w:ascii="Arial" w:hAnsi="Arial" w:cs="Arial"/>
          <w:sz w:val="28"/>
          <w:szCs w:val="28"/>
        </w:rPr>
      </w:pPr>
      <w:r w:rsidRPr="00755DC1">
        <w:rPr>
          <w:rFonts w:ascii="Arial" w:hAnsi="Arial" w:cs="Arial"/>
          <w:sz w:val="28"/>
          <w:szCs w:val="28"/>
        </w:rPr>
        <w:lastRenderedPageBreak/>
        <w:t>Se excluye de la regla del p</w:t>
      </w:r>
      <w:r>
        <w:rPr>
          <w:rFonts w:ascii="Arial" w:hAnsi="Arial" w:cs="Arial"/>
          <w:sz w:val="28"/>
          <w:szCs w:val="28"/>
        </w:rPr>
        <w:t xml:space="preserve">árrafo precedente al feminicidio, </w:t>
      </w:r>
      <w:r w:rsidRPr="00755DC1">
        <w:rPr>
          <w:rFonts w:ascii="Arial" w:hAnsi="Arial" w:cs="Arial"/>
          <w:b/>
          <w:sz w:val="28"/>
          <w:szCs w:val="28"/>
        </w:rPr>
        <w:t xml:space="preserve">al transhomicidio y al transfeminicidio, mismos </w:t>
      </w:r>
      <w:r>
        <w:rPr>
          <w:rFonts w:ascii="Arial" w:hAnsi="Arial" w:cs="Arial"/>
          <w:sz w:val="28"/>
          <w:szCs w:val="28"/>
        </w:rPr>
        <w:t xml:space="preserve">que se concretarán con </w:t>
      </w:r>
      <w:r w:rsidRPr="00755DC1">
        <w:rPr>
          <w:rFonts w:ascii="Arial" w:hAnsi="Arial" w:cs="Arial"/>
          <w:sz w:val="28"/>
          <w:szCs w:val="28"/>
        </w:rPr>
        <w:t>independencia de que en su comisión concurran o no una o más circuns</w:t>
      </w:r>
      <w:r>
        <w:rPr>
          <w:rFonts w:ascii="Arial" w:hAnsi="Arial" w:cs="Arial"/>
          <w:sz w:val="28"/>
          <w:szCs w:val="28"/>
        </w:rPr>
        <w:t xml:space="preserve">tancias calificativas previstas </w:t>
      </w:r>
      <w:r w:rsidRPr="00755DC1">
        <w:rPr>
          <w:rFonts w:ascii="Arial" w:hAnsi="Arial" w:cs="Arial"/>
          <w:sz w:val="28"/>
          <w:szCs w:val="28"/>
        </w:rPr>
        <w:t>para el homicidio doloso, las que, en su caso, solo podrán tomarse en c</w:t>
      </w:r>
      <w:r>
        <w:rPr>
          <w:rFonts w:ascii="Arial" w:hAnsi="Arial" w:cs="Arial"/>
          <w:sz w:val="28"/>
          <w:szCs w:val="28"/>
        </w:rPr>
        <w:t xml:space="preserve">uenta al individualizar la pena </w:t>
      </w:r>
      <w:r w:rsidRPr="00755DC1">
        <w:rPr>
          <w:rFonts w:ascii="Arial" w:hAnsi="Arial" w:cs="Arial"/>
          <w:sz w:val="28"/>
          <w:szCs w:val="28"/>
        </w:rPr>
        <w:t>de prisión.</w:t>
      </w:r>
    </w:p>
    <w:p w:rsidR="00755DC1" w:rsidRPr="00755DC1" w:rsidRDefault="00755DC1" w:rsidP="00D348F7">
      <w:pPr>
        <w:spacing w:line="240" w:lineRule="auto"/>
        <w:ind w:left="720"/>
        <w:rPr>
          <w:rFonts w:ascii="Arial" w:hAnsi="Arial" w:cs="Arial"/>
          <w:b/>
          <w:sz w:val="28"/>
          <w:szCs w:val="28"/>
        </w:rPr>
      </w:pPr>
      <w:r w:rsidRPr="00755DC1">
        <w:rPr>
          <w:rFonts w:ascii="Arial" w:hAnsi="Arial" w:cs="Arial"/>
          <w:b/>
          <w:sz w:val="28"/>
          <w:szCs w:val="28"/>
        </w:rPr>
        <w:t>Artículo 184 (Homicidio calificado)</w:t>
      </w:r>
    </w:p>
    <w:p w:rsidR="00755DC1" w:rsidRPr="00755DC1" w:rsidRDefault="00755DC1" w:rsidP="00D348F7">
      <w:pPr>
        <w:spacing w:line="240" w:lineRule="auto"/>
        <w:ind w:left="720"/>
        <w:rPr>
          <w:rFonts w:ascii="Arial" w:hAnsi="Arial" w:cs="Arial"/>
          <w:sz w:val="28"/>
          <w:szCs w:val="28"/>
        </w:rPr>
      </w:pPr>
      <w:r w:rsidRPr="00755DC1">
        <w:rPr>
          <w:rFonts w:ascii="Arial" w:hAnsi="Arial" w:cs="Arial"/>
          <w:sz w:val="28"/>
          <w:szCs w:val="28"/>
        </w:rPr>
        <w:t>El homicidio doloso será calificado cuando se cometa con una o más de las circunstancias siguientes:</w:t>
      </w:r>
    </w:p>
    <w:p w:rsidR="00755DC1" w:rsidRPr="00755DC1" w:rsidRDefault="00755DC1" w:rsidP="00D348F7">
      <w:pPr>
        <w:spacing w:line="240" w:lineRule="auto"/>
        <w:ind w:left="720"/>
        <w:rPr>
          <w:rFonts w:ascii="Arial" w:hAnsi="Arial" w:cs="Arial"/>
          <w:sz w:val="28"/>
          <w:szCs w:val="28"/>
        </w:rPr>
      </w:pPr>
      <w:r w:rsidRPr="00755DC1">
        <w:rPr>
          <w:rFonts w:ascii="Arial" w:hAnsi="Arial" w:cs="Arial"/>
          <w:sz w:val="28"/>
          <w:szCs w:val="28"/>
        </w:rPr>
        <w:t>I…</w:t>
      </w:r>
    </w:p>
    <w:p w:rsidR="00755DC1" w:rsidRPr="00755DC1" w:rsidRDefault="00755DC1" w:rsidP="00D348F7">
      <w:pPr>
        <w:spacing w:line="240" w:lineRule="auto"/>
        <w:ind w:left="720"/>
        <w:rPr>
          <w:rFonts w:ascii="Arial" w:hAnsi="Arial" w:cs="Arial"/>
          <w:sz w:val="28"/>
          <w:szCs w:val="28"/>
        </w:rPr>
      </w:pPr>
      <w:r w:rsidRPr="00755DC1">
        <w:rPr>
          <w:rFonts w:ascii="Arial" w:hAnsi="Arial" w:cs="Arial"/>
          <w:sz w:val="28"/>
          <w:szCs w:val="28"/>
        </w:rPr>
        <w:t>XIII. (Por calidad de la víctima)</w:t>
      </w:r>
    </w:p>
    <w:p w:rsidR="00755DC1" w:rsidRDefault="00755DC1" w:rsidP="00D348F7">
      <w:pPr>
        <w:spacing w:line="240" w:lineRule="auto"/>
        <w:ind w:left="720"/>
        <w:jc w:val="both"/>
        <w:rPr>
          <w:rFonts w:ascii="Arial" w:hAnsi="Arial" w:cs="Arial"/>
          <w:sz w:val="28"/>
          <w:szCs w:val="28"/>
        </w:rPr>
      </w:pPr>
      <w:r w:rsidRPr="00755DC1">
        <w:rPr>
          <w:rFonts w:ascii="Arial" w:hAnsi="Arial" w:cs="Arial"/>
          <w:sz w:val="28"/>
          <w:szCs w:val="28"/>
        </w:rPr>
        <w:t xml:space="preserve"> Cuando el agente cometa el homicidio por la condición social o económica de la víctima, o por su vinculación, pertenencia o relación con un grupo social definido; o por su origen étnico, su nacionalidad o lugar de origen, o por su color o cualquier otra característica genética; o por su religión, edad, opiniones, discapacidad, condiciones de salud, apariencia física, </w:t>
      </w:r>
      <w:r w:rsidRPr="00755DC1">
        <w:rPr>
          <w:rFonts w:ascii="Arial" w:hAnsi="Arial" w:cs="Arial"/>
          <w:b/>
          <w:i/>
          <w:sz w:val="28"/>
          <w:szCs w:val="28"/>
        </w:rPr>
        <w:t>orientación o</w:t>
      </w:r>
      <w:r w:rsidR="002E72A8">
        <w:rPr>
          <w:rFonts w:ascii="Arial" w:hAnsi="Arial" w:cs="Arial"/>
          <w:sz w:val="28"/>
          <w:szCs w:val="28"/>
        </w:rPr>
        <w:t xml:space="preserve"> preferencia</w:t>
      </w:r>
      <w:r w:rsidR="00B76E46">
        <w:rPr>
          <w:rFonts w:ascii="Arial" w:hAnsi="Arial" w:cs="Arial"/>
          <w:sz w:val="28"/>
          <w:szCs w:val="28"/>
        </w:rPr>
        <w:t>s</w:t>
      </w:r>
      <w:r w:rsidR="002E72A8">
        <w:rPr>
          <w:rFonts w:ascii="Arial" w:hAnsi="Arial" w:cs="Arial"/>
          <w:sz w:val="28"/>
          <w:szCs w:val="28"/>
        </w:rPr>
        <w:t xml:space="preserve"> sexual</w:t>
      </w:r>
      <w:r w:rsidR="00B76E46">
        <w:rPr>
          <w:rFonts w:ascii="Arial" w:hAnsi="Arial" w:cs="Arial"/>
          <w:sz w:val="28"/>
          <w:szCs w:val="28"/>
        </w:rPr>
        <w:t>es</w:t>
      </w:r>
      <w:r w:rsidR="002E72A8">
        <w:rPr>
          <w:rFonts w:ascii="Arial" w:hAnsi="Arial" w:cs="Arial"/>
          <w:sz w:val="28"/>
          <w:szCs w:val="28"/>
        </w:rPr>
        <w:t xml:space="preserve"> </w:t>
      </w:r>
      <w:r w:rsidR="002E72A8">
        <w:rPr>
          <w:rFonts w:ascii="Arial" w:hAnsi="Arial" w:cs="Arial"/>
          <w:b/>
          <w:sz w:val="28"/>
          <w:szCs w:val="28"/>
        </w:rPr>
        <w:t>no heteronormadas</w:t>
      </w:r>
      <w:r w:rsidRPr="00755DC1">
        <w:rPr>
          <w:rFonts w:ascii="Arial" w:hAnsi="Arial" w:cs="Arial"/>
          <w:i/>
          <w:sz w:val="28"/>
          <w:szCs w:val="28"/>
        </w:rPr>
        <w:t xml:space="preserve">, </w:t>
      </w:r>
      <w:r w:rsidRPr="00755DC1">
        <w:rPr>
          <w:rFonts w:ascii="Arial" w:hAnsi="Arial" w:cs="Arial"/>
          <w:b/>
          <w:i/>
          <w:sz w:val="28"/>
          <w:szCs w:val="28"/>
        </w:rPr>
        <w:t>identidad o expresión de género,</w:t>
      </w:r>
      <w:r w:rsidRPr="00755DC1">
        <w:rPr>
          <w:rFonts w:ascii="Arial" w:hAnsi="Arial" w:cs="Arial"/>
          <w:b/>
          <w:sz w:val="28"/>
          <w:szCs w:val="28"/>
        </w:rPr>
        <w:t xml:space="preserve"> </w:t>
      </w:r>
      <w:r w:rsidRPr="00755DC1">
        <w:rPr>
          <w:rFonts w:ascii="Arial" w:hAnsi="Arial" w:cs="Arial"/>
          <w:sz w:val="28"/>
          <w:szCs w:val="28"/>
        </w:rPr>
        <w:t>estado civil u ocupación, o en función de la clase de actividad profesional de la víctima, en especial dentro del periodismo, o porque aquélla auxilie o colabore con alguna institución de seguridad pública, o en razón de que la víctima labore en alguna institución de seguridad pública estatal o municipal, o en otra institución o dependencia oficial que actúe en auxilio de las mismas, o en contra de testigos en razón del testimonio que vayan a rendir o hayan rendido en procedimiento o juicio, o bien, en razón de las funciones de la víctima como juez, magistrado o magistrada, o servidor público del poder judicial.</w:t>
      </w:r>
    </w:p>
    <w:p w:rsidR="00AB38B0" w:rsidRPr="00755DC1" w:rsidRDefault="00AB38B0" w:rsidP="00D348F7">
      <w:pPr>
        <w:spacing w:line="240" w:lineRule="auto"/>
        <w:ind w:left="720"/>
        <w:jc w:val="both"/>
        <w:rPr>
          <w:rFonts w:ascii="Arial" w:hAnsi="Arial" w:cs="Arial"/>
          <w:sz w:val="28"/>
          <w:szCs w:val="28"/>
        </w:rPr>
      </w:pPr>
    </w:p>
    <w:p w:rsidR="00755DC1" w:rsidRPr="00755DC1" w:rsidRDefault="00755DC1" w:rsidP="00D348F7">
      <w:pPr>
        <w:spacing w:line="240" w:lineRule="auto"/>
        <w:ind w:left="765"/>
        <w:jc w:val="both"/>
        <w:rPr>
          <w:rFonts w:ascii="Arial" w:hAnsi="Arial" w:cs="Arial"/>
          <w:b/>
          <w:sz w:val="28"/>
          <w:szCs w:val="28"/>
        </w:rPr>
      </w:pPr>
      <w:r w:rsidRPr="00755DC1">
        <w:rPr>
          <w:rFonts w:ascii="Arial" w:hAnsi="Arial" w:cs="Arial"/>
          <w:b/>
          <w:sz w:val="28"/>
          <w:szCs w:val="28"/>
        </w:rPr>
        <w:t>Artículo 228 (Otras modalidades agravantes de los delitos previstos en los artículos 224 al 227 de este código)</w:t>
      </w:r>
    </w:p>
    <w:p w:rsidR="00755DC1" w:rsidRPr="00755DC1" w:rsidRDefault="00755DC1" w:rsidP="00D348F7">
      <w:pPr>
        <w:spacing w:line="240" w:lineRule="auto"/>
        <w:ind w:left="765"/>
        <w:jc w:val="both"/>
        <w:rPr>
          <w:rFonts w:ascii="Arial" w:hAnsi="Arial" w:cs="Arial"/>
          <w:sz w:val="28"/>
          <w:szCs w:val="28"/>
        </w:rPr>
      </w:pPr>
      <w:r w:rsidRPr="00755DC1">
        <w:rPr>
          <w:rFonts w:ascii="Arial" w:hAnsi="Arial" w:cs="Arial"/>
          <w:sz w:val="28"/>
          <w:szCs w:val="28"/>
        </w:rPr>
        <w:lastRenderedPageBreak/>
        <w:t>Se aumentará en una mitad los mínimos y máximo de las penas previstas para los delitos contemplados en los artículos 224 al 227 de este código, cuando en cualquiera de ellos concurra alguna de las modalidades siguientes:</w:t>
      </w:r>
    </w:p>
    <w:p w:rsidR="00755DC1" w:rsidRPr="00755DC1" w:rsidRDefault="00755DC1" w:rsidP="00D348F7">
      <w:pPr>
        <w:spacing w:line="240" w:lineRule="auto"/>
        <w:ind w:left="765"/>
        <w:jc w:val="both"/>
        <w:rPr>
          <w:rFonts w:ascii="Arial" w:hAnsi="Arial" w:cs="Arial"/>
          <w:sz w:val="28"/>
          <w:szCs w:val="28"/>
        </w:rPr>
      </w:pPr>
      <w:r w:rsidRPr="00755DC1">
        <w:rPr>
          <w:rFonts w:ascii="Arial" w:hAnsi="Arial" w:cs="Arial"/>
          <w:sz w:val="28"/>
          <w:szCs w:val="28"/>
        </w:rPr>
        <w:t>I…</w:t>
      </w:r>
    </w:p>
    <w:p w:rsidR="00755DC1" w:rsidRPr="00755DC1" w:rsidRDefault="00755DC1" w:rsidP="00D348F7">
      <w:pPr>
        <w:spacing w:line="240" w:lineRule="auto"/>
        <w:ind w:left="720"/>
        <w:jc w:val="both"/>
        <w:rPr>
          <w:rFonts w:ascii="Arial" w:hAnsi="Arial" w:cs="Arial"/>
          <w:b/>
          <w:i/>
          <w:sz w:val="28"/>
          <w:szCs w:val="28"/>
        </w:rPr>
      </w:pPr>
      <w:r w:rsidRPr="00755DC1">
        <w:rPr>
          <w:rFonts w:ascii="Arial" w:hAnsi="Arial" w:cs="Arial"/>
          <w:b/>
          <w:i/>
          <w:sz w:val="28"/>
          <w:szCs w:val="28"/>
        </w:rPr>
        <w:t xml:space="preserve">VII. (Por la calidad de la víctima) </w:t>
      </w:r>
    </w:p>
    <w:p w:rsidR="00755DC1" w:rsidRPr="00755DC1" w:rsidRDefault="00755DC1" w:rsidP="00D348F7">
      <w:pPr>
        <w:spacing w:line="240" w:lineRule="auto"/>
        <w:ind w:left="720"/>
        <w:jc w:val="both"/>
        <w:rPr>
          <w:rFonts w:ascii="Arial" w:hAnsi="Arial" w:cs="Arial"/>
          <w:b/>
          <w:i/>
          <w:sz w:val="28"/>
          <w:szCs w:val="28"/>
        </w:rPr>
      </w:pPr>
      <w:r w:rsidRPr="00755DC1">
        <w:rPr>
          <w:rFonts w:ascii="Arial" w:hAnsi="Arial" w:cs="Arial"/>
          <w:b/>
          <w:i/>
          <w:sz w:val="28"/>
          <w:szCs w:val="28"/>
        </w:rPr>
        <w:t>Cuando el sujeto pasivo del delito, se identifique, auto adscriba, exprese su identidad o sea percibido como homosexual, lesbiana, bisexual, transexual, transgénero, travesti, o intersexual o cualquier otra orientación sexual, id</w:t>
      </w:r>
      <w:r w:rsidR="00AB38B0">
        <w:rPr>
          <w:rFonts w:ascii="Arial" w:hAnsi="Arial" w:cs="Arial"/>
          <w:b/>
          <w:i/>
          <w:sz w:val="28"/>
          <w:szCs w:val="28"/>
        </w:rPr>
        <w:t>entidad o expresión de género distintas a los cánones impuestos por la heteronormatividad.</w:t>
      </w:r>
    </w:p>
    <w:p w:rsidR="00755DC1" w:rsidRPr="00755DC1" w:rsidRDefault="00755DC1" w:rsidP="00D348F7">
      <w:pPr>
        <w:spacing w:line="240" w:lineRule="auto"/>
        <w:ind w:left="720"/>
        <w:jc w:val="both"/>
        <w:rPr>
          <w:rFonts w:ascii="Arial" w:hAnsi="Arial" w:cs="Arial"/>
          <w:i/>
          <w:sz w:val="28"/>
          <w:szCs w:val="28"/>
        </w:rPr>
      </w:pPr>
    </w:p>
    <w:p w:rsidR="00755DC1" w:rsidRPr="00755DC1" w:rsidRDefault="00755DC1" w:rsidP="00D348F7">
      <w:pPr>
        <w:spacing w:line="240" w:lineRule="auto"/>
        <w:ind w:left="720"/>
        <w:jc w:val="both"/>
        <w:rPr>
          <w:rFonts w:ascii="Arial" w:hAnsi="Arial" w:cs="Arial"/>
          <w:b/>
          <w:sz w:val="28"/>
          <w:szCs w:val="28"/>
        </w:rPr>
      </w:pPr>
      <w:r w:rsidRPr="00755DC1">
        <w:rPr>
          <w:rFonts w:ascii="Arial" w:hAnsi="Arial" w:cs="Arial"/>
          <w:b/>
          <w:sz w:val="28"/>
          <w:szCs w:val="28"/>
        </w:rPr>
        <w:t>Artículo 239 (Discriminación por odio, vejación o exclusión)</w:t>
      </w:r>
    </w:p>
    <w:p w:rsidR="00755DC1" w:rsidRPr="00755DC1" w:rsidRDefault="00755DC1" w:rsidP="00D348F7">
      <w:pPr>
        <w:spacing w:line="240" w:lineRule="auto"/>
        <w:ind w:left="720"/>
        <w:jc w:val="both"/>
        <w:rPr>
          <w:rFonts w:ascii="Arial" w:hAnsi="Arial" w:cs="Arial"/>
          <w:sz w:val="28"/>
          <w:szCs w:val="28"/>
        </w:rPr>
      </w:pPr>
      <w:r w:rsidRPr="00755DC1">
        <w:rPr>
          <w:rFonts w:ascii="Arial" w:hAnsi="Arial" w:cs="Arial"/>
          <w:sz w:val="28"/>
          <w:szCs w:val="28"/>
        </w:rPr>
        <w:t>Se impondrá de tres meses a un año de prisión, o de seis meses a un año de trabajos en favor de la comunidad o de libertad supervisada, y, en cualquier caso, de trescientos a quinientos días multa, a quien, por razón de la edad, sexo o género, embarazo, estado civil, raza, origen étnico, idioma, religión, ideología</w:t>
      </w:r>
      <w:r w:rsidRPr="00755DC1">
        <w:rPr>
          <w:rFonts w:ascii="Arial" w:hAnsi="Arial" w:cs="Arial"/>
          <w:b/>
          <w:sz w:val="28"/>
          <w:szCs w:val="28"/>
        </w:rPr>
        <w:t xml:space="preserve">, </w:t>
      </w:r>
      <w:r w:rsidRPr="00755DC1">
        <w:rPr>
          <w:rFonts w:ascii="Arial" w:hAnsi="Arial" w:cs="Arial"/>
          <w:b/>
          <w:i/>
          <w:sz w:val="28"/>
          <w:szCs w:val="28"/>
        </w:rPr>
        <w:t>orientación o</w:t>
      </w:r>
      <w:r w:rsidRPr="00755DC1">
        <w:rPr>
          <w:rFonts w:ascii="Arial" w:hAnsi="Arial" w:cs="Arial"/>
          <w:sz w:val="28"/>
          <w:szCs w:val="28"/>
        </w:rPr>
        <w:t xml:space="preserve"> preferencias sexuales</w:t>
      </w:r>
      <w:r w:rsidR="002E72A8">
        <w:rPr>
          <w:rFonts w:ascii="Arial" w:hAnsi="Arial" w:cs="Arial"/>
          <w:sz w:val="28"/>
          <w:szCs w:val="28"/>
        </w:rPr>
        <w:t xml:space="preserve"> </w:t>
      </w:r>
      <w:r w:rsidR="002E72A8" w:rsidRPr="002E72A8">
        <w:rPr>
          <w:rFonts w:ascii="Arial" w:hAnsi="Arial" w:cs="Arial"/>
          <w:b/>
          <w:sz w:val="28"/>
          <w:szCs w:val="28"/>
        </w:rPr>
        <w:t>no heteronormadas</w:t>
      </w:r>
      <w:r w:rsidRPr="00755DC1">
        <w:rPr>
          <w:rFonts w:ascii="Arial" w:hAnsi="Arial" w:cs="Arial"/>
          <w:sz w:val="28"/>
          <w:szCs w:val="28"/>
        </w:rPr>
        <w:t xml:space="preserve">, </w:t>
      </w:r>
      <w:r w:rsidRPr="00755DC1">
        <w:rPr>
          <w:rFonts w:ascii="Arial" w:hAnsi="Arial" w:cs="Arial"/>
          <w:b/>
          <w:i/>
          <w:sz w:val="28"/>
          <w:szCs w:val="28"/>
        </w:rPr>
        <w:t>identidad o expresión de género,</w:t>
      </w:r>
      <w:r w:rsidRPr="00755DC1">
        <w:rPr>
          <w:rFonts w:ascii="Arial" w:hAnsi="Arial" w:cs="Arial"/>
          <w:b/>
          <w:sz w:val="28"/>
          <w:szCs w:val="28"/>
        </w:rPr>
        <w:t xml:space="preserve"> </w:t>
      </w:r>
      <w:r w:rsidRPr="00755DC1">
        <w:rPr>
          <w:rFonts w:ascii="Arial" w:hAnsi="Arial" w:cs="Arial"/>
          <w:sz w:val="28"/>
          <w:szCs w:val="28"/>
        </w:rPr>
        <w:t>color de piel, nacionalidad, origen o posición social, trabajo o profesión, posición económica, características físicas, discapacidad o estado de salud:</w:t>
      </w:r>
    </w:p>
    <w:p w:rsidR="00BB6972" w:rsidRDefault="00755DC1" w:rsidP="00D348F7">
      <w:pPr>
        <w:spacing w:line="240" w:lineRule="auto"/>
        <w:ind w:left="720"/>
        <w:jc w:val="both"/>
        <w:rPr>
          <w:rFonts w:ascii="Arial" w:hAnsi="Arial" w:cs="Arial"/>
          <w:sz w:val="28"/>
          <w:szCs w:val="28"/>
        </w:rPr>
      </w:pPr>
      <w:r w:rsidRPr="00755DC1">
        <w:rPr>
          <w:rFonts w:ascii="Arial" w:hAnsi="Arial" w:cs="Arial"/>
          <w:sz w:val="28"/>
          <w:szCs w:val="28"/>
        </w:rPr>
        <w:t>I…</w:t>
      </w:r>
      <w:r w:rsidRPr="00755DC1">
        <w:rPr>
          <w:rFonts w:ascii="Arial" w:hAnsi="Arial" w:cs="Arial"/>
          <w:sz w:val="28"/>
          <w:szCs w:val="28"/>
        </w:rPr>
        <w:cr/>
      </w:r>
    </w:p>
    <w:p w:rsidR="00AB38B0" w:rsidRDefault="00AB38B0" w:rsidP="00AB38B0">
      <w:pPr>
        <w:spacing w:line="240" w:lineRule="auto"/>
        <w:jc w:val="both"/>
        <w:rPr>
          <w:rFonts w:ascii="Arial" w:hAnsi="Arial" w:cs="Arial"/>
          <w:sz w:val="28"/>
          <w:szCs w:val="28"/>
        </w:rPr>
      </w:pPr>
      <w:r w:rsidRPr="00D348F7">
        <w:rPr>
          <w:rFonts w:ascii="Arial" w:hAnsi="Arial" w:cs="Arial"/>
          <w:b/>
          <w:sz w:val="28"/>
          <w:szCs w:val="28"/>
        </w:rPr>
        <w:t>SEGUNDO.-</w:t>
      </w:r>
      <w:r>
        <w:rPr>
          <w:rFonts w:ascii="Arial" w:hAnsi="Arial" w:cs="Arial"/>
          <w:sz w:val="28"/>
          <w:szCs w:val="28"/>
        </w:rPr>
        <w:t xml:space="preserve"> Se adicionan los artículos 188 bis y 188 ter al Código Penal del Estado de Coahuila, para quedar como siguen:</w:t>
      </w:r>
    </w:p>
    <w:p w:rsidR="00AB38B0" w:rsidRPr="00755DC1" w:rsidRDefault="00AB38B0" w:rsidP="00D348F7">
      <w:pPr>
        <w:spacing w:line="240" w:lineRule="auto"/>
        <w:ind w:firstLine="720"/>
        <w:rPr>
          <w:rFonts w:ascii="Arial" w:hAnsi="Arial" w:cs="Arial"/>
          <w:b/>
          <w:sz w:val="28"/>
          <w:szCs w:val="28"/>
        </w:rPr>
      </w:pPr>
      <w:r w:rsidRPr="00755DC1">
        <w:rPr>
          <w:rFonts w:ascii="Arial" w:hAnsi="Arial" w:cs="Arial"/>
          <w:b/>
          <w:sz w:val="28"/>
          <w:szCs w:val="28"/>
        </w:rPr>
        <w:t>Artículo 188 bis</w:t>
      </w:r>
      <w:r>
        <w:rPr>
          <w:rFonts w:ascii="Arial" w:hAnsi="Arial" w:cs="Arial"/>
          <w:b/>
          <w:sz w:val="28"/>
          <w:szCs w:val="28"/>
        </w:rPr>
        <w:t>.</w:t>
      </w:r>
      <w:r w:rsidRPr="00755DC1">
        <w:rPr>
          <w:rFonts w:ascii="Arial" w:hAnsi="Arial" w:cs="Arial"/>
          <w:b/>
          <w:sz w:val="28"/>
          <w:szCs w:val="28"/>
        </w:rPr>
        <w:t xml:space="preserve"> (Homicidio Transfóbico) </w:t>
      </w:r>
    </w:p>
    <w:p w:rsidR="00AB38B0" w:rsidRPr="00D348F7" w:rsidRDefault="00AB38B0" w:rsidP="00D348F7">
      <w:pPr>
        <w:spacing w:line="240" w:lineRule="auto"/>
        <w:ind w:left="720"/>
        <w:jc w:val="both"/>
        <w:rPr>
          <w:rFonts w:ascii="Arial" w:hAnsi="Arial" w:cs="Arial"/>
          <w:i/>
          <w:sz w:val="28"/>
          <w:szCs w:val="28"/>
        </w:rPr>
      </w:pPr>
      <w:r w:rsidRPr="00D348F7">
        <w:rPr>
          <w:rFonts w:ascii="Arial" w:hAnsi="Arial" w:cs="Arial"/>
          <w:i/>
          <w:sz w:val="28"/>
          <w:szCs w:val="28"/>
        </w:rPr>
        <w:t xml:space="preserve">Se aplicará prisión de veinte a sesenta años y multa, al que prive de la vida a una persona que se identifique, auto adscriba, exprese su </w:t>
      </w:r>
      <w:r w:rsidRPr="00D348F7">
        <w:rPr>
          <w:rFonts w:ascii="Arial" w:hAnsi="Arial" w:cs="Arial"/>
          <w:i/>
          <w:sz w:val="28"/>
          <w:szCs w:val="28"/>
        </w:rPr>
        <w:lastRenderedPageBreak/>
        <w:t>identidad de género, o sea percibida con un género diferente a aquel que le ha sido asignado al nacer.</w:t>
      </w:r>
    </w:p>
    <w:p w:rsidR="00AB38B0" w:rsidRPr="00755DC1" w:rsidRDefault="00AB38B0" w:rsidP="00D348F7">
      <w:pPr>
        <w:spacing w:line="240" w:lineRule="auto"/>
        <w:ind w:firstLine="720"/>
        <w:jc w:val="both"/>
        <w:rPr>
          <w:rFonts w:ascii="Arial" w:hAnsi="Arial" w:cs="Arial"/>
          <w:b/>
          <w:sz w:val="28"/>
          <w:szCs w:val="28"/>
        </w:rPr>
      </w:pPr>
      <w:r>
        <w:rPr>
          <w:rFonts w:ascii="Arial" w:hAnsi="Arial" w:cs="Arial"/>
          <w:b/>
          <w:sz w:val="28"/>
          <w:szCs w:val="28"/>
        </w:rPr>
        <w:t>Artículo 188 ter.</w:t>
      </w:r>
      <w:r w:rsidRPr="00755DC1">
        <w:rPr>
          <w:rFonts w:ascii="Arial" w:hAnsi="Arial" w:cs="Arial"/>
          <w:b/>
          <w:sz w:val="28"/>
          <w:szCs w:val="28"/>
        </w:rPr>
        <w:t xml:space="preserve"> (Tipo penal completado de Transfeminicidio)</w:t>
      </w:r>
    </w:p>
    <w:p w:rsidR="00AB38B0" w:rsidRPr="00D348F7" w:rsidRDefault="00AB38B0" w:rsidP="00D348F7">
      <w:pPr>
        <w:spacing w:line="240" w:lineRule="auto"/>
        <w:ind w:left="720"/>
        <w:jc w:val="both"/>
        <w:rPr>
          <w:rFonts w:ascii="Arial" w:hAnsi="Arial" w:cs="Arial"/>
          <w:i/>
          <w:sz w:val="28"/>
          <w:szCs w:val="28"/>
        </w:rPr>
      </w:pPr>
      <w:r w:rsidRPr="00D348F7">
        <w:rPr>
          <w:rFonts w:ascii="Arial" w:hAnsi="Arial" w:cs="Arial"/>
          <w:i/>
          <w:sz w:val="28"/>
          <w:szCs w:val="28"/>
        </w:rPr>
        <w:t>Se aplicará prisión de veinte a sesenta años y multa al que prive de la vida a una mujer trans por razón de género. Se considera que existe razón de género cuando concurra cualquiera de las siguientes circunstancias:</w:t>
      </w:r>
    </w:p>
    <w:p w:rsidR="00AB38B0" w:rsidRPr="00D348F7" w:rsidRDefault="00AB38B0" w:rsidP="00D348F7">
      <w:pPr>
        <w:pStyle w:val="Prrafodelista"/>
        <w:numPr>
          <w:ilvl w:val="0"/>
          <w:numId w:val="33"/>
        </w:numPr>
        <w:spacing w:line="240" w:lineRule="auto"/>
        <w:ind w:left="1440"/>
        <w:rPr>
          <w:rFonts w:ascii="Arial" w:hAnsi="Arial" w:cs="Arial"/>
          <w:i/>
          <w:sz w:val="28"/>
          <w:szCs w:val="28"/>
        </w:rPr>
      </w:pPr>
      <w:r w:rsidRPr="00D348F7">
        <w:rPr>
          <w:rFonts w:ascii="Arial" w:hAnsi="Arial" w:cs="Arial"/>
          <w:i/>
          <w:sz w:val="28"/>
          <w:szCs w:val="28"/>
        </w:rPr>
        <w:t>Presente signos de violencia sexual de cualquier tipo, previa o posterior a la privación de la vida de la víctima infligida por el sujeto activo;</w:t>
      </w:r>
    </w:p>
    <w:p w:rsidR="00AB38B0" w:rsidRPr="00D348F7" w:rsidRDefault="00AB38B0" w:rsidP="00D348F7">
      <w:pPr>
        <w:pStyle w:val="Prrafodelista"/>
        <w:numPr>
          <w:ilvl w:val="0"/>
          <w:numId w:val="33"/>
        </w:numPr>
        <w:spacing w:line="240" w:lineRule="auto"/>
        <w:ind w:left="1440"/>
        <w:rPr>
          <w:rFonts w:ascii="Arial" w:hAnsi="Arial" w:cs="Arial"/>
          <w:i/>
          <w:sz w:val="28"/>
          <w:szCs w:val="28"/>
        </w:rPr>
      </w:pPr>
      <w:r w:rsidRPr="00D348F7">
        <w:rPr>
          <w:rFonts w:ascii="Arial" w:hAnsi="Arial" w:cs="Arial"/>
          <w:i/>
          <w:sz w:val="28"/>
          <w:szCs w:val="28"/>
        </w:rPr>
        <w:t xml:space="preserve"> Se le haya infligido por el sujeto activo una o más lesiones o mutilaciones infamantes o degradantes en zonas genitales o en cualquier otra, previa o posteriormente a la privación de la vida; </w:t>
      </w:r>
    </w:p>
    <w:p w:rsidR="00AB38B0" w:rsidRPr="00D348F7" w:rsidRDefault="00AB38B0" w:rsidP="00D348F7">
      <w:pPr>
        <w:pStyle w:val="Prrafodelista"/>
        <w:numPr>
          <w:ilvl w:val="0"/>
          <w:numId w:val="33"/>
        </w:numPr>
        <w:spacing w:line="240" w:lineRule="auto"/>
        <w:ind w:left="1440"/>
        <w:rPr>
          <w:rFonts w:ascii="Arial" w:hAnsi="Arial" w:cs="Arial"/>
          <w:i/>
          <w:sz w:val="28"/>
          <w:szCs w:val="28"/>
        </w:rPr>
      </w:pPr>
      <w:r w:rsidRPr="00D348F7">
        <w:rPr>
          <w:rFonts w:ascii="Arial" w:hAnsi="Arial" w:cs="Arial"/>
          <w:i/>
          <w:sz w:val="28"/>
          <w:szCs w:val="28"/>
        </w:rPr>
        <w:t>Existan antecedentes o datos de cualquier tipo de violencia o discriminación por su preferencia sexual, identidad o expresión de género  en el ámbito familiar, laboral, o escolar, del sujeto activo contra la víctima;</w:t>
      </w:r>
    </w:p>
    <w:p w:rsidR="00AB38B0" w:rsidRPr="00D348F7" w:rsidRDefault="00AB38B0" w:rsidP="00D348F7">
      <w:pPr>
        <w:pStyle w:val="Prrafodelista"/>
        <w:numPr>
          <w:ilvl w:val="0"/>
          <w:numId w:val="33"/>
        </w:numPr>
        <w:spacing w:line="240" w:lineRule="auto"/>
        <w:ind w:left="1440"/>
        <w:rPr>
          <w:rFonts w:ascii="Arial" w:hAnsi="Arial" w:cs="Arial"/>
          <w:i/>
          <w:sz w:val="28"/>
          <w:szCs w:val="28"/>
        </w:rPr>
      </w:pPr>
      <w:r w:rsidRPr="00D348F7">
        <w:rPr>
          <w:rFonts w:ascii="Arial" w:hAnsi="Arial" w:cs="Arial"/>
          <w:i/>
          <w:sz w:val="28"/>
          <w:szCs w:val="28"/>
        </w:rPr>
        <w:t xml:space="preserve"> Haya existido entre el sujeto activo y la víctima una relación sentimental, afectiva o de confianza;</w:t>
      </w:r>
    </w:p>
    <w:p w:rsidR="00AB38B0" w:rsidRPr="00D348F7" w:rsidRDefault="00AB38B0" w:rsidP="00D348F7">
      <w:pPr>
        <w:pStyle w:val="Prrafodelista"/>
        <w:numPr>
          <w:ilvl w:val="0"/>
          <w:numId w:val="33"/>
        </w:numPr>
        <w:spacing w:line="240" w:lineRule="auto"/>
        <w:ind w:left="1440"/>
        <w:rPr>
          <w:rFonts w:ascii="Arial" w:hAnsi="Arial" w:cs="Arial"/>
          <w:i/>
          <w:sz w:val="28"/>
          <w:szCs w:val="28"/>
        </w:rPr>
      </w:pPr>
      <w:r w:rsidRPr="00D348F7">
        <w:rPr>
          <w:rFonts w:ascii="Arial" w:hAnsi="Arial" w:cs="Arial"/>
          <w:i/>
          <w:sz w:val="28"/>
          <w:szCs w:val="28"/>
        </w:rPr>
        <w:t xml:space="preserve">El cuerpo sea expuesto, depositado o arrojado en un lugar público, en circunstancias que degraden o menosprecien a la víctima. </w:t>
      </w:r>
    </w:p>
    <w:p w:rsidR="00AB38B0" w:rsidRPr="00D348F7" w:rsidRDefault="00AB38B0" w:rsidP="00D348F7">
      <w:pPr>
        <w:spacing w:line="240" w:lineRule="auto"/>
        <w:ind w:left="720"/>
        <w:jc w:val="both"/>
        <w:rPr>
          <w:rFonts w:ascii="Arial" w:hAnsi="Arial" w:cs="Arial"/>
          <w:i/>
          <w:sz w:val="28"/>
          <w:szCs w:val="28"/>
        </w:rPr>
      </w:pPr>
      <w:r w:rsidRPr="00D348F7">
        <w:rPr>
          <w:rFonts w:ascii="Arial" w:hAnsi="Arial" w:cs="Arial"/>
          <w:i/>
          <w:sz w:val="28"/>
          <w:szCs w:val="28"/>
        </w:rPr>
        <w:t>Además de la sanción anterior, el sujeto activo perderá todos los derechos con relación a la víctima, incluidos los de carácter sucesorio.</w:t>
      </w:r>
    </w:p>
    <w:p w:rsidR="00AB38B0" w:rsidRPr="00D348F7" w:rsidRDefault="00AB38B0" w:rsidP="00D348F7">
      <w:pPr>
        <w:spacing w:line="240" w:lineRule="auto"/>
        <w:ind w:left="720" w:firstLine="75"/>
        <w:jc w:val="both"/>
        <w:rPr>
          <w:rFonts w:ascii="Arial" w:hAnsi="Arial" w:cs="Arial"/>
          <w:i/>
          <w:sz w:val="28"/>
          <w:szCs w:val="28"/>
        </w:rPr>
      </w:pPr>
      <w:r w:rsidRPr="00D348F7">
        <w:rPr>
          <w:rFonts w:ascii="Arial" w:hAnsi="Arial" w:cs="Arial"/>
          <w:i/>
          <w:sz w:val="28"/>
          <w:szCs w:val="28"/>
        </w:rPr>
        <w:t xml:space="preserve">En caso de que no se acredite el transfeminicidio o se aplicarán las reglas del homicidio. </w:t>
      </w:r>
    </w:p>
    <w:p w:rsidR="00AB38B0" w:rsidRPr="00D348F7" w:rsidRDefault="00AB38B0" w:rsidP="00D348F7">
      <w:pPr>
        <w:spacing w:line="240" w:lineRule="auto"/>
        <w:ind w:left="720"/>
        <w:jc w:val="both"/>
        <w:rPr>
          <w:rFonts w:ascii="Arial" w:hAnsi="Arial" w:cs="Arial"/>
          <w:i/>
          <w:sz w:val="28"/>
          <w:szCs w:val="28"/>
        </w:rPr>
      </w:pPr>
      <w:r w:rsidRPr="00D348F7">
        <w:rPr>
          <w:rFonts w:ascii="Arial" w:hAnsi="Arial" w:cs="Arial"/>
          <w:i/>
          <w:sz w:val="28"/>
          <w:szCs w:val="28"/>
        </w:rPr>
        <w:t>Al servidor público que con motivo de sus funciones y atribuciones conozca del delito de transfeminicidio y por acción u omisión realice prácticas dilatorias en la procuración y administración de justicia se le impondrán de cinco a diez años de prisión, de quinientos a mil días multa e inhabilitación del cargo o comisión que desempeñe de cinco a diez años.</w:t>
      </w:r>
    </w:p>
    <w:p w:rsidR="00AB38B0" w:rsidRDefault="00AB38B0" w:rsidP="00AB38B0">
      <w:pPr>
        <w:spacing w:line="240" w:lineRule="auto"/>
        <w:jc w:val="both"/>
        <w:rPr>
          <w:rFonts w:ascii="Arial" w:hAnsi="Arial" w:cs="Arial"/>
          <w:sz w:val="28"/>
          <w:szCs w:val="28"/>
        </w:rPr>
      </w:pPr>
    </w:p>
    <w:p w:rsidR="00F97D17" w:rsidRPr="002A5F2B" w:rsidRDefault="00F97D17" w:rsidP="00F97D17">
      <w:pPr>
        <w:spacing w:after="240" w:line="360" w:lineRule="auto"/>
        <w:jc w:val="center"/>
        <w:rPr>
          <w:rFonts w:ascii="Arial" w:hAnsi="Arial" w:cs="Arial"/>
          <w:b/>
          <w:sz w:val="28"/>
          <w:szCs w:val="28"/>
        </w:rPr>
      </w:pPr>
      <w:r w:rsidRPr="002A5F2B">
        <w:rPr>
          <w:rFonts w:ascii="Arial" w:hAnsi="Arial" w:cs="Arial"/>
          <w:b/>
          <w:sz w:val="28"/>
          <w:szCs w:val="28"/>
        </w:rPr>
        <w:t>ARTÍCULOS TRANSITORIOS.</w:t>
      </w:r>
    </w:p>
    <w:p w:rsidR="00F97D17" w:rsidRPr="002A5F2B" w:rsidRDefault="00F97D17" w:rsidP="00F97D17">
      <w:pPr>
        <w:spacing w:after="240" w:line="360" w:lineRule="auto"/>
        <w:jc w:val="both"/>
        <w:rPr>
          <w:rFonts w:ascii="Arial" w:hAnsi="Arial" w:cs="Arial"/>
          <w:sz w:val="28"/>
          <w:szCs w:val="28"/>
        </w:rPr>
      </w:pPr>
      <w:r w:rsidRPr="002A5F2B">
        <w:rPr>
          <w:rFonts w:ascii="Arial" w:hAnsi="Arial" w:cs="Arial"/>
          <w:b/>
          <w:sz w:val="28"/>
          <w:szCs w:val="28"/>
        </w:rPr>
        <w:t>PRIMERO.-</w:t>
      </w:r>
      <w:r w:rsidRPr="002A5F2B">
        <w:rPr>
          <w:rFonts w:ascii="Arial" w:hAnsi="Arial" w:cs="Arial"/>
          <w:sz w:val="28"/>
          <w:szCs w:val="28"/>
        </w:rPr>
        <w:t xml:space="preserve"> El presente decreto entrará en vigor al día siguiente de su publicación en el Periódico Oficial del Gobierno del Estado.</w:t>
      </w:r>
    </w:p>
    <w:p w:rsidR="008A7A8C" w:rsidRPr="002A5F2B" w:rsidRDefault="008A7A8C" w:rsidP="008A7A8C">
      <w:pPr>
        <w:spacing w:after="240" w:line="360" w:lineRule="auto"/>
        <w:jc w:val="both"/>
        <w:rPr>
          <w:rFonts w:ascii="Arial" w:hAnsi="Arial" w:cs="Arial"/>
          <w:sz w:val="28"/>
          <w:szCs w:val="28"/>
        </w:rPr>
      </w:pPr>
      <w:r w:rsidRPr="002A5F2B">
        <w:rPr>
          <w:rFonts w:ascii="Arial" w:hAnsi="Arial" w:cs="Arial"/>
          <w:b/>
          <w:sz w:val="28"/>
          <w:szCs w:val="28"/>
        </w:rPr>
        <w:t>SEGUNDO.-</w:t>
      </w:r>
      <w:r w:rsidRPr="002A5F2B">
        <w:rPr>
          <w:rFonts w:ascii="Arial" w:hAnsi="Arial" w:cs="Arial"/>
          <w:sz w:val="28"/>
          <w:szCs w:val="28"/>
        </w:rPr>
        <w:t>Se derogan las disposiciones que se opongan al presente decreto.</w:t>
      </w:r>
    </w:p>
    <w:p w:rsidR="008A7A8C" w:rsidRPr="002A5F2B" w:rsidRDefault="008A7A8C" w:rsidP="008A7A8C">
      <w:pPr>
        <w:spacing w:after="240" w:line="360" w:lineRule="auto"/>
        <w:jc w:val="both"/>
        <w:rPr>
          <w:rFonts w:ascii="Arial" w:hAnsi="Arial" w:cs="Arial"/>
          <w:sz w:val="28"/>
          <w:szCs w:val="28"/>
        </w:rPr>
      </w:pPr>
      <w:r w:rsidRPr="002A5F2B">
        <w:rPr>
          <w:rFonts w:ascii="Arial" w:hAnsi="Arial" w:cs="Arial"/>
          <w:sz w:val="28"/>
          <w:szCs w:val="28"/>
        </w:rPr>
        <w:t>Por lo expuesto y fundado, ante esta soberanía respetuosamente s</w:t>
      </w:r>
      <w:r w:rsidR="00654ABB">
        <w:rPr>
          <w:rFonts w:ascii="Arial" w:hAnsi="Arial" w:cs="Arial"/>
          <w:sz w:val="28"/>
          <w:szCs w:val="28"/>
        </w:rPr>
        <w:t>olicito</w:t>
      </w:r>
      <w:r w:rsidRPr="002A5F2B">
        <w:rPr>
          <w:rFonts w:ascii="Arial" w:hAnsi="Arial" w:cs="Arial"/>
          <w:sz w:val="28"/>
          <w:szCs w:val="28"/>
        </w:rPr>
        <w:t xml:space="preserve"> que las reformas presentadas sean votadas a favor.</w:t>
      </w:r>
    </w:p>
    <w:p w:rsidR="008A7A8C" w:rsidRPr="002A5F2B" w:rsidRDefault="008A7A8C" w:rsidP="008A7A8C">
      <w:pPr>
        <w:spacing w:after="240" w:line="360" w:lineRule="auto"/>
        <w:jc w:val="center"/>
        <w:rPr>
          <w:rFonts w:ascii="Arial" w:hAnsi="Arial" w:cs="Arial"/>
          <w:b/>
          <w:sz w:val="28"/>
          <w:szCs w:val="28"/>
        </w:rPr>
      </w:pPr>
      <w:r w:rsidRPr="002A5F2B">
        <w:rPr>
          <w:rFonts w:ascii="Arial" w:hAnsi="Arial" w:cs="Arial"/>
          <w:b/>
          <w:sz w:val="28"/>
          <w:szCs w:val="28"/>
        </w:rPr>
        <w:t>SALÓN DE SESIONES DEL H. CONGRESO DEL ESTADO</w:t>
      </w:r>
    </w:p>
    <w:p w:rsidR="008A7A8C" w:rsidRPr="002A5F2B" w:rsidRDefault="008A7A8C" w:rsidP="008A7A8C">
      <w:pPr>
        <w:spacing w:after="240" w:line="360" w:lineRule="auto"/>
        <w:jc w:val="center"/>
        <w:rPr>
          <w:rFonts w:ascii="Arial" w:hAnsi="Arial" w:cs="Arial"/>
          <w:b/>
          <w:sz w:val="28"/>
          <w:szCs w:val="28"/>
        </w:rPr>
      </w:pPr>
      <w:r w:rsidRPr="002A5F2B">
        <w:rPr>
          <w:rFonts w:ascii="Arial" w:hAnsi="Arial" w:cs="Arial"/>
          <w:b/>
          <w:sz w:val="28"/>
          <w:szCs w:val="28"/>
        </w:rPr>
        <w:t xml:space="preserve">Saltillo, Coahuila de Zaragoza a </w:t>
      </w:r>
      <w:r w:rsidR="00E21B53">
        <w:rPr>
          <w:rFonts w:ascii="Arial" w:hAnsi="Arial" w:cs="Arial"/>
          <w:b/>
          <w:sz w:val="28"/>
          <w:szCs w:val="28"/>
        </w:rPr>
        <w:t>2</w:t>
      </w:r>
      <w:r w:rsidR="005143C2">
        <w:rPr>
          <w:rFonts w:ascii="Arial" w:hAnsi="Arial" w:cs="Arial"/>
          <w:b/>
          <w:sz w:val="28"/>
          <w:szCs w:val="28"/>
        </w:rPr>
        <w:t>5</w:t>
      </w:r>
      <w:r w:rsidR="0009571E">
        <w:rPr>
          <w:rFonts w:ascii="Arial" w:hAnsi="Arial" w:cs="Arial"/>
          <w:b/>
          <w:sz w:val="28"/>
          <w:szCs w:val="28"/>
        </w:rPr>
        <w:t xml:space="preserve"> </w:t>
      </w:r>
      <w:r w:rsidRPr="002A5F2B">
        <w:rPr>
          <w:rFonts w:ascii="Arial" w:hAnsi="Arial" w:cs="Arial"/>
          <w:b/>
          <w:sz w:val="28"/>
          <w:szCs w:val="28"/>
        </w:rPr>
        <w:t xml:space="preserve">de </w:t>
      </w:r>
      <w:r w:rsidR="00E21B53">
        <w:rPr>
          <w:rFonts w:ascii="Arial" w:hAnsi="Arial" w:cs="Arial"/>
          <w:b/>
          <w:sz w:val="28"/>
          <w:szCs w:val="28"/>
        </w:rPr>
        <w:t>septiembre</w:t>
      </w:r>
      <w:r w:rsidRPr="002A5F2B">
        <w:rPr>
          <w:rFonts w:ascii="Arial" w:hAnsi="Arial" w:cs="Arial"/>
          <w:b/>
          <w:sz w:val="28"/>
          <w:szCs w:val="28"/>
        </w:rPr>
        <w:t xml:space="preserve"> de 201</w:t>
      </w:r>
      <w:r w:rsidR="000B1E21">
        <w:rPr>
          <w:rFonts w:ascii="Arial" w:hAnsi="Arial" w:cs="Arial"/>
          <w:b/>
          <w:sz w:val="28"/>
          <w:szCs w:val="28"/>
        </w:rPr>
        <w:t>9</w:t>
      </w:r>
      <w:r w:rsidR="00D81F5C">
        <w:rPr>
          <w:rFonts w:ascii="Arial" w:hAnsi="Arial" w:cs="Arial"/>
          <w:b/>
          <w:sz w:val="28"/>
          <w:szCs w:val="28"/>
        </w:rPr>
        <w:t>.</w:t>
      </w:r>
    </w:p>
    <w:p w:rsidR="008A7A8C" w:rsidRDefault="008A7A8C" w:rsidP="00BF7E4A">
      <w:pPr>
        <w:spacing w:after="240" w:line="360" w:lineRule="auto"/>
        <w:jc w:val="center"/>
        <w:rPr>
          <w:rFonts w:ascii="Arial" w:hAnsi="Arial" w:cs="Arial"/>
          <w:b/>
          <w:sz w:val="28"/>
          <w:szCs w:val="28"/>
        </w:rPr>
      </w:pPr>
      <w:r w:rsidRPr="002A5F2B">
        <w:rPr>
          <w:rFonts w:ascii="Arial" w:hAnsi="Arial" w:cs="Arial"/>
          <w:b/>
          <w:sz w:val="28"/>
          <w:szCs w:val="28"/>
        </w:rPr>
        <w:t>DIPUTAD</w:t>
      </w:r>
      <w:r w:rsidR="00BF7E4A" w:rsidRPr="002A5F2B">
        <w:rPr>
          <w:rFonts w:ascii="Arial" w:hAnsi="Arial" w:cs="Arial"/>
          <w:b/>
          <w:sz w:val="28"/>
          <w:szCs w:val="28"/>
        </w:rPr>
        <w:t>A</w:t>
      </w:r>
    </w:p>
    <w:p w:rsidR="00747509" w:rsidRPr="002A5F2B" w:rsidRDefault="00747509" w:rsidP="00BF7E4A">
      <w:pPr>
        <w:spacing w:after="240" w:line="360" w:lineRule="auto"/>
        <w:jc w:val="center"/>
        <w:rPr>
          <w:rFonts w:ascii="Arial" w:hAnsi="Arial" w:cs="Arial"/>
          <w:b/>
          <w:sz w:val="28"/>
          <w:szCs w:val="28"/>
        </w:rPr>
      </w:pPr>
    </w:p>
    <w:p w:rsidR="00F97D17" w:rsidRDefault="008A7A8C" w:rsidP="00180918">
      <w:pPr>
        <w:spacing w:after="240" w:line="360" w:lineRule="auto"/>
        <w:jc w:val="center"/>
      </w:pPr>
      <w:r w:rsidRPr="002A5F2B">
        <w:rPr>
          <w:rFonts w:ascii="Arial" w:hAnsi="Arial" w:cs="Arial"/>
          <w:b/>
          <w:sz w:val="28"/>
          <w:szCs w:val="28"/>
        </w:rPr>
        <w:t>CLAUDIA ISELA RAMIREZ PINEDA.</w:t>
      </w:r>
    </w:p>
    <w:sectPr w:rsidR="00F97D17" w:rsidSect="00EF74C7">
      <w:headerReference w:type="default" r:id="rId8"/>
      <w:footerReference w:type="default" r:id="rId9"/>
      <w:pgSz w:w="12240" w:h="15840" w:code="1"/>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859" w:rsidRDefault="00C21859" w:rsidP="00F97D17">
      <w:pPr>
        <w:spacing w:after="0" w:line="240" w:lineRule="auto"/>
      </w:pPr>
      <w:r>
        <w:separator/>
      </w:r>
    </w:p>
  </w:endnote>
  <w:endnote w:type="continuationSeparator" w:id="0">
    <w:p w:rsidR="00C21859" w:rsidRDefault="00C21859" w:rsidP="00F9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7F" w:rsidRPr="00E009E2" w:rsidRDefault="00FB047F" w:rsidP="00E009E2">
    <w:pPr>
      <w:shd w:val="clear" w:color="auto" w:fill="FFFFFF"/>
      <w:rPr>
        <w:rFonts w:ascii="Arial" w:hAnsi="Arial" w:cs="Arial"/>
        <w:color w:val="2222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859" w:rsidRDefault="00C21859" w:rsidP="00F97D17">
      <w:pPr>
        <w:spacing w:after="0" w:line="240" w:lineRule="auto"/>
      </w:pPr>
      <w:r>
        <w:separator/>
      </w:r>
    </w:p>
  </w:footnote>
  <w:footnote w:type="continuationSeparator" w:id="0">
    <w:p w:rsidR="00C21859" w:rsidRDefault="00C21859" w:rsidP="00F97D17">
      <w:pPr>
        <w:spacing w:after="0" w:line="240" w:lineRule="auto"/>
      </w:pPr>
      <w:r>
        <w:continuationSeparator/>
      </w:r>
    </w:p>
  </w:footnote>
  <w:footnote w:id="1">
    <w:p w:rsidR="00C235B0" w:rsidRDefault="00C235B0" w:rsidP="005143C2">
      <w:pPr>
        <w:pStyle w:val="Textonotapie"/>
        <w:jc w:val="both"/>
      </w:pPr>
      <w:r>
        <w:rPr>
          <w:rStyle w:val="Refdenotaalpie"/>
        </w:rPr>
        <w:footnoteRef/>
      </w:r>
      <w:r>
        <w:t xml:space="preserve"> </w:t>
      </w:r>
      <w:r w:rsidR="005143C2">
        <w:t xml:space="preserve"> Guerrero S. y Muñoz L. (2018). “Transfeminicidio”. En </w:t>
      </w:r>
      <w:r w:rsidR="005143C2" w:rsidRPr="005143C2">
        <w:t>Diversidades: interseccionalidad, cuerpos y territorios</w:t>
      </w:r>
      <w:r w:rsidR="005143C2">
        <w:t xml:space="preserve">, Raphael L.(coord.), Instituto de Investigaciones Jurídicas de la UNAM. Disponible en: </w:t>
      </w:r>
      <w:hyperlink r:id="rId1" w:history="1">
        <w:r>
          <w:rPr>
            <w:rStyle w:val="Hipervnculo"/>
          </w:rPr>
          <w:t>https://archivos.juridicas.unam.mx/www/bjv/libros/11/5498/6.pdf</w:t>
        </w:r>
      </w:hyperlink>
    </w:p>
  </w:footnote>
  <w:footnote w:id="2">
    <w:p w:rsidR="00C235B0" w:rsidRDefault="00C235B0" w:rsidP="005143C2">
      <w:pPr>
        <w:pStyle w:val="Textonotapie"/>
        <w:jc w:val="both"/>
      </w:pPr>
      <w:r>
        <w:rPr>
          <w:rStyle w:val="Refdenotaalpie"/>
        </w:rPr>
        <w:footnoteRef/>
      </w:r>
      <w:r>
        <w:t xml:space="preserve"> </w:t>
      </w:r>
      <w:r w:rsidR="005143C2">
        <w:t xml:space="preserve">Álvarez, E. (2015). </w:t>
      </w:r>
      <w:r w:rsidR="005143C2" w:rsidRPr="005143C2">
        <w:t>México: Discurso de odio en Chihuahua llega hasta el transfeminicidio</w:t>
      </w:r>
      <w:r w:rsidR="005143C2">
        <w:t xml:space="preserve">. Disponible en: </w:t>
      </w:r>
      <w:hyperlink r:id="rId2" w:history="1">
        <w:r>
          <w:rPr>
            <w:rStyle w:val="Hipervnculo"/>
          </w:rPr>
          <w:t>https://kaosenlared.net/mexico-discurso-de-odio-en-chihuahua-llega-hasta-el-transfeminicidio/</w:t>
        </w:r>
      </w:hyperlink>
    </w:p>
  </w:footnote>
  <w:footnote w:id="3">
    <w:p w:rsidR="00C235B0" w:rsidRPr="005143C2" w:rsidRDefault="00C235B0">
      <w:pPr>
        <w:pStyle w:val="Textonotapie"/>
      </w:pPr>
      <w:r>
        <w:rPr>
          <w:rStyle w:val="Refdenotaalpie"/>
        </w:rPr>
        <w:footnoteRef/>
      </w:r>
      <w:r w:rsidR="005143C2">
        <w:t xml:space="preserve">Mayorga, P. (2015). </w:t>
      </w:r>
      <w:r w:rsidR="005143C2" w:rsidRPr="005143C2">
        <w:t>Asesinan a transexual y cubren su cuerpo con la bandera nacional</w:t>
      </w:r>
      <w:r w:rsidR="005143C2">
        <w:t xml:space="preserve">. </w:t>
      </w:r>
      <w:r w:rsidR="005143C2" w:rsidRPr="005143C2">
        <w:t>Proceso</w:t>
      </w:r>
      <w:r w:rsidR="005143C2">
        <w:t>. Disponible en:</w:t>
      </w:r>
      <w:r w:rsidRPr="005143C2">
        <w:t xml:space="preserve"> </w:t>
      </w:r>
      <w:hyperlink r:id="rId3" w:history="1">
        <w:r w:rsidRPr="005143C2">
          <w:rPr>
            <w:rStyle w:val="Hipervnculo"/>
          </w:rPr>
          <w:t>https://www.proceso.com.mx/408629/asesinan-a-transexual-y-cubren-su-cuerpo-con-la-bandera-nacional</w:t>
        </w:r>
      </w:hyperlink>
    </w:p>
  </w:footnote>
  <w:footnote w:id="4">
    <w:p w:rsidR="005143C2" w:rsidRDefault="005143C2" w:rsidP="005143C2">
      <w:pPr>
        <w:pStyle w:val="Textonotapie"/>
        <w:jc w:val="both"/>
      </w:pPr>
      <w:r>
        <w:rPr>
          <w:rStyle w:val="Refdenotaalpie"/>
        </w:rPr>
        <w:footnoteRef/>
      </w:r>
      <w:r>
        <w:t xml:space="preserve"> Romero, C. (2018). El riesgo de ser transexual en Mexico. El Universal. Disponible en: </w:t>
      </w:r>
      <w:hyperlink r:id="rId4" w:history="1">
        <w:r>
          <w:rPr>
            <w:rStyle w:val="Hipervnculo"/>
          </w:rPr>
          <w:t>https://www.eluniversal.com.mx/nacion/el-riesgo-de-ser-transexual-en-mexico</w:t>
        </w:r>
      </w:hyperlink>
    </w:p>
  </w:footnote>
  <w:footnote w:id="5">
    <w:p w:rsidR="005143C2" w:rsidRDefault="00DC78AE" w:rsidP="005143C2">
      <w:pPr>
        <w:pStyle w:val="Textonotapie"/>
        <w:jc w:val="both"/>
      </w:pPr>
      <w:r>
        <w:rPr>
          <w:rStyle w:val="Refdenotaalpie"/>
        </w:rPr>
        <w:footnoteRef/>
      </w:r>
      <w:r>
        <w:t xml:space="preserve"> </w:t>
      </w:r>
      <w:r w:rsidR="005143C2">
        <w:t>Comisión Interamericana de Derechos Humanos (2015). Violencia contra Personas Lesbianas, Gay,</w:t>
      </w:r>
    </w:p>
    <w:p w:rsidR="00DC78AE" w:rsidRDefault="005143C2" w:rsidP="005143C2">
      <w:pPr>
        <w:pStyle w:val="Textonotapie"/>
        <w:jc w:val="both"/>
      </w:pPr>
      <w:r>
        <w:t xml:space="preserve">Bisexuales, Trans e Intersex en América. OEA. Disponible en: </w:t>
      </w:r>
      <w:hyperlink r:id="rId5" w:history="1">
        <w:r w:rsidR="00DC78AE">
          <w:rPr>
            <w:rStyle w:val="Hipervnculo"/>
          </w:rPr>
          <w:t>http://www.oas.org/es/cidh/informes/pdfs/violenciapersonaslgbti.pdf</w:t>
        </w:r>
      </w:hyperlink>
    </w:p>
  </w:footnote>
  <w:footnote w:id="6">
    <w:p w:rsidR="005143C2" w:rsidRDefault="005143C2">
      <w:pPr>
        <w:pStyle w:val="Textonotapie"/>
      </w:pPr>
      <w:r>
        <w:rPr>
          <w:rStyle w:val="Refdenotaalpie"/>
        </w:rPr>
        <w:footnoteRef/>
      </w:r>
      <w:r>
        <w:t xml:space="preserve"> </w:t>
      </w:r>
      <w:r w:rsidR="00A37343">
        <w:t>Comisión Interamericana de Derechos Humanos (2014)</w:t>
      </w:r>
      <w:r>
        <w:t>.</w:t>
      </w:r>
      <w:r w:rsidR="00A37343" w:rsidRPr="00A37343">
        <w:t xml:space="preserve"> Registro de Violencia contra personas LGBT en América</w:t>
      </w:r>
      <w:r w:rsidR="00A37343">
        <w:t>. Disponible en:</w:t>
      </w:r>
      <w:r>
        <w:t xml:space="preserve"> </w:t>
      </w:r>
      <w:hyperlink r:id="rId6" w:history="1">
        <w:r w:rsidR="00A37343">
          <w:rPr>
            <w:rStyle w:val="Hipervnculo"/>
          </w:rPr>
          <w:t>http://www.oas.org/es/cidh/multimedia/2015/violencia-lgbti/registro-violencia-lgbt.html</w:t>
        </w:r>
      </w:hyperlink>
    </w:p>
  </w:footnote>
  <w:footnote w:id="7">
    <w:p w:rsidR="00076CCD" w:rsidRDefault="00076CCD" w:rsidP="005143C2">
      <w:pPr>
        <w:pStyle w:val="Textonotapie"/>
        <w:jc w:val="both"/>
      </w:pPr>
      <w:r>
        <w:rPr>
          <w:rStyle w:val="Refdenotaalpie"/>
        </w:rPr>
        <w:footnoteRef/>
      </w:r>
      <w:r w:rsidR="005143C2">
        <w:t xml:space="preserve"> Comisión de Derechos Humanos del Distrito Federal (2019). Recomendación 02/2019. Disponible en:</w:t>
      </w:r>
      <w:r>
        <w:t xml:space="preserve"> </w:t>
      </w:r>
      <w:hyperlink r:id="rId7" w:history="1">
        <w:r w:rsidR="005143C2" w:rsidRPr="000F7641">
          <w:rPr>
            <w:rStyle w:val="Hipervnculo"/>
          </w:rPr>
          <w:t>https://cdhdf.org.mx/wp-content/uploads/2019/06/Reco_022019.pdf</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47F" w:rsidRDefault="00EF74C7" w:rsidP="00DE4EF2">
    <w:pPr>
      <w:jc w:val="center"/>
      <w:rPr>
        <w:rFonts w:ascii="Century Schoolbook" w:hAnsi="Century Schoolbook"/>
        <w:b/>
        <w:bCs/>
        <w:sz w:val="6"/>
      </w:rPr>
    </w:pPr>
    <w:r>
      <w:rPr>
        <w:noProof/>
        <w:lang w:eastAsia="es-MX"/>
      </w:rPr>
      <w:drawing>
        <wp:anchor distT="0" distB="0" distL="114300" distR="114300" simplePos="0" relativeHeight="251659264" behindDoc="0" locked="0" layoutInCell="1" allowOverlap="1" wp14:anchorId="39ED0E04" wp14:editId="563F8FF6">
          <wp:simplePos x="0" y="0"/>
          <wp:positionH relativeFrom="column">
            <wp:posOffset>-391566</wp:posOffset>
          </wp:positionH>
          <wp:positionV relativeFrom="paragraph">
            <wp:posOffset>19685</wp:posOffset>
          </wp:positionV>
          <wp:extent cx="789305" cy="831215"/>
          <wp:effectExtent l="0" t="0" r="0" b="6985"/>
          <wp:wrapSquare wrapText="bothSides"/>
          <wp:docPr id="4" name="Imagen 4" descr="Descripción: ESCUDO%20DEL%20ESTADO%20DE%20COAHUILA%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ESCUDO%20DEL%20ESTADO%20DE%20COAHUILA%20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305" cy="831215"/>
                  </a:xfrm>
                  <a:prstGeom prst="rect">
                    <a:avLst/>
                  </a:prstGeom>
                  <a:noFill/>
                </pic:spPr>
              </pic:pic>
            </a:graphicData>
          </a:graphic>
          <wp14:sizeRelH relativeFrom="page">
            <wp14:pctWidth>0</wp14:pctWidth>
          </wp14:sizeRelH>
          <wp14:sizeRelV relativeFrom="page">
            <wp14:pctHeight>0</wp14:pctHeight>
          </wp14:sizeRelV>
        </wp:anchor>
      </w:drawing>
    </w:r>
  </w:p>
  <w:p w:rsidR="00FB047F" w:rsidRDefault="00EF74C7" w:rsidP="00DE4EF2">
    <w:pPr>
      <w:tabs>
        <w:tab w:val="center" w:pos="4419"/>
        <w:tab w:val="left" w:pos="5040"/>
        <w:tab w:val="right" w:pos="8838"/>
      </w:tabs>
      <w:spacing w:after="0" w:line="240" w:lineRule="auto"/>
      <w:jc w:val="center"/>
      <w:rPr>
        <w:rFonts w:ascii="Times New Roman" w:eastAsia="Calibri" w:hAnsi="Times New Roman" w:cs="Arial"/>
        <w:bCs/>
        <w:smallCaps/>
        <w:spacing w:val="20"/>
        <w:sz w:val="32"/>
        <w:szCs w:val="32"/>
      </w:rPr>
    </w:pPr>
    <w:r>
      <w:rPr>
        <w:noProof/>
        <w:lang w:eastAsia="es-MX"/>
      </w:rPr>
      <w:drawing>
        <wp:anchor distT="0" distB="0" distL="114300" distR="114300" simplePos="0" relativeHeight="251660288" behindDoc="0" locked="0" layoutInCell="1" allowOverlap="1" wp14:anchorId="71EE99DF" wp14:editId="6991F87F">
          <wp:simplePos x="0" y="0"/>
          <wp:positionH relativeFrom="column">
            <wp:posOffset>5541111</wp:posOffset>
          </wp:positionH>
          <wp:positionV relativeFrom="paragraph">
            <wp:posOffset>6680</wp:posOffset>
          </wp:positionV>
          <wp:extent cx="915035" cy="6667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5035" cy="666750"/>
                  </a:xfrm>
                  <a:prstGeom prst="rect">
                    <a:avLst/>
                  </a:prstGeom>
                  <a:noFill/>
                </pic:spPr>
              </pic:pic>
            </a:graphicData>
          </a:graphic>
          <wp14:sizeRelH relativeFrom="page">
            <wp14:pctWidth>0</wp14:pctWidth>
          </wp14:sizeRelH>
          <wp14:sizeRelV relativeFrom="page">
            <wp14:pctHeight>0</wp14:pctHeight>
          </wp14:sizeRelV>
        </wp:anchor>
      </w:drawing>
    </w:r>
    <w:r w:rsidR="00FB047F">
      <w:rPr>
        <w:rFonts w:ascii="Times New Roman" w:eastAsia="Calibri" w:hAnsi="Times New Roman" w:cs="Arial"/>
        <w:bCs/>
        <w:smallCaps/>
        <w:spacing w:val="20"/>
        <w:sz w:val="32"/>
        <w:szCs w:val="32"/>
      </w:rPr>
      <w:t>Congreso del Estado Independiente,</w:t>
    </w:r>
  </w:p>
  <w:p w:rsidR="00FB047F" w:rsidRDefault="00FB047F" w:rsidP="00DE4EF2">
    <w:pPr>
      <w:tabs>
        <w:tab w:val="center" w:pos="4419"/>
        <w:tab w:val="left" w:pos="5040"/>
        <w:tab w:val="right" w:pos="8838"/>
      </w:tabs>
      <w:spacing w:after="0" w:line="240" w:lineRule="auto"/>
      <w:ind w:right="-93"/>
      <w:jc w:val="center"/>
      <w:rPr>
        <w:rFonts w:ascii="Times New Roman" w:eastAsia="Calibri" w:hAnsi="Times New Roman" w:cs="Arial"/>
        <w:bCs/>
        <w:smallCaps/>
        <w:spacing w:val="20"/>
        <w:sz w:val="32"/>
        <w:szCs w:val="32"/>
      </w:rPr>
    </w:pPr>
    <w:r>
      <w:rPr>
        <w:rFonts w:ascii="Times New Roman" w:eastAsia="Calibri" w:hAnsi="Times New Roman" w:cs="Arial"/>
        <w:bCs/>
        <w:smallCaps/>
        <w:spacing w:val="20"/>
        <w:sz w:val="32"/>
        <w:szCs w:val="32"/>
      </w:rPr>
      <w:t>Libre y Soberano de Coahuila de Zaragoza</w:t>
    </w:r>
  </w:p>
  <w:p w:rsidR="00FB047F" w:rsidRDefault="00FB047F" w:rsidP="00DE4EF2">
    <w:pPr>
      <w:tabs>
        <w:tab w:val="center" w:pos="4419"/>
        <w:tab w:val="left" w:pos="5040"/>
        <w:tab w:val="right" w:pos="8838"/>
      </w:tabs>
      <w:spacing w:after="0" w:line="240" w:lineRule="auto"/>
      <w:ind w:right="-93"/>
      <w:jc w:val="center"/>
      <w:rPr>
        <w:rFonts w:ascii="Times New Roman" w:eastAsia="Calibri" w:hAnsi="Times New Roman" w:cs="Arial"/>
        <w:bCs/>
        <w:smallCaps/>
        <w:spacing w:val="20"/>
        <w:sz w:val="32"/>
        <w:szCs w:val="32"/>
      </w:rPr>
    </w:pPr>
  </w:p>
  <w:p w:rsidR="00FB047F" w:rsidRDefault="00FB047F" w:rsidP="00DE4EF2">
    <w:pPr>
      <w:tabs>
        <w:tab w:val="center" w:pos="4419"/>
        <w:tab w:val="left" w:pos="5040"/>
        <w:tab w:val="right" w:pos="8838"/>
      </w:tabs>
      <w:spacing w:after="0" w:line="240" w:lineRule="auto"/>
      <w:ind w:right="-93"/>
      <w:jc w:val="center"/>
      <w:rPr>
        <w:rFonts w:ascii="Times New Roman" w:eastAsia="Calibri" w:hAnsi="Times New Roman" w:cs="Arial"/>
        <w:bCs/>
        <w:smallCaps/>
        <w:spacing w:val="20"/>
        <w:sz w:val="28"/>
        <w:szCs w:val="28"/>
      </w:rPr>
    </w:pPr>
    <w:r>
      <w:rPr>
        <w:rFonts w:ascii="Edwardian Script ITC" w:eastAsia="Calibri" w:hAnsi="Edwardian Script ITC" w:cs="Arial"/>
        <w:sz w:val="28"/>
        <w:szCs w:val="28"/>
      </w:rPr>
      <w:t>“2019 año del Respeto y Protección de los Derechos Humanos en el Estado de Coahuila de Zaragoza”</w:t>
    </w:r>
  </w:p>
  <w:p w:rsidR="00FB047F" w:rsidRDefault="00FB047F" w:rsidP="00F6308B">
    <w:pPr>
      <w:pStyle w:val="Encabezado"/>
      <w:ind w:right="49"/>
      <w:rPr>
        <w:rFonts w:ascii="Times New Roman" w:hAnsi="Times New Roman"/>
        <w:smallCaps/>
      </w:rPr>
    </w:pPr>
  </w:p>
  <w:p w:rsidR="00FB047F" w:rsidRDefault="00FB047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5EE"/>
    <w:multiLevelType w:val="hybridMultilevel"/>
    <w:tmpl w:val="D0ACEC26"/>
    <w:lvl w:ilvl="0" w:tplc="17009D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F839D1"/>
    <w:multiLevelType w:val="hybridMultilevel"/>
    <w:tmpl w:val="E6FAAFB6"/>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3E250C"/>
    <w:multiLevelType w:val="hybridMultilevel"/>
    <w:tmpl w:val="0C7C62B6"/>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6E4D43"/>
    <w:multiLevelType w:val="hybridMultilevel"/>
    <w:tmpl w:val="23F499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850FF2"/>
    <w:multiLevelType w:val="hybridMultilevel"/>
    <w:tmpl w:val="5F1E9F22"/>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E4289A"/>
    <w:multiLevelType w:val="hybridMultilevel"/>
    <w:tmpl w:val="3E1C1876"/>
    <w:lvl w:ilvl="0" w:tplc="0902FF2E">
      <w:start w:val="1"/>
      <w:numFmt w:val="decimal"/>
      <w:lvlText w:val="%1."/>
      <w:lvlJc w:val="left"/>
      <w:pPr>
        <w:ind w:left="435" w:hanging="36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6" w15:restartNumberingAfterBreak="0">
    <w:nsid w:val="229865CF"/>
    <w:multiLevelType w:val="hybridMultilevel"/>
    <w:tmpl w:val="35B82712"/>
    <w:lvl w:ilvl="0" w:tplc="4EB862AE">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370528"/>
    <w:multiLevelType w:val="hybridMultilevel"/>
    <w:tmpl w:val="06869392"/>
    <w:lvl w:ilvl="0" w:tplc="46C690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D65CCF"/>
    <w:multiLevelType w:val="hybridMultilevel"/>
    <w:tmpl w:val="FDBA5A8C"/>
    <w:lvl w:ilvl="0" w:tplc="62DAB47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264A2DB4"/>
    <w:multiLevelType w:val="hybridMultilevel"/>
    <w:tmpl w:val="D9C87424"/>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A85DE0"/>
    <w:multiLevelType w:val="hybridMultilevel"/>
    <w:tmpl w:val="5F76B4D8"/>
    <w:lvl w:ilvl="0" w:tplc="BC102AA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6F10817"/>
    <w:multiLevelType w:val="hybridMultilevel"/>
    <w:tmpl w:val="251030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1410F8"/>
    <w:multiLevelType w:val="hybridMultilevel"/>
    <w:tmpl w:val="FB3CDC2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D48272C"/>
    <w:multiLevelType w:val="hybridMultilevel"/>
    <w:tmpl w:val="FD983B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D7D1BC4"/>
    <w:multiLevelType w:val="hybridMultilevel"/>
    <w:tmpl w:val="251030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860236"/>
    <w:multiLevelType w:val="hybridMultilevel"/>
    <w:tmpl w:val="E4AC4D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8C904E0"/>
    <w:multiLevelType w:val="hybridMultilevel"/>
    <w:tmpl w:val="13B213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AD1712D"/>
    <w:multiLevelType w:val="hybridMultilevel"/>
    <w:tmpl w:val="DE96D272"/>
    <w:lvl w:ilvl="0" w:tplc="DCDC7E18">
      <w:start w:val="1"/>
      <w:numFmt w:val="decimal"/>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0ED62F6"/>
    <w:multiLevelType w:val="hybridMultilevel"/>
    <w:tmpl w:val="94A2AF60"/>
    <w:lvl w:ilvl="0" w:tplc="0870F6CC">
      <w:start w:val="1"/>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398394B"/>
    <w:multiLevelType w:val="hybridMultilevel"/>
    <w:tmpl w:val="C9287A1C"/>
    <w:lvl w:ilvl="0" w:tplc="169A904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4E47679"/>
    <w:multiLevelType w:val="hybridMultilevel"/>
    <w:tmpl w:val="E460C6BE"/>
    <w:lvl w:ilvl="0" w:tplc="300CB5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6140C62"/>
    <w:multiLevelType w:val="hybridMultilevel"/>
    <w:tmpl w:val="CDDE6D66"/>
    <w:lvl w:ilvl="0" w:tplc="E2E4FACA">
      <w:start w:val="1"/>
      <w:numFmt w:val="upperRoman"/>
      <w:lvlText w:val="%1."/>
      <w:lvlJc w:val="left"/>
      <w:pPr>
        <w:ind w:left="1395" w:hanging="720"/>
      </w:pPr>
      <w:rPr>
        <w:rFonts w:hint="default"/>
      </w:rPr>
    </w:lvl>
    <w:lvl w:ilvl="1" w:tplc="080A0019" w:tentative="1">
      <w:start w:val="1"/>
      <w:numFmt w:val="lowerLetter"/>
      <w:lvlText w:val="%2."/>
      <w:lvlJc w:val="left"/>
      <w:pPr>
        <w:ind w:left="1755" w:hanging="360"/>
      </w:pPr>
    </w:lvl>
    <w:lvl w:ilvl="2" w:tplc="080A001B" w:tentative="1">
      <w:start w:val="1"/>
      <w:numFmt w:val="lowerRoman"/>
      <w:lvlText w:val="%3."/>
      <w:lvlJc w:val="right"/>
      <w:pPr>
        <w:ind w:left="2475" w:hanging="180"/>
      </w:pPr>
    </w:lvl>
    <w:lvl w:ilvl="3" w:tplc="080A000F" w:tentative="1">
      <w:start w:val="1"/>
      <w:numFmt w:val="decimal"/>
      <w:lvlText w:val="%4."/>
      <w:lvlJc w:val="left"/>
      <w:pPr>
        <w:ind w:left="3195" w:hanging="360"/>
      </w:pPr>
    </w:lvl>
    <w:lvl w:ilvl="4" w:tplc="080A0019" w:tentative="1">
      <w:start w:val="1"/>
      <w:numFmt w:val="lowerLetter"/>
      <w:lvlText w:val="%5."/>
      <w:lvlJc w:val="left"/>
      <w:pPr>
        <w:ind w:left="3915" w:hanging="360"/>
      </w:pPr>
    </w:lvl>
    <w:lvl w:ilvl="5" w:tplc="080A001B" w:tentative="1">
      <w:start w:val="1"/>
      <w:numFmt w:val="lowerRoman"/>
      <w:lvlText w:val="%6."/>
      <w:lvlJc w:val="right"/>
      <w:pPr>
        <w:ind w:left="4635" w:hanging="180"/>
      </w:pPr>
    </w:lvl>
    <w:lvl w:ilvl="6" w:tplc="080A000F" w:tentative="1">
      <w:start w:val="1"/>
      <w:numFmt w:val="decimal"/>
      <w:lvlText w:val="%7."/>
      <w:lvlJc w:val="left"/>
      <w:pPr>
        <w:ind w:left="5355" w:hanging="360"/>
      </w:pPr>
    </w:lvl>
    <w:lvl w:ilvl="7" w:tplc="080A0019" w:tentative="1">
      <w:start w:val="1"/>
      <w:numFmt w:val="lowerLetter"/>
      <w:lvlText w:val="%8."/>
      <w:lvlJc w:val="left"/>
      <w:pPr>
        <w:ind w:left="6075" w:hanging="360"/>
      </w:pPr>
    </w:lvl>
    <w:lvl w:ilvl="8" w:tplc="080A001B" w:tentative="1">
      <w:start w:val="1"/>
      <w:numFmt w:val="lowerRoman"/>
      <w:lvlText w:val="%9."/>
      <w:lvlJc w:val="right"/>
      <w:pPr>
        <w:ind w:left="6795" w:hanging="180"/>
      </w:pPr>
    </w:lvl>
  </w:abstractNum>
  <w:abstractNum w:abstractNumId="22" w15:restartNumberingAfterBreak="0">
    <w:nsid w:val="58462BCD"/>
    <w:multiLevelType w:val="hybridMultilevel"/>
    <w:tmpl w:val="A06251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8A15847"/>
    <w:multiLevelType w:val="hybridMultilevel"/>
    <w:tmpl w:val="057E01E8"/>
    <w:lvl w:ilvl="0" w:tplc="D758E746">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59B95D64"/>
    <w:multiLevelType w:val="multilevel"/>
    <w:tmpl w:val="2CE4A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AC62B72"/>
    <w:multiLevelType w:val="multilevel"/>
    <w:tmpl w:val="D3FAD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5464EA"/>
    <w:multiLevelType w:val="hybridMultilevel"/>
    <w:tmpl w:val="E1C026CE"/>
    <w:lvl w:ilvl="0" w:tplc="66FA00F4">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C9807F5"/>
    <w:multiLevelType w:val="hybridMultilevel"/>
    <w:tmpl w:val="57A274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326713F"/>
    <w:multiLevelType w:val="hybridMultilevel"/>
    <w:tmpl w:val="618A4D36"/>
    <w:lvl w:ilvl="0" w:tplc="63A04C2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D327744"/>
    <w:multiLevelType w:val="hybridMultilevel"/>
    <w:tmpl w:val="9760C4AE"/>
    <w:lvl w:ilvl="0" w:tplc="745448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E9F1844"/>
    <w:multiLevelType w:val="hybridMultilevel"/>
    <w:tmpl w:val="13701F7A"/>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F126402"/>
    <w:multiLevelType w:val="hybridMultilevel"/>
    <w:tmpl w:val="192E66B6"/>
    <w:lvl w:ilvl="0" w:tplc="0A468E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1A93288"/>
    <w:multiLevelType w:val="hybridMultilevel"/>
    <w:tmpl w:val="E5825880"/>
    <w:lvl w:ilvl="0" w:tplc="7F2EAD0A">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966096A"/>
    <w:multiLevelType w:val="hybridMultilevel"/>
    <w:tmpl w:val="9034C2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28"/>
  </w:num>
  <w:num w:numId="4">
    <w:abstractNumId w:val="14"/>
  </w:num>
  <w:num w:numId="5">
    <w:abstractNumId w:val="5"/>
  </w:num>
  <w:num w:numId="6">
    <w:abstractNumId w:val="16"/>
  </w:num>
  <w:num w:numId="7">
    <w:abstractNumId w:val="22"/>
  </w:num>
  <w:num w:numId="8">
    <w:abstractNumId w:val="10"/>
  </w:num>
  <w:num w:numId="9">
    <w:abstractNumId w:val="18"/>
  </w:num>
  <w:num w:numId="10">
    <w:abstractNumId w:val="13"/>
  </w:num>
  <w:num w:numId="11">
    <w:abstractNumId w:val="30"/>
  </w:num>
  <w:num w:numId="12">
    <w:abstractNumId w:val="19"/>
  </w:num>
  <w:num w:numId="13">
    <w:abstractNumId w:val="11"/>
  </w:num>
  <w:num w:numId="14">
    <w:abstractNumId w:val="27"/>
  </w:num>
  <w:num w:numId="15">
    <w:abstractNumId w:val="17"/>
  </w:num>
  <w:num w:numId="16">
    <w:abstractNumId w:val="3"/>
  </w:num>
  <w:num w:numId="17">
    <w:abstractNumId w:val="9"/>
  </w:num>
  <w:num w:numId="18">
    <w:abstractNumId w:val="1"/>
  </w:num>
  <w:num w:numId="19">
    <w:abstractNumId w:val="6"/>
  </w:num>
  <w:num w:numId="20">
    <w:abstractNumId w:val="12"/>
  </w:num>
  <w:num w:numId="21">
    <w:abstractNumId w:val="2"/>
  </w:num>
  <w:num w:numId="22">
    <w:abstractNumId w:val="4"/>
  </w:num>
  <w:num w:numId="23">
    <w:abstractNumId w:val="7"/>
  </w:num>
  <w:num w:numId="24">
    <w:abstractNumId w:val="15"/>
  </w:num>
  <w:num w:numId="25">
    <w:abstractNumId w:val="29"/>
  </w:num>
  <w:num w:numId="26">
    <w:abstractNumId w:val="23"/>
  </w:num>
  <w:num w:numId="27">
    <w:abstractNumId w:val="8"/>
  </w:num>
  <w:num w:numId="28">
    <w:abstractNumId w:val="32"/>
  </w:num>
  <w:num w:numId="29">
    <w:abstractNumId w:val="26"/>
  </w:num>
  <w:num w:numId="30">
    <w:abstractNumId w:val="31"/>
  </w:num>
  <w:num w:numId="31">
    <w:abstractNumId w:val="24"/>
  </w:num>
  <w:num w:numId="32">
    <w:abstractNumId w:val="25"/>
  </w:num>
  <w:num w:numId="33">
    <w:abstractNumId w:val="21"/>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D17"/>
    <w:rsid w:val="00001F1E"/>
    <w:rsid w:val="00014A57"/>
    <w:rsid w:val="00016F9F"/>
    <w:rsid w:val="000302FE"/>
    <w:rsid w:val="00032554"/>
    <w:rsid w:val="00060129"/>
    <w:rsid w:val="00063693"/>
    <w:rsid w:val="00067E06"/>
    <w:rsid w:val="00076CCD"/>
    <w:rsid w:val="000804CB"/>
    <w:rsid w:val="00085883"/>
    <w:rsid w:val="00093152"/>
    <w:rsid w:val="0009571E"/>
    <w:rsid w:val="000977AA"/>
    <w:rsid w:val="000B0244"/>
    <w:rsid w:val="000B1E21"/>
    <w:rsid w:val="000C3AA2"/>
    <w:rsid w:val="000C477E"/>
    <w:rsid w:val="000C59B9"/>
    <w:rsid w:val="000E1533"/>
    <w:rsid w:val="000E3B9F"/>
    <w:rsid w:val="000E7908"/>
    <w:rsid w:val="00102200"/>
    <w:rsid w:val="00120AD0"/>
    <w:rsid w:val="00137394"/>
    <w:rsid w:val="0014308F"/>
    <w:rsid w:val="001442CB"/>
    <w:rsid w:val="00150AD7"/>
    <w:rsid w:val="00152978"/>
    <w:rsid w:val="001560B6"/>
    <w:rsid w:val="00174F5C"/>
    <w:rsid w:val="00180918"/>
    <w:rsid w:val="00192B54"/>
    <w:rsid w:val="00194954"/>
    <w:rsid w:val="001A1B82"/>
    <w:rsid w:val="001B1171"/>
    <w:rsid w:val="001B48C6"/>
    <w:rsid w:val="001C3B59"/>
    <w:rsid w:val="001D1214"/>
    <w:rsid w:val="001D72C3"/>
    <w:rsid w:val="001E4B17"/>
    <w:rsid w:val="001E6C6D"/>
    <w:rsid w:val="001F4F59"/>
    <w:rsid w:val="001F6298"/>
    <w:rsid w:val="0020034A"/>
    <w:rsid w:val="002019BD"/>
    <w:rsid w:val="0020786A"/>
    <w:rsid w:val="00217432"/>
    <w:rsid w:val="00231A62"/>
    <w:rsid w:val="00255CB6"/>
    <w:rsid w:val="002644B8"/>
    <w:rsid w:val="00266E22"/>
    <w:rsid w:val="002754A2"/>
    <w:rsid w:val="002800F4"/>
    <w:rsid w:val="00286039"/>
    <w:rsid w:val="00290676"/>
    <w:rsid w:val="002A37A1"/>
    <w:rsid w:val="002A5F2B"/>
    <w:rsid w:val="002B3440"/>
    <w:rsid w:val="002B3EE0"/>
    <w:rsid w:val="002B54B7"/>
    <w:rsid w:val="002C76E6"/>
    <w:rsid w:val="002D21AE"/>
    <w:rsid w:val="002E72A8"/>
    <w:rsid w:val="002F5352"/>
    <w:rsid w:val="0030428F"/>
    <w:rsid w:val="0030515B"/>
    <w:rsid w:val="0030725F"/>
    <w:rsid w:val="003157BE"/>
    <w:rsid w:val="003167B0"/>
    <w:rsid w:val="00323311"/>
    <w:rsid w:val="0033492A"/>
    <w:rsid w:val="00370CD2"/>
    <w:rsid w:val="00373D09"/>
    <w:rsid w:val="00383283"/>
    <w:rsid w:val="003963CC"/>
    <w:rsid w:val="0039754D"/>
    <w:rsid w:val="00397E2A"/>
    <w:rsid w:val="003A7CB9"/>
    <w:rsid w:val="003B6908"/>
    <w:rsid w:val="003C3CF5"/>
    <w:rsid w:val="003C670B"/>
    <w:rsid w:val="003C7FFC"/>
    <w:rsid w:val="003D6AC0"/>
    <w:rsid w:val="003E1F31"/>
    <w:rsid w:val="003F0051"/>
    <w:rsid w:val="003F51B7"/>
    <w:rsid w:val="0040531E"/>
    <w:rsid w:val="00437D96"/>
    <w:rsid w:val="00440E28"/>
    <w:rsid w:val="0044503D"/>
    <w:rsid w:val="0045020B"/>
    <w:rsid w:val="00453E22"/>
    <w:rsid w:val="00456EB7"/>
    <w:rsid w:val="004621A0"/>
    <w:rsid w:val="00464189"/>
    <w:rsid w:val="0046481D"/>
    <w:rsid w:val="0046620F"/>
    <w:rsid w:val="004931FE"/>
    <w:rsid w:val="00497E91"/>
    <w:rsid w:val="004A1FD4"/>
    <w:rsid w:val="004B01A5"/>
    <w:rsid w:val="004B6FA1"/>
    <w:rsid w:val="004B7110"/>
    <w:rsid w:val="004E3A1B"/>
    <w:rsid w:val="004E5B9B"/>
    <w:rsid w:val="004F3AAA"/>
    <w:rsid w:val="005026AE"/>
    <w:rsid w:val="00505D09"/>
    <w:rsid w:val="005143C2"/>
    <w:rsid w:val="00515F85"/>
    <w:rsid w:val="005235AF"/>
    <w:rsid w:val="0054225F"/>
    <w:rsid w:val="0054646D"/>
    <w:rsid w:val="00555A10"/>
    <w:rsid w:val="005603FA"/>
    <w:rsid w:val="00567B25"/>
    <w:rsid w:val="00570C66"/>
    <w:rsid w:val="00577A97"/>
    <w:rsid w:val="00581C1D"/>
    <w:rsid w:val="005B06E7"/>
    <w:rsid w:val="005B338B"/>
    <w:rsid w:val="005B5C77"/>
    <w:rsid w:val="005D7470"/>
    <w:rsid w:val="005E4570"/>
    <w:rsid w:val="005E5F54"/>
    <w:rsid w:val="005E6A70"/>
    <w:rsid w:val="005F4926"/>
    <w:rsid w:val="005F7EE5"/>
    <w:rsid w:val="00600D76"/>
    <w:rsid w:val="00613366"/>
    <w:rsid w:val="00616D96"/>
    <w:rsid w:val="00634E2E"/>
    <w:rsid w:val="006527E1"/>
    <w:rsid w:val="0065487C"/>
    <w:rsid w:val="00654ABB"/>
    <w:rsid w:val="00671486"/>
    <w:rsid w:val="00676AD6"/>
    <w:rsid w:val="00676E99"/>
    <w:rsid w:val="006801D1"/>
    <w:rsid w:val="006B09D1"/>
    <w:rsid w:val="006B35D3"/>
    <w:rsid w:val="006E497B"/>
    <w:rsid w:val="006F2CDB"/>
    <w:rsid w:val="006F58A5"/>
    <w:rsid w:val="00700F72"/>
    <w:rsid w:val="007020F3"/>
    <w:rsid w:val="007064FC"/>
    <w:rsid w:val="0071624C"/>
    <w:rsid w:val="007172A2"/>
    <w:rsid w:val="0073269E"/>
    <w:rsid w:val="00733786"/>
    <w:rsid w:val="00743E63"/>
    <w:rsid w:val="00747509"/>
    <w:rsid w:val="00750EDA"/>
    <w:rsid w:val="00755DC1"/>
    <w:rsid w:val="00795817"/>
    <w:rsid w:val="007A2E48"/>
    <w:rsid w:val="007B04F4"/>
    <w:rsid w:val="007B30EC"/>
    <w:rsid w:val="007B5D47"/>
    <w:rsid w:val="007C07FA"/>
    <w:rsid w:val="007C6701"/>
    <w:rsid w:val="007D4469"/>
    <w:rsid w:val="007E1138"/>
    <w:rsid w:val="007E7A2D"/>
    <w:rsid w:val="007F06F4"/>
    <w:rsid w:val="007F4E02"/>
    <w:rsid w:val="007F628C"/>
    <w:rsid w:val="007F7766"/>
    <w:rsid w:val="00803E9E"/>
    <w:rsid w:val="00810339"/>
    <w:rsid w:val="008212AF"/>
    <w:rsid w:val="00832EA4"/>
    <w:rsid w:val="008331E8"/>
    <w:rsid w:val="008476D9"/>
    <w:rsid w:val="008527F1"/>
    <w:rsid w:val="00855641"/>
    <w:rsid w:val="0088562F"/>
    <w:rsid w:val="00885DE6"/>
    <w:rsid w:val="00887317"/>
    <w:rsid w:val="00895559"/>
    <w:rsid w:val="00897A28"/>
    <w:rsid w:val="008A5B9F"/>
    <w:rsid w:val="008A5C25"/>
    <w:rsid w:val="008A7A8C"/>
    <w:rsid w:val="008C0174"/>
    <w:rsid w:val="008D6B57"/>
    <w:rsid w:val="008D6EA2"/>
    <w:rsid w:val="008D71EA"/>
    <w:rsid w:val="008D7251"/>
    <w:rsid w:val="008F77A6"/>
    <w:rsid w:val="00901FF5"/>
    <w:rsid w:val="00911D0C"/>
    <w:rsid w:val="00924DA3"/>
    <w:rsid w:val="00925142"/>
    <w:rsid w:val="00932E6A"/>
    <w:rsid w:val="009439AD"/>
    <w:rsid w:val="00952143"/>
    <w:rsid w:val="009802F3"/>
    <w:rsid w:val="00991B31"/>
    <w:rsid w:val="00995CF2"/>
    <w:rsid w:val="009A19AA"/>
    <w:rsid w:val="009A6794"/>
    <w:rsid w:val="009B10EB"/>
    <w:rsid w:val="009B42EC"/>
    <w:rsid w:val="009B539A"/>
    <w:rsid w:val="009C5529"/>
    <w:rsid w:val="009D68CD"/>
    <w:rsid w:val="009D7063"/>
    <w:rsid w:val="009E0B1C"/>
    <w:rsid w:val="009E2941"/>
    <w:rsid w:val="00A10BF3"/>
    <w:rsid w:val="00A230CC"/>
    <w:rsid w:val="00A263B0"/>
    <w:rsid w:val="00A37343"/>
    <w:rsid w:val="00A41B2A"/>
    <w:rsid w:val="00A46221"/>
    <w:rsid w:val="00A50D8A"/>
    <w:rsid w:val="00A65485"/>
    <w:rsid w:val="00A70FA0"/>
    <w:rsid w:val="00A77F5D"/>
    <w:rsid w:val="00A81565"/>
    <w:rsid w:val="00A86E8C"/>
    <w:rsid w:val="00A92044"/>
    <w:rsid w:val="00AA28DB"/>
    <w:rsid w:val="00AB38B0"/>
    <w:rsid w:val="00AB55B3"/>
    <w:rsid w:val="00AC10A7"/>
    <w:rsid w:val="00AC21DF"/>
    <w:rsid w:val="00AC67F1"/>
    <w:rsid w:val="00AC6946"/>
    <w:rsid w:val="00AC755C"/>
    <w:rsid w:val="00AC7C05"/>
    <w:rsid w:val="00AD01C6"/>
    <w:rsid w:val="00AD6419"/>
    <w:rsid w:val="00AE3C85"/>
    <w:rsid w:val="00AE48E7"/>
    <w:rsid w:val="00AE4F58"/>
    <w:rsid w:val="00B14C27"/>
    <w:rsid w:val="00B27CDD"/>
    <w:rsid w:val="00B31BEC"/>
    <w:rsid w:val="00B342DA"/>
    <w:rsid w:val="00B42917"/>
    <w:rsid w:val="00B6787E"/>
    <w:rsid w:val="00B7589C"/>
    <w:rsid w:val="00B76E46"/>
    <w:rsid w:val="00B85336"/>
    <w:rsid w:val="00B9538F"/>
    <w:rsid w:val="00BA7379"/>
    <w:rsid w:val="00BB6972"/>
    <w:rsid w:val="00BD25AB"/>
    <w:rsid w:val="00BD64BD"/>
    <w:rsid w:val="00BF7E4A"/>
    <w:rsid w:val="00C17795"/>
    <w:rsid w:val="00C21859"/>
    <w:rsid w:val="00C235B0"/>
    <w:rsid w:val="00C23ACA"/>
    <w:rsid w:val="00C25273"/>
    <w:rsid w:val="00C36D99"/>
    <w:rsid w:val="00C44DEC"/>
    <w:rsid w:val="00C64F31"/>
    <w:rsid w:val="00C8047A"/>
    <w:rsid w:val="00C85E4A"/>
    <w:rsid w:val="00C9419D"/>
    <w:rsid w:val="00CB5036"/>
    <w:rsid w:val="00CC02D4"/>
    <w:rsid w:val="00CC1546"/>
    <w:rsid w:val="00CC1EED"/>
    <w:rsid w:val="00CC610F"/>
    <w:rsid w:val="00CC6B63"/>
    <w:rsid w:val="00CD7610"/>
    <w:rsid w:val="00CE118F"/>
    <w:rsid w:val="00CE12BE"/>
    <w:rsid w:val="00CE19C5"/>
    <w:rsid w:val="00CF0507"/>
    <w:rsid w:val="00D040F3"/>
    <w:rsid w:val="00D10D78"/>
    <w:rsid w:val="00D1180A"/>
    <w:rsid w:val="00D143F3"/>
    <w:rsid w:val="00D22CF2"/>
    <w:rsid w:val="00D3112B"/>
    <w:rsid w:val="00D337A9"/>
    <w:rsid w:val="00D348F7"/>
    <w:rsid w:val="00D35E3A"/>
    <w:rsid w:val="00D37B09"/>
    <w:rsid w:val="00D51383"/>
    <w:rsid w:val="00D53224"/>
    <w:rsid w:val="00D64C48"/>
    <w:rsid w:val="00D66061"/>
    <w:rsid w:val="00D81F5C"/>
    <w:rsid w:val="00D853FA"/>
    <w:rsid w:val="00D8631E"/>
    <w:rsid w:val="00D97EF2"/>
    <w:rsid w:val="00DB4062"/>
    <w:rsid w:val="00DC2DE7"/>
    <w:rsid w:val="00DC78AE"/>
    <w:rsid w:val="00DD0926"/>
    <w:rsid w:val="00DD2357"/>
    <w:rsid w:val="00DD4E7E"/>
    <w:rsid w:val="00DD5774"/>
    <w:rsid w:val="00DD5A5D"/>
    <w:rsid w:val="00DD5E3A"/>
    <w:rsid w:val="00DE4EF2"/>
    <w:rsid w:val="00E009E2"/>
    <w:rsid w:val="00E037D8"/>
    <w:rsid w:val="00E1007B"/>
    <w:rsid w:val="00E10D3C"/>
    <w:rsid w:val="00E21B53"/>
    <w:rsid w:val="00E2399F"/>
    <w:rsid w:val="00E24769"/>
    <w:rsid w:val="00E279E9"/>
    <w:rsid w:val="00E346AF"/>
    <w:rsid w:val="00E34976"/>
    <w:rsid w:val="00E3531E"/>
    <w:rsid w:val="00E42526"/>
    <w:rsid w:val="00E47842"/>
    <w:rsid w:val="00E5505E"/>
    <w:rsid w:val="00E61EC4"/>
    <w:rsid w:val="00E655DA"/>
    <w:rsid w:val="00E72168"/>
    <w:rsid w:val="00E800DA"/>
    <w:rsid w:val="00E85407"/>
    <w:rsid w:val="00E85EB7"/>
    <w:rsid w:val="00EA29D0"/>
    <w:rsid w:val="00EB30C0"/>
    <w:rsid w:val="00EC028D"/>
    <w:rsid w:val="00EC5ABE"/>
    <w:rsid w:val="00ED6DEC"/>
    <w:rsid w:val="00EF74C7"/>
    <w:rsid w:val="00F21497"/>
    <w:rsid w:val="00F24768"/>
    <w:rsid w:val="00F34412"/>
    <w:rsid w:val="00F46473"/>
    <w:rsid w:val="00F508C3"/>
    <w:rsid w:val="00F6308B"/>
    <w:rsid w:val="00F71434"/>
    <w:rsid w:val="00F8527C"/>
    <w:rsid w:val="00F97D17"/>
    <w:rsid w:val="00FB047F"/>
    <w:rsid w:val="00FB07E2"/>
    <w:rsid w:val="00FB21B4"/>
    <w:rsid w:val="00FC526C"/>
    <w:rsid w:val="00FD2F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2EFCA"/>
  <w15:docId w15:val="{A3FC2B30-0625-4085-AD9A-32A5CE88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D17"/>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7D1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F97D17"/>
    <w:rPr>
      <w:lang w:val="es-MX"/>
    </w:rPr>
  </w:style>
  <w:style w:type="paragraph" w:styleId="Piedepgina">
    <w:name w:val="footer"/>
    <w:basedOn w:val="Normal"/>
    <w:link w:val="PiedepginaCar"/>
    <w:uiPriority w:val="99"/>
    <w:unhideWhenUsed/>
    <w:rsid w:val="00F97D1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F97D17"/>
    <w:rPr>
      <w:lang w:val="es-MX"/>
    </w:rPr>
  </w:style>
  <w:style w:type="paragraph" w:styleId="Textonotapie">
    <w:name w:val="footnote text"/>
    <w:basedOn w:val="Normal"/>
    <w:link w:val="TextonotapieCar"/>
    <w:uiPriority w:val="99"/>
    <w:semiHidden/>
    <w:unhideWhenUsed/>
    <w:rsid w:val="005F7EE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F7EE5"/>
    <w:rPr>
      <w:sz w:val="20"/>
      <w:szCs w:val="20"/>
      <w:lang w:val="es-MX"/>
    </w:rPr>
  </w:style>
  <w:style w:type="character" w:styleId="Refdenotaalpie">
    <w:name w:val="footnote reference"/>
    <w:basedOn w:val="Fuentedeprrafopredeter"/>
    <w:uiPriority w:val="99"/>
    <w:semiHidden/>
    <w:unhideWhenUsed/>
    <w:rsid w:val="005F7EE5"/>
    <w:rPr>
      <w:vertAlign w:val="superscript"/>
    </w:rPr>
  </w:style>
  <w:style w:type="paragraph" w:styleId="Prrafodelista">
    <w:name w:val="List Paragraph"/>
    <w:basedOn w:val="Normal"/>
    <w:uiPriority w:val="34"/>
    <w:qFormat/>
    <w:rsid w:val="000C59B9"/>
    <w:pPr>
      <w:ind w:left="720"/>
      <w:contextualSpacing/>
    </w:pPr>
  </w:style>
  <w:style w:type="character" w:styleId="Refdecomentario">
    <w:name w:val="annotation reference"/>
    <w:basedOn w:val="Fuentedeprrafopredeter"/>
    <w:uiPriority w:val="99"/>
    <w:semiHidden/>
    <w:unhideWhenUsed/>
    <w:rsid w:val="00C9419D"/>
    <w:rPr>
      <w:sz w:val="16"/>
      <w:szCs w:val="16"/>
    </w:rPr>
  </w:style>
  <w:style w:type="paragraph" w:styleId="Textocomentario">
    <w:name w:val="annotation text"/>
    <w:basedOn w:val="Normal"/>
    <w:link w:val="TextocomentarioCar"/>
    <w:uiPriority w:val="99"/>
    <w:semiHidden/>
    <w:unhideWhenUsed/>
    <w:rsid w:val="00C9419D"/>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C9419D"/>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C9419D"/>
    <w:rPr>
      <w:b/>
      <w:bCs/>
    </w:rPr>
  </w:style>
  <w:style w:type="character" w:customStyle="1" w:styleId="AsuntodelcomentarioCar">
    <w:name w:val="Asunto del comentario Car"/>
    <w:basedOn w:val="TextocomentarioCar"/>
    <w:link w:val="Asuntodelcomentario"/>
    <w:uiPriority w:val="99"/>
    <w:semiHidden/>
    <w:rsid w:val="00C9419D"/>
    <w:rPr>
      <w:b/>
      <w:bCs/>
      <w:sz w:val="20"/>
      <w:szCs w:val="20"/>
      <w:lang w:val="es-MX"/>
    </w:rPr>
  </w:style>
  <w:style w:type="paragraph" w:styleId="Textodeglobo">
    <w:name w:val="Balloon Text"/>
    <w:basedOn w:val="Normal"/>
    <w:link w:val="TextodegloboCar"/>
    <w:uiPriority w:val="99"/>
    <w:semiHidden/>
    <w:unhideWhenUsed/>
    <w:rsid w:val="00C9419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419D"/>
    <w:rPr>
      <w:rFonts w:ascii="Segoe UI" w:hAnsi="Segoe UI" w:cs="Segoe UI"/>
      <w:sz w:val="18"/>
      <w:szCs w:val="18"/>
      <w:lang w:val="es-MX"/>
    </w:rPr>
  </w:style>
  <w:style w:type="paragraph" w:styleId="Sangradetextonormal">
    <w:name w:val="Body Text Indent"/>
    <w:basedOn w:val="Normal"/>
    <w:link w:val="SangradetextonormalCar"/>
    <w:rsid w:val="00C9419D"/>
    <w:pPr>
      <w:spacing w:after="0" w:line="240" w:lineRule="auto"/>
      <w:ind w:left="397" w:hanging="397"/>
      <w:jc w:val="both"/>
    </w:pPr>
    <w:rPr>
      <w:rFonts w:ascii="Arial" w:eastAsia="Times New Roman" w:hAnsi="Arial" w:cs="Times New Roman"/>
      <w:sz w:val="20"/>
      <w:szCs w:val="20"/>
      <w:lang w:val="es-ES_tradnl" w:eastAsia="es-ES"/>
    </w:rPr>
  </w:style>
  <w:style w:type="character" w:customStyle="1" w:styleId="SangradetextonormalCar">
    <w:name w:val="Sangría de texto normal Car"/>
    <w:basedOn w:val="Fuentedeprrafopredeter"/>
    <w:link w:val="Sangradetextonormal"/>
    <w:rsid w:val="00C9419D"/>
    <w:rPr>
      <w:rFonts w:ascii="Arial" w:eastAsia="Times New Roman" w:hAnsi="Arial" w:cs="Times New Roman"/>
      <w:sz w:val="20"/>
      <w:szCs w:val="20"/>
      <w:lang w:val="es-ES_tradnl" w:eastAsia="es-ES"/>
    </w:rPr>
  </w:style>
  <w:style w:type="paragraph" w:customStyle="1" w:styleId="Default">
    <w:name w:val="Default"/>
    <w:rsid w:val="00C9419D"/>
    <w:pPr>
      <w:autoSpaceDE w:val="0"/>
      <w:autoSpaceDN w:val="0"/>
      <w:adjustRightInd w:val="0"/>
      <w:spacing w:after="0" w:line="240" w:lineRule="auto"/>
    </w:pPr>
    <w:rPr>
      <w:rFonts w:ascii="Times New Roman" w:hAnsi="Times New Roman" w:cs="Times New Roman"/>
      <w:color w:val="000000"/>
      <w:sz w:val="24"/>
      <w:szCs w:val="24"/>
      <w:lang w:val="es-MX"/>
    </w:rPr>
  </w:style>
  <w:style w:type="character" w:styleId="Hipervnculo">
    <w:name w:val="Hyperlink"/>
    <w:basedOn w:val="Fuentedeprrafopredeter"/>
    <w:uiPriority w:val="99"/>
    <w:unhideWhenUsed/>
    <w:rsid w:val="00ED6DEC"/>
    <w:rPr>
      <w:color w:val="0000FF" w:themeColor="hyperlink"/>
      <w:u w:val="single"/>
    </w:rPr>
  </w:style>
  <w:style w:type="character" w:customStyle="1" w:styleId="Mencinsinresolver1">
    <w:name w:val="Mención sin resolver1"/>
    <w:basedOn w:val="Fuentedeprrafopredeter"/>
    <w:uiPriority w:val="99"/>
    <w:semiHidden/>
    <w:unhideWhenUsed/>
    <w:rsid w:val="00ED6DEC"/>
    <w:rPr>
      <w:color w:val="605E5C"/>
      <w:shd w:val="clear" w:color="auto" w:fill="E1DFDD"/>
    </w:rPr>
  </w:style>
  <w:style w:type="character" w:styleId="CitaHTML">
    <w:name w:val="HTML Cite"/>
    <w:basedOn w:val="Fuentedeprrafopredeter"/>
    <w:uiPriority w:val="99"/>
    <w:semiHidden/>
    <w:unhideWhenUsed/>
    <w:rsid w:val="00E009E2"/>
    <w:rPr>
      <w:i/>
      <w:iCs/>
    </w:rPr>
  </w:style>
  <w:style w:type="paragraph" w:customStyle="1" w:styleId="action-menu-item">
    <w:name w:val="action-menu-item"/>
    <w:basedOn w:val="Normal"/>
    <w:rsid w:val="00E009E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t">
    <w:name w:val="st"/>
    <w:basedOn w:val="Fuentedeprrafopredeter"/>
    <w:rsid w:val="00E009E2"/>
  </w:style>
  <w:style w:type="character" w:customStyle="1" w:styleId="f">
    <w:name w:val="f"/>
    <w:basedOn w:val="Fuentedeprrafopredeter"/>
    <w:rsid w:val="00E009E2"/>
  </w:style>
  <w:style w:type="character" w:styleId="Hipervnculovisitado">
    <w:name w:val="FollowedHyperlink"/>
    <w:basedOn w:val="Fuentedeprrafopredeter"/>
    <w:uiPriority w:val="99"/>
    <w:semiHidden/>
    <w:unhideWhenUsed/>
    <w:rsid w:val="00EC02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92413">
      <w:bodyDiv w:val="1"/>
      <w:marLeft w:val="0"/>
      <w:marRight w:val="0"/>
      <w:marTop w:val="0"/>
      <w:marBottom w:val="0"/>
      <w:divBdr>
        <w:top w:val="none" w:sz="0" w:space="0" w:color="auto"/>
        <w:left w:val="none" w:sz="0" w:space="0" w:color="auto"/>
        <w:bottom w:val="none" w:sz="0" w:space="0" w:color="auto"/>
        <w:right w:val="none" w:sz="0" w:space="0" w:color="auto"/>
      </w:divBdr>
      <w:divsChild>
        <w:div w:id="1538467722">
          <w:marLeft w:val="0"/>
          <w:marRight w:val="0"/>
          <w:marTop w:val="0"/>
          <w:marBottom w:val="0"/>
          <w:divBdr>
            <w:top w:val="none" w:sz="0" w:space="0" w:color="auto"/>
            <w:left w:val="none" w:sz="0" w:space="0" w:color="auto"/>
            <w:bottom w:val="none" w:sz="0" w:space="0" w:color="auto"/>
            <w:right w:val="none" w:sz="0" w:space="0" w:color="auto"/>
          </w:divBdr>
        </w:div>
        <w:div w:id="1030298233">
          <w:marLeft w:val="45"/>
          <w:marRight w:val="45"/>
          <w:marTop w:val="15"/>
          <w:marBottom w:val="0"/>
          <w:divBdr>
            <w:top w:val="none" w:sz="0" w:space="0" w:color="auto"/>
            <w:left w:val="none" w:sz="0" w:space="0" w:color="auto"/>
            <w:bottom w:val="none" w:sz="0" w:space="0" w:color="auto"/>
            <w:right w:val="none" w:sz="0" w:space="0" w:color="auto"/>
          </w:divBdr>
          <w:divsChild>
            <w:div w:id="984504424">
              <w:marLeft w:val="0"/>
              <w:marRight w:val="0"/>
              <w:marTop w:val="0"/>
              <w:marBottom w:val="0"/>
              <w:divBdr>
                <w:top w:val="none" w:sz="0" w:space="0" w:color="auto"/>
                <w:left w:val="none" w:sz="0" w:space="0" w:color="auto"/>
                <w:bottom w:val="none" w:sz="0" w:space="0" w:color="auto"/>
                <w:right w:val="none" w:sz="0" w:space="0" w:color="auto"/>
              </w:divBdr>
            </w:div>
          </w:divsChild>
        </w:div>
        <w:div w:id="394359353">
          <w:marLeft w:val="0"/>
          <w:marRight w:val="0"/>
          <w:marTop w:val="0"/>
          <w:marBottom w:val="0"/>
          <w:divBdr>
            <w:top w:val="none" w:sz="0" w:space="0" w:color="auto"/>
            <w:left w:val="none" w:sz="0" w:space="0" w:color="auto"/>
            <w:bottom w:val="none" w:sz="0" w:space="0" w:color="auto"/>
            <w:right w:val="none" w:sz="0" w:space="0" w:color="auto"/>
          </w:divBdr>
        </w:div>
      </w:divsChild>
    </w:div>
    <w:div w:id="2030138131">
      <w:bodyDiv w:val="1"/>
      <w:marLeft w:val="0"/>
      <w:marRight w:val="0"/>
      <w:marTop w:val="0"/>
      <w:marBottom w:val="0"/>
      <w:divBdr>
        <w:top w:val="none" w:sz="0" w:space="0" w:color="auto"/>
        <w:left w:val="none" w:sz="0" w:space="0" w:color="auto"/>
        <w:bottom w:val="none" w:sz="0" w:space="0" w:color="auto"/>
        <w:right w:val="none" w:sz="0" w:space="0" w:color="auto"/>
      </w:divBdr>
      <w:divsChild>
        <w:div w:id="1149596589">
          <w:marLeft w:val="0"/>
          <w:marRight w:val="0"/>
          <w:marTop w:val="0"/>
          <w:marBottom w:val="0"/>
          <w:divBdr>
            <w:top w:val="none" w:sz="0" w:space="0" w:color="auto"/>
            <w:left w:val="none" w:sz="0" w:space="0" w:color="auto"/>
            <w:bottom w:val="none" w:sz="0" w:space="0" w:color="auto"/>
            <w:right w:val="none" w:sz="0" w:space="0" w:color="auto"/>
          </w:divBdr>
        </w:div>
        <w:div w:id="2126073998">
          <w:marLeft w:val="45"/>
          <w:marRight w:val="45"/>
          <w:marTop w:val="15"/>
          <w:marBottom w:val="0"/>
          <w:divBdr>
            <w:top w:val="none" w:sz="0" w:space="0" w:color="auto"/>
            <w:left w:val="none" w:sz="0" w:space="0" w:color="auto"/>
            <w:bottom w:val="none" w:sz="0" w:space="0" w:color="auto"/>
            <w:right w:val="none" w:sz="0" w:space="0" w:color="auto"/>
          </w:divBdr>
          <w:divsChild>
            <w:div w:id="306983669">
              <w:marLeft w:val="0"/>
              <w:marRight w:val="0"/>
              <w:marTop w:val="0"/>
              <w:marBottom w:val="0"/>
              <w:divBdr>
                <w:top w:val="none" w:sz="0" w:space="0" w:color="auto"/>
                <w:left w:val="none" w:sz="0" w:space="0" w:color="auto"/>
                <w:bottom w:val="none" w:sz="0" w:space="0" w:color="auto"/>
                <w:right w:val="none" w:sz="0" w:space="0" w:color="auto"/>
              </w:divBdr>
            </w:div>
          </w:divsChild>
        </w:div>
        <w:div w:id="1884749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proceso.com.mx/408629/asesinan-a-transexual-y-cubren-su-cuerpo-con-la-bandera-nacional" TargetMode="External"/><Relationship Id="rId7" Type="http://schemas.openxmlformats.org/officeDocument/2006/relationships/hyperlink" Target="https://cdhdf.org.mx/wp-content/uploads/2019/06/Reco_022019.pdf" TargetMode="External"/><Relationship Id="rId2" Type="http://schemas.openxmlformats.org/officeDocument/2006/relationships/hyperlink" Target="https://kaosenlared.net/mexico-discurso-de-odio-en-chihuahua-llega-hasta-el-transfeminicidio/" TargetMode="External"/><Relationship Id="rId1" Type="http://schemas.openxmlformats.org/officeDocument/2006/relationships/hyperlink" Target="https://archivos.juridicas.unam.mx/www/bjv/libros/11/5498/6.pdf" TargetMode="External"/><Relationship Id="rId6" Type="http://schemas.openxmlformats.org/officeDocument/2006/relationships/hyperlink" Target="http://www.oas.org/es/cidh/multimedia/2015/violencia-lgbti/registro-violencia-lgbt.html" TargetMode="External"/><Relationship Id="rId5" Type="http://schemas.openxmlformats.org/officeDocument/2006/relationships/hyperlink" Target="http://www.oas.org/es/cidh/informes/pdfs/violenciapersonaslgbti.pdf" TargetMode="External"/><Relationship Id="rId4" Type="http://schemas.openxmlformats.org/officeDocument/2006/relationships/hyperlink" Target="https://www.eluniversal.com.mx/nacion/el-riesgo-de-ser-transexual-en-mexi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9966F-8B95-4F64-9815-AC07C221E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2339</Words>
  <Characters>12866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SA32</dc:creator>
  <cp:lastModifiedBy>Juan Lumbreras</cp:lastModifiedBy>
  <cp:revision>7</cp:revision>
  <cp:lastPrinted>2019-09-23T14:36:00Z</cp:lastPrinted>
  <dcterms:created xsi:type="dcterms:W3CDTF">2019-09-24T17:58:00Z</dcterms:created>
  <dcterms:modified xsi:type="dcterms:W3CDTF">2019-09-24T18:19:00Z</dcterms:modified>
</cp:coreProperties>
</file>