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D3" w:rsidRPr="00B33FD3" w:rsidRDefault="00B33FD3" w:rsidP="00B33FD3">
      <w:pPr>
        <w:spacing w:after="0" w:line="240" w:lineRule="auto"/>
        <w:jc w:val="both"/>
        <w:rPr>
          <w:rFonts w:ascii="Arial Narrow" w:eastAsia="Times New Roman" w:hAnsi="Arial Narrow" w:cs="Times New Roman"/>
          <w:color w:val="000000"/>
          <w:sz w:val="26"/>
          <w:szCs w:val="26"/>
          <w:lang w:val="es-ES" w:eastAsia="es-ES"/>
        </w:rPr>
      </w:pPr>
    </w:p>
    <w:p w:rsidR="00B33FD3" w:rsidRPr="00B33FD3" w:rsidRDefault="00B33FD3" w:rsidP="00B33FD3">
      <w:pPr>
        <w:spacing w:after="0" w:line="240" w:lineRule="auto"/>
        <w:jc w:val="both"/>
        <w:rPr>
          <w:rFonts w:ascii="Arial Narrow" w:eastAsia="Times New Roman" w:hAnsi="Arial Narrow" w:cs="Times New Roman"/>
          <w:color w:val="000000"/>
          <w:sz w:val="26"/>
          <w:szCs w:val="26"/>
          <w:lang w:val="es-ES" w:eastAsia="es-ES"/>
        </w:rPr>
      </w:pPr>
    </w:p>
    <w:p w:rsidR="00B33FD3" w:rsidRDefault="00B33FD3" w:rsidP="00B33FD3">
      <w:pPr>
        <w:spacing w:after="0" w:line="240" w:lineRule="auto"/>
        <w:jc w:val="both"/>
        <w:rPr>
          <w:rFonts w:ascii="Arial Narrow" w:eastAsia="Times New Roman" w:hAnsi="Arial Narrow" w:cs="Times New Roman"/>
          <w:color w:val="000000"/>
          <w:sz w:val="26"/>
          <w:szCs w:val="26"/>
          <w:lang w:val="es-ES" w:eastAsia="es-ES"/>
        </w:rPr>
      </w:pPr>
      <w:r w:rsidRPr="00B33FD3">
        <w:rPr>
          <w:rFonts w:ascii="Arial Narrow" w:eastAsia="Times New Roman" w:hAnsi="Arial Narrow" w:cs="Times New Roman"/>
          <w:color w:val="000000"/>
          <w:sz w:val="26"/>
          <w:szCs w:val="26"/>
          <w:lang w:val="es-ES" w:eastAsia="es-ES"/>
        </w:rPr>
        <w:t xml:space="preserve">Iniciativa con Proyecto de Decreto por el que se reforma la fracción I </w:t>
      </w:r>
      <w:r w:rsidR="00393AED">
        <w:rPr>
          <w:rFonts w:ascii="Arial Narrow" w:eastAsia="Times New Roman" w:hAnsi="Arial Narrow" w:cs="Times New Roman"/>
          <w:color w:val="000000"/>
          <w:sz w:val="26"/>
          <w:szCs w:val="26"/>
          <w:lang w:val="es-ES" w:eastAsia="es-ES"/>
        </w:rPr>
        <w:t xml:space="preserve">del artículo 202, </w:t>
      </w:r>
      <w:r w:rsidRPr="00B33FD3">
        <w:rPr>
          <w:rFonts w:ascii="Arial Narrow" w:eastAsia="Times New Roman" w:hAnsi="Arial Narrow" w:cs="Times New Roman"/>
          <w:color w:val="000000"/>
          <w:sz w:val="26"/>
          <w:szCs w:val="26"/>
          <w:lang w:val="es-ES" w:eastAsia="es-ES"/>
        </w:rPr>
        <w:t xml:space="preserve">de la </w:t>
      </w:r>
      <w:r w:rsidRPr="00B33FD3">
        <w:rPr>
          <w:rFonts w:ascii="Arial Narrow" w:eastAsia="Times New Roman" w:hAnsi="Arial Narrow" w:cs="Times New Roman"/>
          <w:b/>
          <w:color w:val="000000"/>
          <w:sz w:val="26"/>
          <w:szCs w:val="26"/>
          <w:lang w:val="es-ES" w:eastAsia="es-ES"/>
        </w:rPr>
        <w:t>Ley de Asentamientos Humanos, Ordenamiento Territorial y Desarrollo Urbano del Estado de Coahuila.</w:t>
      </w:r>
    </w:p>
    <w:p w:rsidR="00B33FD3" w:rsidRDefault="00B33FD3" w:rsidP="00B33FD3">
      <w:pPr>
        <w:spacing w:after="0" w:line="240" w:lineRule="auto"/>
        <w:jc w:val="both"/>
        <w:rPr>
          <w:rFonts w:ascii="Arial Narrow" w:eastAsia="Times New Roman" w:hAnsi="Arial Narrow" w:cs="Times New Roman"/>
          <w:color w:val="000000"/>
          <w:sz w:val="26"/>
          <w:szCs w:val="26"/>
          <w:lang w:val="es-ES" w:eastAsia="es-ES"/>
        </w:rPr>
      </w:pPr>
    </w:p>
    <w:p w:rsidR="00B33FD3" w:rsidRPr="00B33FD3" w:rsidRDefault="00B33FD3" w:rsidP="00B33FD3">
      <w:pPr>
        <w:numPr>
          <w:ilvl w:val="0"/>
          <w:numId w:val="3"/>
        </w:numPr>
        <w:spacing w:after="0" w:line="240" w:lineRule="auto"/>
        <w:ind w:left="714" w:hanging="357"/>
        <w:contextualSpacing/>
        <w:jc w:val="both"/>
        <w:rPr>
          <w:rFonts w:ascii="Arial Narrow" w:eastAsia="Times New Roman" w:hAnsi="Arial Narrow" w:cs="Times New Roman"/>
          <w:b/>
          <w:snapToGrid w:val="0"/>
          <w:color w:val="000000"/>
          <w:sz w:val="26"/>
          <w:szCs w:val="26"/>
          <w:lang w:val="es-ES" w:eastAsia="es-ES"/>
        </w:rPr>
      </w:pPr>
      <w:r w:rsidRPr="00B33FD3">
        <w:rPr>
          <w:rFonts w:ascii="Arial Narrow" w:eastAsia="Times New Roman" w:hAnsi="Arial Narrow" w:cs="Times New Roman"/>
          <w:b/>
          <w:snapToGrid w:val="0"/>
          <w:color w:val="000000"/>
          <w:sz w:val="26"/>
          <w:szCs w:val="26"/>
          <w:lang w:val="es-ES" w:eastAsia="es-ES"/>
        </w:rPr>
        <w:t>En relación a las características de lotes campestres.</w:t>
      </w:r>
    </w:p>
    <w:p w:rsidR="00B33FD3" w:rsidRPr="00B33FD3" w:rsidRDefault="00B33FD3" w:rsidP="00B33FD3">
      <w:pPr>
        <w:spacing w:after="0" w:line="240" w:lineRule="auto"/>
        <w:jc w:val="both"/>
        <w:rPr>
          <w:rFonts w:ascii="Arial Narrow" w:eastAsia="Times New Roman" w:hAnsi="Arial Narrow" w:cs="Times New Roman"/>
          <w:color w:val="000000"/>
          <w:sz w:val="26"/>
          <w:szCs w:val="26"/>
          <w:lang w:val="es-ES" w:eastAsia="es-ES"/>
        </w:rPr>
      </w:pPr>
    </w:p>
    <w:p w:rsidR="00B33FD3" w:rsidRPr="00B33FD3" w:rsidRDefault="00B33FD3" w:rsidP="00B33FD3">
      <w:pPr>
        <w:spacing w:after="0" w:line="240" w:lineRule="auto"/>
        <w:jc w:val="both"/>
        <w:rPr>
          <w:rFonts w:ascii="Arial Narrow" w:eastAsia="Times New Roman" w:hAnsi="Arial Narrow" w:cs="Times New Roman"/>
          <w:color w:val="000000"/>
          <w:sz w:val="26"/>
          <w:szCs w:val="26"/>
          <w:lang w:val="es-ES" w:eastAsia="es-ES"/>
        </w:rPr>
      </w:pPr>
      <w:bookmarkStart w:id="0" w:name="_Hlk5564419"/>
      <w:bookmarkEnd w:id="0"/>
      <w:r w:rsidRPr="00B33FD3">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el </w:t>
      </w:r>
      <w:r w:rsidRPr="00B33FD3">
        <w:rPr>
          <w:rFonts w:ascii="Arial Narrow" w:eastAsia="Times New Roman" w:hAnsi="Arial Narrow" w:cs="Times New Roman"/>
          <w:b/>
          <w:color w:val="000000"/>
          <w:sz w:val="26"/>
          <w:szCs w:val="26"/>
          <w:lang w:val="es-ES" w:eastAsia="es-ES"/>
        </w:rPr>
        <w:t>Diputad</w:t>
      </w:r>
      <w:r>
        <w:rPr>
          <w:rFonts w:ascii="Arial Narrow" w:eastAsia="Times New Roman" w:hAnsi="Arial Narrow" w:cs="Times New Roman"/>
          <w:b/>
          <w:color w:val="000000"/>
          <w:sz w:val="26"/>
          <w:szCs w:val="26"/>
          <w:lang w:val="es-ES" w:eastAsia="es-ES"/>
        </w:rPr>
        <w:t xml:space="preserve">o </w:t>
      </w:r>
      <w:r w:rsidRPr="00B33FD3">
        <w:rPr>
          <w:rFonts w:ascii="Arial Narrow" w:eastAsia="Times New Roman" w:hAnsi="Arial Narrow" w:cs="Times New Roman"/>
          <w:b/>
          <w:color w:val="000000"/>
          <w:sz w:val="26"/>
          <w:szCs w:val="26"/>
          <w:lang w:val="es-ES" w:eastAsia="es-ES"/>
        </w:rPr>
        <w:t xml:space="preserve">Jaime Bueno Zertuche, </w:t>
      </w:r>
      <w:r w:rsidRPr="00B33FD3">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rsidR="00B33FD3" w:rsidRPr="00B33FD3" w:rsidRDefault="00B33FD3" w:rsidP="00B33FD3">
      <w:pPr>
        <w:spacing w:after="0" w:line="240" w:lineRule="auto"/>
        <w:jc w:val="both"/>
        <w:rPr>
          <w:rFonts w:ascii="Arial Narrow" w:eastAsia="Times New Roman" w:hAnsi="Arial Narrow" w:cs="Arial"/>
          <w:sz w:val="26"/>
          <w:szCs w:val="26"/>
          <w:lang w:val="es-ES" w:eastAsia="es-ES"/>
        </w:rPr>
      </w:pPr>
    </w:p>
    <w:p w:rsidR="00B33FD3" w:rsidRPr="00B33FD3" w:rsidRDefault="00B33FD3" w:rsidP="00B33FD3">
      <w:pPr>
        <w:spacing w:after="0" w:line="240" w:lineRule="auto"/>
        <w:jc w:val="both"/>
        <w:rPr>
          <w:rFonts w:ascii="Arial Narrow" w:eastAsia="Times New Roman" w:hAnsi="Arial Narrow" w:cs="Times New Roman"/>
          <w:b/>
          <w:color w:val="000000"/>
          <w:sz w:val="26"/>
          <w:szCs w:val="26"/>
          <w:lang w:val="es-ES" w:eastAsia="es-ES"/>
        </w:rPr>
      </w:pPr>
      <w:r w:rsidRPr="00B33FD3">
        <w:rPr>
          <w:rFonts w:ascii="Arial Narrow" w:eastAsia="Times New Roman" w:hAnsi="Arial Narrow" w:cs="Times New Roman"/>
          <w:color w:val="000000"/>
          <w:sz w:val="26"/>
          <w:szCs w:val="26"/>
          <w:lang w:val="es-ES" w:eastAsia="es-ES"/>
        </w:rPr>
        <w:t xml:space="preserve">Fecha de Lectura de la Iniciativa: </w:t>
      </w:r>
      <w:r w:rsidRPr="00B33FD3">
        <w:rPr>
          <w:rFonts w:ascii="Arial Narrow" w:eastAsia="Times New Roman" w:hAnsi="Arial Narrow" w:cs="Times New Roman"/>
          <w:b/>
          <w:color w:val="000000"/>
          <w:sz w:val="26"/>
          <w:szCs w:val="26"/>
          <w:lang w:val="es-ES" w:eastAsia="es-ES"/>
        </w:rPr>
        <w:t xml:space="preserve">25 de </w:t>
      </w:r>
      <w:proofErr w:type="gramStart"/>
      <w:r w:rsidRPr="00B33FD3">
        <w:rPr>
          <w:rFonts w:ascii="Arial Narrow" w:eastAsia="Times New Roman" w:hAnsi="Arial Narrow" w:cs="Times New Roman"/>
          <w:b/>
          <w:color w:val="000000"/>
          <w:sz w:val="26"/>
          <w:szCs w:val="26"/>
          <w:lang w:val="es-ES" w:eastAsia="es-ES"/>
        </w:rPr>
        <w:t>Septiembre</w:t>
      </w:r>
      <w:proofErr w:type="gramEnd"/>
      <w:r w:rsidRPr="00B33FD3">
        <w:rPr>
          <w:rFonts w:ascii="Arial Narrow" w:eastAsia="Times New Roman" w:hAnsi="Arial Narrow" w:cs="Times New Roman"/>
          <w:b/>
          <w:color w:val="000000"/>
          <w:sz w:val="26"/>
          <w:szCs w:val="26"/>
          <w:lang w:val="es-ES" w:eastAsia="es-ES"/>
        </w:rPr>
        <w:t xml:space="preserve"> de 2019.</w:t>
      </w:r>
    </w:p>
    <w:p w:rsidR="00B33FD3" w:rsidRPr="00B33FD3" w:rsidRDefault="00B33FD3" w:rsidP="00B33FD3">
      <w:pPr>
        <w:spacing w:after="0" w:line="240" w:lineRule="auto"/>
        <w:jc w:val="both"/>
        <w:rPr>
          <w:rFonts w:ascii="Arial Narrow" w:eastAsia="Times New Roman" w:hAnsi="Arial Narrow" w:cs="Arial"/>
          <w:sz w:val="26"/>
          <w:szCs w:val="26"/>
          <w:lang w:val="es-ES" w:eastAsia="es-ES"/>
        </w:rPr>
      </w:pPr>
    </w:p>
    <w:p w:rsidR="00B33FD3" w:rsidRPr="00B33FD3" w:rsidRDefault="00B33FD3" w:rsidP="00B33FD3">
      <w:pPr>
        <w:spacing w:after="0" w:line="240" w:lineRule="auto"/>
        <w:jc w:val="both"/>
        <w:rPr>
          <w:rFonts w:ascii="Arial Narrow" w:eastAsia="Times New Roman" w:hAnsi="Arial Narrow" w:cs="Times New Roman"/>
          <w:b/>
          <w:color w:val="000000"/>
          <w:sz w:val="26"/>
          <w:szCs w:val="26"/>
          <w:lang w:val="es-ES" w:eastAsia="es-ES"/>
        </w:rPr>
      </w:pPr>
      <w:r w:rsidRPr="00B33FD3">
        <w:rPr>
          <w:rFonts w:ascii="Arial Narrow" w:eastAsia="Times New Roman" w:hAnsi="Arial Narrow" w:cs="Times New Roman"/>
          <w:color w:val="000000"/>
          <w:sz w:val="26"/>
          <w:szCs w:val="26"/>
          <w:lang w:val="es-ES" w:eastAsia="es-ES"/>
        </w:rPr>
        <w:t xml:space="preserve">Turnada a la </w:t>
      </w:r>
      <w:r w:rsidRPr="00B33FD3">
        <w:rPr>
          <w:rFonts w:ascii="Arial Narrow" w:eastAsia="Times New Roman" w:hAnsi="Arial Narrow" w:cs="Times New Roman"/>
          <w:b/>
          <w:color w:val="000000"/>
          <w:sz w:val="26"/>
          <w:szCs w:val="26"/>
          <w:lang w:val="es-ES" w:eastAsia="es-ES"/>
        </w:rPr>
        <w:t>Comisión de Desarrollo Social.</w:t>
      </w:r>
    </w:p>
    <w:p w:rsidR="00B33FD3" w:rsidRPr="00B33FD3" w:rsidRDefault="00B33FD3" w:rsidP="00B33FD3">
      <w:pPr>
        <w:spacing w:after="0" w:line="240" w:lineRule="auto"/>
        <w:jc w:val="both"/>
        <w:rPr>
          <w:rFonts w:ascii="Arial Narrow" w:eastAsia="Times New Roman" w:hAnsi="Arial Narrow" w:cs="Times New Roman"/>
          <w:color w:val="000000"/>
          <w:sz w:val="26"/>
          <w:szCs w:val="26"/>
          <w:lang w:val="es-ES" w:eastAsia="es-ES"/>
        </w:rPr>
      </w:pPr>
    </w:p>
    <w:p w:rsidR="006B0356" w:rsidRPr="00E80F9F" w:rsidRDefault="006B0356" w:rsidP="006B0356">
      <w:pPr>
        <w:spacing w:after="0" w:line="240" w:lineRule="auto"/>
        <w:rPr>
          <w:rFonts w:ascii="Arial Narrow" w:hAnsi="Arial Narrow"/>
          <w:b/>
          <w:color w:val="000000"/>
          <w:sz w:val="26"/>
          <w:szCs w:val="26"/>
          <w:lang w:val="es-MX"/>
        </w:rPr>
      </w:pPr>
      <w:r w:rsidRPr="00E80F9F">
        <w:rPr>
          <w:rFonts w:ascii="Arial Narrow" w:hAnsi="Arial Narrow"/>
          <w:b/>
          <w:color w:val="000000"/>
          <w:sz w:val="26"/>
          <w:szCs w:val="26"/>
          <w:lang w:val="es-MX"/>
        </w:rPr>
        <w:t xml:space="preserve">Lectura del Dictamen: 05 de </w:t>
      </w:r>
      <w:proofErr w:type="gramStart"/>
      <w:r w:rsidRPr="00E80F9F">
        <w:rPr>
          <w:rFonts w:ascii="Arial Narrow" w:hAnsi="Arial Narrow"/>
          <w:b/>
          <w:color w:val="000000"/>
          <w:sz w:val="26"/>
          <w:szCs w:val="26"/>
          <w:lang w:val="es-MX"/>
        </w:rPr>
        <w:t>Octubre</w:t>
      </w:r>
      <w:proofErr w:type="gramEnd"/>
      <w:r w:rsidRPr="00E80F9F">
        <w:rPr>
          <w:rFonts w:ascii="Arial Narrow" w:hAnsi="Arial Narrow"/>
          <w:b/>
          <w:color w:val="000000"/>
          <w:sz w:val="26"/>
          <w:szCs w:val="26"/>
          <w:lang w:val="es-MX"/>
        </w:rPr>
        <w:t xml:space="preserve"> de 2020.</w:t>
      </w:r>
    </w:p>
    <w:p w:rsidR="006B0356" w:rsidRPr="005E27CB" w:rsidRDefault="006B0356" w:rsidP="006B0356">
      <w:pPr>
        <w:spacing w:after="0" w:line="240" w:lineRule="auto"/>
        <w:rPr>
          <w:rFonts w:ascii="Arial Narrow" w:hAnsi="Arial Narrow"/>
          <w:b/>
          <w:color w:val="000000"/>
          <w:sz w:val="26"/>
          <w:szCs w:val="26"/>
          <w:lang w:val="es-MX"/>
        </w:rPr>
      </w:pPr>
    </w:p>
    <w:p w:rsidR="006B0356" w:rsidRPr="009B4CC5" w:rsidRDefault="006B0356" w:rsidP="006B0356">
      <w:pPr>
        <w:spacing w:after="0" w:line="240" w:lineRule="auto"/>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760</w:t>
      </w:r>
    </w:p>
    <w:p w:rsidR="006B0356" w:rsidRPr="009B4CC5" w:rsidRDefault="006B0356" w:rsidP="006B0356">
      <w:pPr>
        <w:spacing w:after="0" w:line="240" w:lineRule="auto"/>
        <w:rPr>
          <w:rFonts w:ascii="Arial Narrow" w:hAnsi="Arial Narrow"/>
          <w:b/>
          <w:color w:val="000000"/>
          <w:sz w:val="26"/>
          <w:szCs w:val="26"/>
          <w:lang w:val="es-ES"/>
        </w:rPr>
      </w:pPr>
    </w:p>
    <w:p w:rsidR="0007681D" w:rsidRPr="004F3036" w:rsidRDefault="0007681D" w:rsidP="0007681D">
      <w:pPr>
        <w:rPr>
          <w:rFonts w:ascii="Arial Narrow" w:hAnsi="Arial Narrow" w:cs="Times New Roman"/>
          <w:b/>
          <w:color w:val="000000"/>
          <w:sz w:val="26"/>
          <w:szCs w:val="26"/>
        </w:rPr>
      </w:pPr>
      <w:r w:rsidRPr="004F3036">
        <w:rPr>
          <w:rFonts w:ascii="Arial Narrow" w:hAnsi="Arial Narrow"/>
          <w:color w:val="000000"/>
          <w:sz w:val="26"/>
          <w:szCs w:val="26"/>
          <w:lang w:val="es-MX"/>
        </w:rPr>
        <w:t>Publicación en el Periódico Oficial del Gobierno del Estado:</w:t>
      </w:r>
      <w:r w:rsidRPr="004F3036">
        <w:rPr>
          <w:rFonts w:ascii="Arial Narrow" w:hAnsi="Arial Narrow" w:cs="Times New Roman"/>
          <w:b/>
          <w:color w:val="000000"/>
          <w:sz w:val="26"/>
          <w:szCs w:val="26"/>
        </w:rPr>
        <w:t xml:space="preserve"> P.O. 92 - 17 de </w:t>
      </w:r>
      <w:proofErr w:type="spellStart"/>
      <w:proofErr w:type="gramStart"/>
      <w:r w:rsidRPr="004F3036">
        <w:rPr>
          <w:rFonts w:ascii="Arial Narrow" w:hAnsi="Arial Narrow" w:cs="Times New Roman"/>
          <w:b/>
          <w:color w:val="000000"/>
          <w:sz w:val="26"/>
          <w:szCs w:val="26"/>
        </w:rPr>
        <w:t>Noviembre</w:t>
      </w:r>
      <w:proofErr w:type="spellEnd"/>
      <w:proofErr w:type="gramEnd"/>
      <w:r w:rsidRPr="004F3036">
        <w:rPr>
          <w:rFonts w:ascii="Arial Narrow" w:hAnsi="Arial Narrow" w:cs="Times New Roman"/>
          <w:b/>
          <w:color w:val="000000"/>
          <w:sz w:val="26"/>
          <w:szCs w:val="26"/>
        </w:rPr>
        <w:t xml:space="preserve"> de 2020</w:t>
      </w:r>
    </w:p>
    <w:p w:rsidR="00B33FD3" w:rsidRPr="00B33FD3" w:rsidRDefault="00B33FD3" w:rsidP="00B33FD3">
      <w:pPr>
        <w:spacing w:after="0" w:line="240" w:lineRule="auto"/>
        <w:jc w:val="both"/>
        <w:rPr>
          <w:rFonts w:ascii="Arial Narrow" w:eastAsia="Times New Roman" w:hAnsi="Arial Narrow" w:cs="Arial"/>
          <w:b/>
          <w:sz w:val="26"/>
          <w:szCs w:val="26"/>
          <w:lang w:val="es-ES" w:eastAsia="es-ES"/>
        </w:rPr>
      </w:pPr>
      <w:bookmarkStart w:id="1" w:name="_GoBack"/>
      <w:bookmarkEnd w:id="1"/>
    </w:p>
    <w:p w:rsidR="00B33FD3" w:rsidRPr="00B33FD3" w:rsidRDefault="00B33FD3" w:rsidP="00B33FD3">
      <w:pPr>
        <w:spacing w:after="0" w:line="240" w:lineRule="auto"/>
        <w:jc w:val="both"/>
        <w:rPr>
          <w:rFonts w:ascii="Arial Narrow" w:eastAsia="Times New Roman" w:hAnsi="Arial Narrow" w:cs="Arial"/>
          <w:b/>
          <w:sz w:val="26"/>
          <w:szCs w:val="26"/>
          <w:lang w:val="es-ES" w:eastAsia="es-ES"/>
        </w:rPr>
      </w:pPr>
    </w:p>
    <w:p w:rsidR="00B33FD3" w:rsidRPr="00B33FD3" w:rsidRDefault="00B33FD3" w:rsidP="00B33FD3">
      <w:pPr>
        <w:spacing w:after="0" w:line="276" w:lineRule="auto"/>
        <w:jc w:val="both"/>
        <w:rPr>
          <w:rFonts w:ascii="Arial" w:eastAsia="Times New Roman" w:hAnsi="Arial" w:cs="Arial"/>
          <w:b/>
          <w:sz w:val="28"/>
          <w:szCs w:val="28"/>
          <w:lang w:val="es-MX" w:eastAsia="es-ES"/>
        </w:rPr>
      </w:pPr>
    </w:p>
    <w:p w:rsidR="00B33FD3" w:rsidRDefault="00B33FD3" w:rsidP="00C1607C">
      <w:pPr>
        <w:spacing w:after="0" w:line="276" w:lineRule="auto"/>
        <w:jc w:val="both"/>
        <w:rPr>
          <w:rFonts w:ascii="Arial" w:eastAsia="Times New Roman" w:hAnsi="Arial" w:cs="Arial"/>
          <w:b/>
          <w:sz w:val="28"/>
          <w:szCs w:val="28"/>
          <w:lang w:val="es-MX" w:eastAsia="es-ES"/>
        </w:rPr>
      </w:pPr>
    </w:p>
    <w:p w:rsidR="00B33FD3" w:rsidRDefault="00B33FD3" w:rsidP="00C1607C">
      <w:pPr>
        <w:spacing w:after="0" w:line="276" w:lineRule="auto"/>
        <w:jc w:val="both"/>
        <w:rPr>
          <w:rFonts w:ascii="Arial" w:eastAsia="Times New Roman" w:hAnsi="Arial" w:cs="Arial"/>
          <w:b/>
          <w:sz w:val="28"/>
          <w:szCs w:val="28"/>
          <w:lang w:val="es-MX" w:eastAsia="es-ES"/>
        </w:rPr>
      </w:pPr>
    </w:p>
    <w:p w:rsidR="00B33FD3" w:rsidRDefault="00B33FD3">
      <w:pPr>
        <w:rPr>
          <w:rFonts w:ascii="Arial" w:eastAsia="Times New Roman" w:hAnsi="Arial" w:cs="Arial"/>
          <w:b/>
          <w:sz w:val="28"/>
          <w:szCs w:val="28"/>
          <w:lang w:val="es-MX" w:eastAsia="es-ES"/>
        </w:rPr>
      </w:pPr>
      <w:r>
        <w:rPr>
          <w:rFonts w:ascii="Arial" w:eastAsia="Times New Roman" w:hAnsi="Arial" w:cs="Arial"/>
          <w:b/>
          <w:sz w:val="28"/>
          <w:szCs w:val="28"/>
          <w:lang w:val="es-MX" w:eastAsia="es-ES"/>
        </w:rPr>
        <w:br w:type="page"/>
      </w:r>
    </w:p>
    <w:p w:rsidR="00C1607C" w:rsidRPr="00C1607C" w:rsidRDefault="00C1607C" w:rsidP="00C1607C">
      <w:pPr>
        <w:spacing w:after="0" w:line="276" w:lineRule="auto"/>
        <w:jc w:val="both"/>
        <w:rPr>
          <w:rFonts w:ascii="Arial" w:eastAsia="Times New Roman" w:hAnsi="Arial" w:cs="Arial"/>
          <w:b/>
          <w:sz w:val="28"/>
          <w:szCs w:val="28"/>
          <w:lang w:val="es-MX" w:eastAsia="es-ES"/>
        </w:rPr>
      </w:pPr>
      <w:r w:rsidRPr="00921BD1">
        <w:rPr>
          <w:rFonts w:ascii="Arial" w:eastAsia="Times New Roman" w:hAnsi="Arial" w:cs="Arial"/>
          <w:b/>
          <w:sz w:val="28"/>
          <w:szCs w:val="28"/>
          <w:lang w:val="es-MX" w:eastAsia="es-ES"/>
        </w:rPr>
        <w:lastRenderedPageBreak/>
        <w:t xml:space="preserve">INICIATIVA CON PROYECTO DE DECRETO </w:t>
      </w:r>
      <w:r w:rsidRPr="00921BD1">
        <w:rPr>
          <w:rFonts w:ascii="Arial" w:eastAsia="Times New Roman" w:hAnsi="Arial" w:cs="Arial"/>
          <w:b/>
          <w:bCs/>
          <w:sz w:val="28"/>
          <w:szCs w:val="28"/>
          <w:lang w:val="es-ES" w:eastAsia="es-ES"/>
        </w:rPr>
        <w:t xml:space="preserve">POR EL QUE </w:t>
      </w:r>
      <w:r w:rsidRPr="00921BD1">
        <w:rPr>
          <w:rFonts w:ascii="Arial" w:eastAsia="Times New Roman" w:hAnsi="Arial" w:cs="Arial"/>
          <w:b/>
          <w:sz w:val="28"/>
          <w:szCs w:val="28"/>
          <w:lang w:val="es-MX" w:eastAsia="es-ES"/>
        </w:rPr>
        <w:t xml:space="preserve">SE REFORMA LA FRACCIÓN I DE LA </w:t>
      </w:r>
      <w:r w:rsidRPr="00921BD1">
        <w:rPr>
          <w:rFonts w:ascii="Arial" w:eastAsia="Times New Roman" w:hAnsi="Arial" w:cs="Arial"/>
          <w:b/>
          <w:color w:val="000000"/>
          <w:sz w:val="28"/>
          <w:szCs w:val="28"/>
          <w:lang w:val="es-ES_tradnl" w:eastAsia="es-ES"/>
        </w:rPr>
        <w:t>LEY</w:t>
      </w:r>
      <w:r w:rsidRPr="00921BD1">
        <w:rPr>
          <w:rFonts w:ascii="Arial" w:eastAsia="Times New Roman" w:hAnsi="Arial" w:cs="Arial"/>
          <w:b/>
          <w:bCs/>
          <w:color w:val="000000"/>
          <w:sz w:val="28"/>
          <w:szCs w:val="28"/>
          <w:lang w:val="es-ES_tradnl" w:eastAsia="es-MX"/>
        </w:rPr>
        <w:t xml:space="preserve"> </w:t>
      </w:r>
      <w:r w:rsidRPr="00921BD1">
        <w:rPr>
          <w:rFonts w:ascii="Arial" w:eastAsia="Times New Roman" w:hAnsi="Arial" w:cs="Arial"/>
          <w:b/>
          <w:bCs/>
          <w:sz w:val="28"/>
          <w:szCs w:val="28"/>
          <w:lang w:val="es-ES_tradnl" w:eastAsia="es-MX"/>
        </w:rPr>
        <w:t xml:space="preserve">DE ASENTAMIENTOS </w:t>
      </w:r>
      <w:r w:rsidRPr="00921BD1">
        <w:rPr>
          <w:rFonts w:ascii="Arial" w:eastAsia="Times New Roman" w:hAnsi="Arial" w:cs="Arial"/>
          <w:b/>
          <w:sz w:val="28"/>
          <w:szCs w:val="28"/>
          <w:lang w:val="es-ES_tradnl" w:eastAsia="es-ES"/>
        </w:rPr>
        <w:t>HUMANOS, ORDENAMIENTO TERRITORIAL Y DESARROLLO URBANO DEL ESTADO DE COAHUILA DE ZARAGOZA</w:t>
      </w:r>
      <w:r w:rsidRPr="00921BD1">
        <w:rPr>
          <w:rFonts w:ascii="Arial" w:eastAsia="Times New Roman" w:hAnsi="Arial" w:cs="Arial"/>
          <w:b/>
          <w:bCs/>
          <w:sz w:val="28"/>
          <w:szCs w:val="28"/>
          <w:lang w:val="es-MX" w:eastAsia="es-ES"/>
        </w:rPr>
        <w:t xml:space="preserve">, </w:t>
      </w:r>
      <w:r w:rsidRPr="00921BD1">
        <w:rPr>
          <w:rFonts w:ascii="Arial" w:eastAsia="Times New Roman" w:hAnsi="Arial" w:cs="Arial"/>
          <w:b/>
          <w:sz w:val="28"/>
          <w:szCs w:val="28"/>
          <w:lang w:val="es-MX" w:eastAsia="es-ES"/>
        </w:rPr>
        <w:t>QUE PRESENTA EL DIPUTADO JAIME BUENO ZERTUCHE, CONJUNTAMENTE CON LAS DIPUTADAS Y DIPUTADOS INTEGRANTES DEL GRUPO PARLAMENTARIO “GRAL. ANDRÉS S. VIESCA”, DEL PARTIDO REVOLUCIONARIO INSTITUCIONAL, EN RELACIÓN A LAS CARACTERÍSTICAS DE LOTES CAMPESTRES.</w:t>
      </w:r>
    </w:p>
    <w:p w:rsidR="00C1607C" w:rsidRPr="00C1607C" w:rsidRDefault="00C1607C" w:rsidP="00C1607C">
      <w:pPr>
        <w:spacing w:after="0" w:line="276" w:lineRule="auto"/>
        <w:jc w:val="both"/>
        <w:rPr>
          <w:rFonts w:ascii="Arial" w:eastAsia="Times New Roman" w:hAnsi="Arial" w:cs="Arial"/>
          <w:b/>
          <w:sz w:val="28"/>
          <w:szCs w:val="28"/>
          <w:lang w:val="es-MX" w:eastAsia="es-ES"/>
        </w:rPr>
      </w:pPr>
    </w:p>
    <w:p w:rsidR="00921BD1" w:rsidRDefault="00C1607C" w:rsidP="00C1607C">
      <w:pPr>
        <w:spacing w:after="0" w:line="276" w:lineRule="auto"/>
        <w:jc w:val="both"/>
        <w:rPr>
          <w:rFonts w:ascii="Arial" w:eastAsia="Times New Roman" w:hAnsi="Arial" w:cs="Arial"/>
          <w:b/>
          <w:sz w:val="28"/>
          <w:szCs w:val="28"/>
          <w:lang w:val="es-MX" w:eastAsia="es-ES"/>
        </w:rPr>
      </w:pPr>
      <w:r w:rsidRPr="00C1607C">
        <w:rPr>
          <w:rFonts w:ascii="Arial" w:eastAsia="Times New Roman" w:hAnsi="Arial" w:cs="Arial"/>
          <w:b/>
          <w:sz w:val="28"/>
          <w:szCs w:val="28"/>
          <w:lang w:val="es-MX" w:eastAsia="es-ES"/>
        </w:rPr>
        <w:t xml:space="preserve">H. PLENO DEL CONGRESO DEL </w:t>
      </w:r>
    </w:p>
    <w:p w:rsidR="00C1607C" w:rsidRPr="00C1607C" w:rsidRDefault="00C1607C" w:rsidP="00C1607C">
      <w:pPr>
        <w:spacing w:after="0" w:line="276" w:lineRule="auto"/>
        <w:jc w:val="both"/>
        <w:rPr>
          <w:rFonts w:ascii="Arial" w:eastAsia="Times New Roman" w:hAnsi="Arial" w:cs="Arial"/>
          <w:b/>
          <w:sz w:val="28"/>
          <w:szCs w:val="28"/>
          <w:lang w:val="es-MX" w:eastAsia="es-ES"/>
        </w:rPr>
      </w:pPr>
      <w:r w:rsidRPr="00C1607C">
        <w:rPr>
          <w:rFonts w:ascii="Arial" w:eastAsia="Times New Roman" w:hAnsi="Arial" w:cs="Arial"/>
          <w:b/>
          <w:sz w:val="28"/>
          <w:szCs w:val="28"/>
          <w:lang w:val="es-MX" w:eastAsia="es-ES"/>
        </w:rPr>
        <w:t>ESTADO DE COAHUILA DE ZARAGOZA.</w:t>
      </w:r>
    </w:p>
    <w:p w:rsidR="00C1607C" w:rsidRPr="00C1607C" w:rsidRDefault="00C1607C" w:rsidP="00C1607C">
      <w:pPr>
        <w:spacing w:after="0" w:line="276" w:lineRule="auto"/>
        <w:jc w:val="both"/>
        <w:rPr>
          <w:rFonts w:ascii="Arial" w:eastAsia="Times New Roman" w:hAnsi="Arial" w:cs="Arial"/>
          <w:b/>
          <w:sz w:val="28"/>
          <w:szCs w:val="28"/>
          <w:lang w:val="es-MX" w:eastAsia="es-ES"/>
        </w:rPr>
      </w:pPr>
      <w:r w:rsidRPr="00C1607C">
        <w:rPr>
          <w:rFonts w:ascii="Arial" w:eastAsia="Times New Roman" w:hAnsi="Arial" w:cs="Arial"/>
          <w:b/>
          <w:sz w:val="28"/>
          <w:szCs w:val="28"/>
          <w:lang w:val="es-MX" w:eastAsia="es-ES"/>
        </w:rPr>
        <w:t>P R E S E N T E.-</w:t>
      </w:r>
    </w:p>
    <w:p w:rsidR="00C1607C" w:rsidRPr="00C1607C" w:rsidRDefault="00C1607C" w:rsidP="00C1607C">
      <w:pPr>
        <w:spacing w:after="0" w:line="276" w:lineRule="auto"/>
        <w:jc w:val="both"/>
        <w:rPr>
          <w:rFonts w:ascii="Arial" w:eastAsia="Times New Roman" w:hAnsi="Arial" w:cs="Arial"/>
          <w:sz w:val="28"/>
          <w:szCs w:val="28"/>
          <w:lang w:val="es-MX" w:eastAsia="es-ES"/>
        </w:rPr>
      </w:pPr>
    </w:p>
    <w:p w:rsidR="00C1607C" w:rsidRPr="00C1607C" w:rsidRDefault="00C1607C" w:rsidP="00C1607C">
      <w:pPr>
        <w:spacing w:after="0" w:line="276" w:lineRule="auto"/>
        <w:jc w:val="both"/>
        <w:rPr>
          <w:rFonts w:ascii="Arial" w:eastAsia="Times New Roman" w:hAnsi="Arial" w:cs="Arial"/>
          <w:sz w:val="28"/>
          <w:szCs w:val="28"/>
          <w:lang w:val="es-MX" w:eastAsia="es-ES"/>
        </w:rPr>
      </w:pPr>
      <w:r w:rsidRPr="00C1607C">
        <w:rPr>
          <w:rFonts w:ascii="Arial" w:eastAsia="Times New Roman" w:hAnsi="Arial" w:cs="Arial"/>
          <w:sz w:val="28"/>
          <w:szCs w:val="28"/>
          <w:lang w:val="es-MX" w:eastAsia="es-ES"/>
        </w:rPr>
        <w:t xml:space="preserve">El suscrito Diputado Jaime Bueno Zertuche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Pr="00921BD1">
        <w:rPr>
          <w:rFonts w:ascii="Arial" w:eastAsia="Times New Roman" w:hAnsi="Arial" w:cs="Arial"/>
          <w:sz w:val="28"/>
          <w:szCs w:val="28"/>
          <w:lang w:val="es-MX" w:eastAsia="es-ES"/>
        </w:rPr>
        <w:t xml:space="preserve">Iniciativa con Proyecto de Decreto </w:t>
      </w:r>
      <w:r w:rsidRPr="00921BD1">
        <w:rPr>
          <w:rFonts w:ascii="Arial" w:eastAsia="Times New Roman" w:hAnsi="Arial" w:cs="Arial"/>
          <w:bCs/>
          <w:sz w:val="28"/>
          <w:szCs w:val="28"/>
          <w:lang w:val="es-ES" w:eastAsia="es-ES"/>
        </w:rPr>
        <w:t xml:space="preserve">por el que </w:t>
      </w:r>
      <w:r w:rsidRPr="00921BD1">
        <w:rPr>
          <w:rFonts w:ascii="Arial" w:eastAsia="Times New Roman" w:hAnsi="Arial" w:cs="Arial"/>
          <w:sz w:val="28"/>
          <w:szCs w:val="28"/>
          <w:lang w:val="es-MX" w:eastAsia="es-ES"/>
        </w:rPr>
        <w:t xml:space="preserve">se reforma la fracción I de la </w:t>
      </w:r>
      <w:r w:rsidRPr="00921BD1">
        <w:rPr>
          <w:rFonts w:ascii="Arial" w:eastAsia="Times New Roman" w:hAnsi="Arial" w:cs="Arial"/>
          <w:color w:val="000000"/>
          <w:sz w:val="28"/>
          <w:szCs w:val="28"/>
          <w:lang w:val="es-MX" w:eastAsia="es-ES"/>
        </w:rPr>
        <w:t>L</w:t>
      </w:r>
      <w:proofErr w:type="spellStart"/>
      <w:r w:rsidRPr="00921BD1">
        <w:rPr>
          <w:rFonts w:ascii="Arial" w:eastAsia="Times New Roman" w:hAnsi="Arial" w:cs="Arial"/>
          <w:color w:val="000000"/>
          <w:sz w:val="28"/>
          <w:szCs w:val="28"/>
          <w:lang w:val="es-ES_tradnl" w:eastAsia="es-ES"/>
        </w:rPr>
        <w:t>ey</w:t>
      </w:r>
      <w:proofErr w:type="spellEnd"/>
      <w:r w:rsidRPr="00921BD1">
        <w:rPr>
          <w:rFonts w:ascii="Arial" w:eastAsia="Times New Roman" w:hAnsi="Arial" w:cs="Arial"/>
          <w:bCs/>
          <w:color w:val="000000"/>
          <w:sz w:val="28"/>
          <w:szCs w:val="28"/>
          <w:lang w:val="es-ES_tradnl" w:eastAsia="es-MX"/>
        </w:rPr>
        <w:t xml:space="preserve"> </w:t>
      </w:r>
      <w:r w:rsidRPr="00921BD1">
        <w:rPr>
          <w:rFonts w:ascii="Arial" w:eastAsia="Times New Roman" w:hAnsi="Arial" w:cs="Arial"/>
          <w:bCs/>
          <w:sz w:val="28"/>
          <w:szCs w:val="28"/>
          <w:lang w:val="es-ES_tradnl" w:eastAsia="es-MX"/>
        </w:rPr>
        <w:t xml:space="preserve">de Asentamientos </w:t>
      </w:r>
      <w:r w:rsidRPr="00921BD1">
        <w:rPr>
          <w:rFonts w:ascii="Arial" w:eastAsia="Times New Roman" w:hAnsi="Arial" w:cs="Arial"/>
          <w:sz w:val="28"/>
          <w:szCs w:val="28"/>
          <w:lang w:val="es-ES_tradnl" w:eastAsia="es-ES"/>
        </w:rPr>
        <w:t>Humanos, Ordenamiento Territorial y Desarrollo Urbano del Estado de Coahuila de Zaragoza</w:t>
      </w:r>
      <w:r w:rsidRPr="00921BD1">
        <w:rPr>
          <w:rFonts w:ascii="Arial" w:eastAsia="Times New Roman" w:hAnsi="Arial" w:cs="Arial"/>
          <w:sz w:val="28"/>
          <w:szCs w:val="28"/>
          <w:lang w:val="es-MX" w:eastAsia="es-ES"/>
        </w:rPr>
        <w:t>, en relación a las características de lotes campestres</w:t>
      </w:r>
      <w:r w:rsidRPr="00C1607C">
        <w:rPr>
          <w:rFonts w:ascii="Arial" w:eastAsia="Times New Roman" w:hAnsi="Arial" w:cs="Arial"/>
          <w:sz w:val="28"/>
          <w:szCs w:val="28"/>
          <w:lang w:val="es-MX" w:eastAsia="es-ES"/>
        </w:rPr>
        <w:t>, misma que se presenta bajo la siguiente:</w:t>
      </w:r>
    </w:p>
    <w:p w:rsidR="00C1607C" w:rsidRPr="00C1607C" w:rsidRDefault="00C1607C" w:rsidP="00C1607C">
      <w:pPr>
        <w:spacing w:after="0" w:line="276" w:lineRule="auto"/>
        <w:jc w:val="both"/>
        <w:rPr>
          <w:rFonts w:ascii="Arial" w:eastAsia="Times New Roman" w:hAnsi="Arial" w:cs="Arial"/>
          <w:b/>
          <w:sz w:val="28"/>
          <w:szCs w:val="28"/>
          <w:lang w:val="es-MX" w:eastAsia="es-ES"/>
        </w:rPr>
      </w:pPr>
    </w:p>
    <w:p w:rsidR="00C1607C" w:rsidRPr="00C1607C" w:rsidRDefault="00C1607C" w:rsidP="00C1607C">
      <w:pPr>
        <w:spacing w:after="0" w:line="276" w:lineRule="auto"/>
        <w:jc w:val="center"/>
        <w:rPr>
          <w:rFonts w:ascii="Arial" w:eastAsia="Times New Roman" w:hAnsi="Arial" w:cs="Arial"/>
          <w:b/>
          <w:sz w:val="28"/>
          <w:szCs w:val="28"/>
          <w:lang w:val="es-MX" w:eastAsia="es-ES"/>
        </w:rPr>
      </w:pPr>
      <w:r w:rsidRPr="00C1607C">
        <w:rPr>
          <w:rFonts w:ascii="Arial" w:eastAsia="Times New Roman" w:hAnsi="Arial" w:cs="Arial"/>
          <w:b/>
          <w:sz w:val="28"/>
          <w:szCs w:val="28"/>
          <w:lang w:val="es-MX" w:eastAsia="es-ES"/>
        </w:rPr>
        <w:t>EXPOSICIÓN DE MOTIVOS</w:t>
      </w:r>
    </w:p>
    <w:p w:rsidR="00C1607C" w:rsidRPr="00C1607C" w:rsidRDefault="00C1607C" w:rsidP="00C1607C">
      <w:pPr>
        <w:spacing w:after="0" w:line="276" w:lineRule="auto"/>
        <w:jc w:val="center"/>
        <w:rPr>
          <w:rFonts w:ascii="Arial" w:eastAsia="Times New Roman" w:hAnsi="Arial" w:cs="Arial"/>
          <w:b/>
          <w:sz w:val="28"/>
          <w:szCs w:val="28"/>
          <w:lang w:val="es-MX" w:eastAsia="es-ES"/>
        </w:rPr>
      </w:pPr>
    </w:p>
    <w:p w:rsidR="00C1607C" w:rsidRPr="00C1607C" w:rsidRDefault="00EB0F21" w:rsidP="00C1607C">
      <w:pPr>
        <w:tabs>
          <w:tab w:val="left" w:pos="8749"/>
        </w:tabs>
        <w:spacing w:after="0" w:line="240" w:lineRule="auto"/>
        <w:jc w:val="both"/>
        <w:rPr>
          <w:rFonts w:ascii="Arial" w:eastAsia="Times New Roman" w:hAnsi="Arial" w:cs="Arial"/>
          <w:b/>
          <w:snapToGrid w:val="0"/>
          <w:sz w:val="28"/>
          <w:szCs w:val="28"/>
          <w:lang w:val="es-ES_tradnl" w:eastAsia="es-ES"/>
        </w:rPr>
      </w:pPr>
      <w:r w:rsidRPr="00921BD1">
        <w:rPr>
          <w:rFonts w:ascii="Arial" w:eastAsia="Times New Roman" w:hAnsi="Arial" w:cs="Arial"/>
          <w:snapToGrid w:val="0"/>
          <w:sz w:val="28"/>
          <w:szCs w:val="28"/>
          <w:lang w:val="es-ES_tradnl" w:eastAsia="es-ES"/>
        </w:rPr>
        <w:t>El</w:t>
      </w:r>
      <w:r w:rsidR="00C1607C" w:rsidRPr="00C1607C">
        <w:rPr>
          <w:rFonts w:ascii="Arial" w:eastAsia="Times New Roman" w:hAnsi="Arial" w:cs="Arial"/>
          <w:snapToGrid w:val="0"/>
          <w:sz w:val="28"/>
          <w:szCs w:val="28"/>
          <w:lang w:val="es-ES_tradnl" w:eastAsia="es-ES"/>
        </w:rPr>
        <w:t xml:space="preserve"> 26 de diciembre de 2017</w:t>
      </w:r>
      <w:r w:rsidRPr="00921BD1">
        <w:rPr>
          <w:rFonts w:ascii="Arial" w:eastAsia="Times New Roman" w:hAnsi="Arial" w:cs="Arial"/>
          <w:snapToGrid w:val="0"/>
          <w:sz w:val="28"/>
          <w:szCs w:val="28"/>
          <w:lang w:val="es-ES_tradnl" w:eastAsia="es-ES"/>
        </w:rPr>
        <w:t>, se publicó en el Periódico Oficial del Estado de Coahuila de Zaragoza, la nueva</w:t>
      </w:r>
      <w:r w:rsidRPr="00921BD1">
        <w:rPr>
          <w:rFonts w:ascii="Arial" w:eastAsia="Times New Roman" w:hAnsi="Arial" w:cs="Arial"/>
          <w:bCs/>
          <w:sz w:val="28"/>
          <w:szCs w:val="28"/>
          <w:lang w:val="es-ES" w:eastAsia="es-ES"/>
        </w:rPr>
        <w:t xml:space="preserve"> </w:t>
      </w:r>
      <w:r w:rsidRPr="00C1607C">
        <w:rPr>
          <w:rFonts w:ascii="Arial" w:eastAsia="Times New Roman" w:hAnsi="Arial" w:cs="Arial"/>
          <w:bCs/>
          <w:sz w:val="28"/>
          <w:szCs w:val="28"/>
          <w:lang w:val="es-ES" w:eastAsia="es-ES"/>
        </w:rPr>
        <w:t xml:space="preserve">Ley de Asentamientos Humanos, </w:t>
      </w:r>
      <w:r w:rsidRPr="00C1607C">
        <w:rPr>
          <w:rFonts w:ascii="Arial" w:eastAsia="Times New Roman" w:hAnsi="Arial" w:cs="Arial"/>
          <w:bCs/>
          <w:sz w:val="28"/>
          <w:szCs w:val="28"/>
          <w:lang w:val="es-ES" w:eastAsia="es-ES"/>
        </w:rPr>
        <w:lastRenderedPageBreak/>
        <w:t>Ordenamiento Territorial y Desarrollo Urbano del Estado de Coahuila de Zaragoza</w:t>
      </w:r>
      <w:r w:rsidRPr="00921BD1">
        <w:rPr>
          <w:rFonts w:ascii="Arial" w:eastAsia="Times New Roman" w:hAnsi="Arial" w:cs="Arial"/>
          <w:bCs/>
          <w:sz w:val="28"/>
          <w:szCs w:val="28"/>
          <w:lang w:val="es-ES" w:eastAsia="es-ES"/>
        </w:rPr>
        <w:t>.</w:t>
      </w:r>
    </w:p>
    <w:p w:rsidR="00C1607C" w:rsidRPr="00C1607C" w:rsidRDefault="00C1607C" w:rsidP="00C1607C">
      <w:pPr>
        <w:spacing w:after="0" w:line="240" w:lineRule="auto"/>
        <w:jc w:val="both"/>
        <w:rPr>
          <w:rFonts w:ascii="Arial" w:eastAsia="Times New Roman" w:hAnsi="Arial" w:cs="Arial"/>
          <w:b/>
          <w:sz w:val="28"/>
          <w:szCs w:val="28"/>
          <w:lang w:val="es-ES_tradnl" w:eastAsia="es-ES"/>
        </w:rPr>
      </w:pPr>
    </w:p>
    <w:p w:rsidR="00C1607C" w:rsidRPr="00921BD1" w:rsidRDefault="00921BD1" w:rsidP="00C1607C">
      <w:pPr>
        <w:spacing w:after="0" w:line="240" w:lineRule="auto"/>
        <w:jc w:val="both"/>
        <w:rPr>
          <w:rFonts w:ascii="Arial" w:eastAsia="Times New Roman" w:hAnsi="Arial" w:cs="Arial"/>
          <w:sz w:val="28"/>
          <w:szCs w:val="28"/>
          <w:lang w:val="es-ES_tradnl" w:eastAsia="es-ES"/>
        </w:rPr>
      </w:pPr>
      <w:r w:rsidRPr="00921BD1">
        <w:rPr>
          <w:rFonts w:ascii="Arial" w:eastAsia="Times New Roman" w:hAnsi="Arial" w:cs="Arial"/>
          <w:sz w:val="28"/>
          <w:szCs w:val="28"/>
          <w:lang w:val="es-ES_tradnl" w:eastAsia="es-ES"/>
        </w:rPr>
        <w:t>La referida ley tiene por objeto:</w:t>
      </w:r>
    </w:p>
    <w:p w:rsidR="00921BD1" w:rsidRPr="00C1607C" w:rsidRDefault="00921BD1" w:rsidP="00C1607C">
      <w:pPr>
        <w:spacing w:after="0" w:line="240" w:lineRule="auto"/>
        <w:jc w:val="both"/>
        <w:rPr>
          <w:rFonts w:ascii="Arial" w:eastAsia="Times New Roman" w:hAnsi="Arial" w:cs="Arial"/>
          <w:sz w:val="28"/>
          <w:szCs w:val="28"/>
          <w:lang w:val="es-ES_tradnl" w:eastAsia="es-ES"/>
        </w:rPr>
      </w:pPr>
    </w:p>
    <w:p w:rsidR="00921BD1" w:rsidRPr="00921BD1" w:rsidRDefault="00921BD1" w:rsidP="00921BD1">
      <w:pPr>
        <w:numPr>
          <w:ilvl w:val="0"/>
          <w:numId w:val="1"/>
        </w:numPr>
        <w:tabs>
          <w:tab w:val="left" w:pos="851"/>
        </w:tabs>
        <w:spacing w:after="0" w:line="240" w:lineRule="auto"/>
        <w:ind w:left="851" w:hanging="425"/>
        <w:jc w:val="both"/>
        <w:rPr>
          <w:rFonts w:ascii="Arial" w:eastAsia="Calibri" w:hAnsi="Arial" w:cs="Arial"/>
          <w:sz w:val="28"/>
          <w:szCs w:val="28"/>
          <w:lang w:val="es-MX"/>
        </w:rPr>
      </w:pPr>
      <w:r w:rsidRPr="00921BD1">
        <w:rPr>
          <w:rFonts w:ascii="Arial" w:eastAsia="Calibri" w:hAnsi="Arial" w:cs="Arial"/>
          <w:sz w:val="28"/>
          <w:szCs w:val="28"/>
          <w:lang w:val="es-MX"/>
        </w:rPr>
        <w:t xml:space="preserve">Fijar las disposiciones básicas e instrumentos de gestión de observancia general para ordenar el uso del territorio, la planeación y la regulación del desarrollo urbano y los asentamientos humanos en el Estado, así como para </w:t>
      </w:r>
      <w:r w:rsidRPr="00921BD1">
        <w:rPr>
          <w:rFonts w:ascii="Arial" w:eastAsia="Calibri" w:hAnsi="Arial" w:cs="Arial"/>
          <w:color w:val="000000"/>
          <w:sz w:val="28"/>
          <w:szCs w:val="28"/>
          <w:lang w:val="es-MX"/>
        </w:rPr>
        <w:t xml:space="preserve">determinar las atribuciones de las autoridades competentes </w:t>
      </w:r>
      <w:r w:rsidRPr="00921BD1">
        <w:rPr>
          <w:rFonts w:ascii="Arial" w:eastAsia="Calibri" w:hAnsi="Arial" w:cs="Arial"/>
          <w:sz w:val="28"/>
          <w:szCs w:val="28"/>
          <w:lang w:val="es-MX"/>
        </w:rPr>
        <w:t>en</w:t>
      </w:r>
      <w:r w:rsidRPr="00921BD1">
        <w:rPr>
          <w:rFonts w:ascii="Arial" w:eastAsia="Calibri" w:hAnsi="Arial" w:cs="Arial"/>
          <w:color w:val="000000"/>
          <w:sz w:val="28"/>
          <w:szCs w:val="28"/>
          <w:lang w:val="es-MX"/>
        </w:rPr>
        <w:t xml:space="preserve"> la aplicación de esta Ley, con pleno respeto a los derechos humanos;</w:t>
      </w:r>
    </w:p>
    <w:p w:rsidR="00921BD1" w:rsidRPr="00921BD1" w:rsidRDefault="00921BD1" w:rsidP="00921BD1">
      <w:pPr>
        <w:tabs>
          <w:tab w:val="left" w:pos="851"/>
        </w:tabs>
        <w:spacing w:after="0" w:line="240" w:lineRule="auto"/>
        <w:ind w:left="851" w:hanging="425"/>
        <w:contextualSpacing/>
        <w:jc w:val="both"/>
        <w:rPr>
          <w:rFonts w:ascii="Arial" w:eastAsia="Calibri" w:hAnsi="Arial" w:cs="Arial"/>
          <w:sz w:val="28"/>
          <w:szCs w:val="28"/>
          <w:lang w:val="es-MX"/>
        </w:rPr>
      </w:pPr>
    </w:p>
    <w:p w:rsidR="00921BD1" w:rsidRPr="00921BD1" w:rsidRDefault="00921BD1" w:rsidP="00921BD1">
      <w:pPr>
        <w:numPr>
          <w:ilvl w:val="0"/>
          <w:numId w:val="1"/>
        </w:numPr>
        <w:tabs>
          <w:tab w:val="left" w:pos="851"/>
        </w:tabs>
        <w:spacing w:after="0" w:line="240" w:lineRule="auto"/>
        <w:ind w:left="851" w:hanging="425"/>
        <w:jc w:val="both"/>
        <w:rPr>
          <w:rFonts w:ascii="Arial" w:eastAsia="Calibri" w:hAnsi="Arial" w:cs="Arial"/>
          <w:sz w:val="28"/>
          <w:szCs w:val="28"/>
          <w:lang w:val="es-MX"/>
        </w:rPr>
      </w:pPr>
      <w:r w:rsidRPr="00921BD1">
        <w:rPr>
          <w:rFonts w:ascii="Arial" w:eastAsia="Calibri" w:hAnsi="Arial" w:cs="Arial"/>
          <w:color w:val="000000"/>
          <w:sz w:val="28"/>
          <w:szCs w:val="28"/>
          <w:lang w:val="es-MX"/>
        </w:rPr>
        <w:t>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921BD1" w:rsidRPr="00921BD1" w:rsidRDefault="00921BD1" w:rsidP="00921BD1">
      <w:pPr>
        <w:tabs>
          <w:tab w:val="left" w:pos="851"/>
        </w:tabs>
        <w:spacing w:after="0" w:line="240" w:lineRule="auto"/>
        <w:ind w:left="851" w:hanging="425"/>
        <w:jc w:val="both"/>
        <w:rPr>
          <w:rFonts w:ascii="Arial" w:eastAsia="Times New Roman" w:hAnsi="Arial" w:cs="Arial"/>
          <w:sz w:val="28"/>
          <w:szCs w:val="28"/>
          <w:lang w:val="es-ES_tradnl" w:eastAsia="es-ES"/>
        </w:rPr>
      </w:pPr>
    </w:p>
    <w:p w:rsidR="00921BD1" w:rsidRPr="00921BD1" w:rsidRDefault="00921BD1" w:rsidP="00921BD1">
      <w:pPr>
        <w:numPr>
          <w:ilvl w:val="0"/>
          <w:numId w:val="1"/>
        </w:numPr>
        <w:tabs>
          <w:tab w:val="left" w:pos="851"/>
        </w:tabs>
        <w:spacing w:after="0" w:line="240" w:lineRule="auto"/>
        <w:ind w:left="851" w:hanging="425"/>
        <w:jc w:val="both"/>
        <w:rPr>
          <w:rFonts w:ascii="Arial" w:eastAsia="Calibri" w:hAnsi="Arial" w:cs="Arial"/>
          <w:sz w:val="28"/>
          <w:szCs w:val="28"/>
          <w:lang w:val="es-MX"/>
        </w:rPr>
      </w:pPr>
      <w:r w:rsidRPr="00921BD1">
        <w:rPr>
          <w:rFonts w:ascii="Arial" w:eastAsia="Calibri" w:hAnsi="Arial" w:cs="Arial"/>
          <w:color w:val="000000"/>
          <w:sz w:val="28"/>
          <w:szCs w:val="28"/>
          <w:lang w:val="es-MX"/>
        </w:rPr>
        <w:t>Regular la concurrencia que establece la Constitución Política de los Estados Unidos Mexicanos entre el Estado y los municipios, para la planeación, ordenación y regulación de los asentamientos humanos;</w:t>
      </w:r>
    </w:p>
    <w:p w:rsidR="00921BD1" w:rsidRPr="00921BD1" w:rsidRDefault="00921BD1" w:rsidP="00921BD1">
      <w:pPr>
        <w:tabs>
          <w:tab w:val="left" w:pos="851"/>
        </w:tabs>
        <w:spacing w:after="0" w:line="240" w:lineRule="auto"/>
        <w:ind w:left="851" w:hanging="425"/>
        <w:jc w:val="both"/>
        <w:rPr>
          <w:rFonts w:ascii="Arial" w:eastAsia="Times New Roman" w:hAnsi="Arial" w:cs="Arial"/>
          <w:sz w:val="28"/>
          <w:szCs w:val="28"/>
          <w:lang w:val="es-ES_tradnl" w:eastAsia="es-ES"/>
        </w:rPr>
      </w:pPr>
    </w:p>
    <w:p w:rsidR="00921BD1" w:rsidRPr="00921BD1" w:rsidRDefault="00921BD1" w:rsidP="00921BD1">
      <w:pPr>
        <w:numPr>
          <w:ilvl w:val="0"/>
          <w:numId w:val="1"/>
        </w:numPr>
        <w:tabs>
          <w:tab w:val="left" w:pos="851"/>
        </w:tabs>
        <w:spacing w:after="0" w:line="240" w:lineRule="auto"/>
        <w:ind w:left="851" w:hanging="425"/>
        <w:jc w:val="both"/>
        <w:rPr>
          <w:rFonts w:ascii="Arial" w:eastAsia="Calibri" w:hAnsi="Arial" w:cs="Arial"/>
          <w:sz w:val="28"/>
          <w:szCs w:val="28"/>
          <w:lang w:val="es-MX"/>
        </w:rPr>
      </w:pPr>
      <w:r w:rsidRPr="00921BD1">
        <w:rPr>
          <w:rFonts w:ascii="Arial" w:eastAsia="Calibri" w:hAnsi="Arial" w:cs="Arial"/>
          <w:color w:val="000000"/>
          <w:sz w:val="28"/>
          <w:szCs w:val="28"/>
          <w:lang w:val="es-MX"/>
        </w:rPr>
        <w:t xml:space="preserve">Establecer </w:t>
      </w:r>
      <w:r w:rsidRPr="00921BD1">
        <w:rPr>
          <w:rFonts w:ascii="Arial" w:eastAsia="Calibri" w:hAnsi="Arial" w:cs="Arial"/>
          <w:sz w:val="28"/>
          <w:szCs w:val="28"/>
          <w:lang w:val="es-MX"/>
        </w:rPr>
        <w:t xml:space="preserve">los criterios para armonizar la planeación y la ordenación de los asentamientos humanos con el ordenamiento ecológico del territorio y la seguridad de sus habitantes; </w:t>
      </w:r>
    </w:p>
    <w:p w:rsidR="00921BD1" w:rsidRPr="00921BD1" w:rsidRDefault="00921BD1" w:rsidP="00921BD1">
      <w:pPr>
        <w:tabs>
          <w:tab w:val="left" w:pos="851"/>
        </w:tabs>
        <w:spacing w:after="0" w:line="240" w:lineRule="auto"/>
        <w:ind w:left="851" w:hanging="425"/>
        <w:jc w:val="both"/>
        <w:rPr>
          <w:rFonts w:ascii="Arial" w:eastAsia="Times New Roman" w:hAnsi="Arial" w:cs="Arial"/>
          <w:sz w:val="28"/>
          <w:szCs w:val="28"/>
          <w:lang w:val="es-ES_tradnl" w:eastAsia="es-ES"/>
        </w:rPr>
      </w:pPr>
    </w:p>
    <w:p w:rsidR="00921BD1" w:rsidRPr="00921BD1" w:rsidRDefault="00921BD1" w:rsidP="00921BD1">
      <w:pPr>
        <w:numPr>
          <w:ilvl w:val="0"/>
          <w:numId w:val="1"/>
        </w:numPr>
        <w:tabs>
          <w:tab w:val="left" w:pos="851"/>
        </w:tabs>
        <w:spacing w:after="0" w:line="240" w:lineRule="auto"/>
        <w:ind w:left="851" w:hanging="425"/>
        <w:jc w:val="both"/>
        <w:rPr>
          <w:rFonts w:ascii="Arial" w:eastAsia="Calibri" w:hAnsi="Arial" w:cs="Arial"/>
          <w:sz w:val="28"/>
          <w:szCs w:val="28"/>
          <w:lang w:val="es-MX"/>
        </w:rPr>
      </w:pPr>
      <w:r w:rsidRPr="00921BD1">
        <w:rPr>
          <w:rFonts w:ascii="Arial" w:eastAsia="Calibri" w:hAnsi="Arial" w:cs="Arial"/>
          <w:color w:val="000000"/>
          <w:sz w:val="28"/>
          <w:szCs w:val="28"/>
          <w:lang w:val="es-MX"/>
        </w:rPr>
        <w:t xml:space="preserve">Establecer las bases y definir los principios conforme a las cuales el Estado y los municipios ejercerán sus atribuciones para zonificar el territorio y determinar las correspondientes provisiones, usos del suelo, reservas y destinos de áreas y predios que regulan la propiedad en los centros de población; </w:t>
      </w:r>
    </w:p>
    <w:p w:rsidR="00921BD1" w:rsidRPr="00921BD1" w:rsidRDefault="00921BD1" w:rsidP="00921BD1">
      <w:pPr>
        <w:tabs>
          <w:tab w:val="left" w:pos="851"/>
        </w:tabs>
        <w:spacing w:after="0" w:line="240" w:lineRule="auto"/>
        <w:ind w:left="851" w:hanging="425"/>
        <w:contextualSpacing/>
        <w:jc w:val="both"/>
        <w:rPr>
          <w:rFonts w:ascii="Arial" w:eastAsia="Calibri" w:hAnsi="Arial" w:cs="Arial"/>
          <w:sz w:val="28"/>
          <w:szCs w:val="28"/>
          <w:lang w:val="es-MX"/>
        </w:rPr>
      </w:pPr>
    </w:p>
    <w:p w:rsidR="00921BD1" w:rsidRPr="00921BD1" w:rsidRDefault="00921BD1" w:rsidP="00921BD1">
      <w:pPr>
        <w:numPr>
          <w:ilvl w:val="0"/>
          <w:numId w:val="1"/>
        </w:numPr>
        <w:tabs>
          <w:tab w:val="left" w:pos="851"/>
        </w:tabs>
        <w:spacing w:after="0" w:line="240" w:lineRule="auto"/>
        <w:ind w:left="851" w:hanging="425"/>
        <w:jc w:val="both"/>
        <w:rPr>
          <w:rFonts w:ascii="Arial" w:eastAsia="Calibri" w:hAnsi="Arial" w:cs="Arial"/>
          <w:sz w:val="28"/>
          <w:szCs w:val="28"/>
          <w:lang w:val="es-MX"/>
        </w:rPr>
      </w:pPr>
      <w:r w:rsidRPr="00921BD1">
        <w:rPr>
          <w:rFonts w:ascii="Arial" w:eastAsia="Calibri" w:hAnsi="Arial" w:cs="Arial"/>
          <w:sz w:val="28"/>
          <w:szCs w:val="28"/>
          <w:lang w:val="es-MX"/>
        </w:rPr>
        <w:t xml:space="preserve">Prescribir las normas conforme a las cuales se dará la política del suelo y reservas territoriales en el Estado, así como definir los </w:t>
      </w:r>
      <w:r w:rsidRPr="00921BD1">
        <w:rPr>
          <w:rFonts w:ascii="Arial" w:eastAsia="Calibri" w:hAnsi="Arial" w:cs="Arial"/>
          <w:sz w:val="28"/>
          <w:szCs w:val="28"/>
          <w:lang w:val="es-MX"/>
        </w:rPr>
        <w:lastRenderedPageBreak/>
        <w:t>instrumentos para su gestión y administración en los centros de población;</w:t>
      </w:r>
    </w:p>
    <w:p w:rsidR="00921BD1" w:rsidRPr="00921BD1" w:rsidRDefault="00921BD1" w:rsidP="00921BD1">
      <w:pPr>
        <w:tabs>
          <w:tab w:val="left" w:pos="851"/>
        </w:tabs>
        <w:spacing w:after="0" w:line="240" w:lineRule="auto"/>
        <w:ind w:left="851" w:hanging="425"/>
        <w:jc w:val="both"/>
        <w:rPr>
          <w:rFonts w:ascii="Arial" w:eastAsia="Times New Roman" w:hAnsi="Arial" w:cs="Arial"/>
          <w:sz w:val="28"/>
          <w:szCs w:val="28"/>
          <w:lang w:val="es-ES_tradnl" w:eastAsia="es-ES"/>
        </w:rPr>
      </w:pPr>
    </w:p>
    <w:p w:rsidR="00921BD1" w:rsidRPr="00921BD1" w:rsidRDefault="00921BD1" w:rsidP="00921BD1">
      <w:pPr>
        <w:numPr>
          <w:ilvl w:val="0"/>
          <w:numId w:val="1"/>
        </w:numPr>
        <w:tabs>
          <w:tab w:val="left" w:pos="851"/>
        </w:tabs>
        <w:spacing w:after="0" w:line="240" w:lineRule="auto"/>
        <w:ind w:left="851" w:hanging="425"/>
        <w:jc w:val="both"/>
        <w:rPr>
          <w:rFonts w:ascii="Arial" w:eastAsia="Calibri" w:hAnsi="Arial" w:cs="Arial"/>
          <w:sz w:val="28"/>
          <w:szCs w:val="28"/>
          <w:lang w:val="es-MX"/>
        </w:rPr>
      </w:pPr>
      <w:r w:rsidRPr="00921BD1">
        <w:rPr>
          <w:rFonts w:ascii="Arial" w:eastAsia="Calibri" w:hAnsi="Arial" w:cs="Arial"/>
          <w:sz w:val="28"/>
          <w:szCs w:val="28"/>
          <w:lang w:val="es-MX"/>
        </w:rPr>
        <w:t>Determinar las normas conforme a las cuales se sujetará la autorización de las acciones urbanísticas en la entidad;</w:t>
      </w:r>
    </w:p>
    <w:p w:rsidR="00921BD1" w:rsidRPr="00921BD1" w:rsidRDefault="00921BD1" w:rsidP="00921BD1">
      <w:pPr>
        <w:tabs>
          <w:tab w:val="left" w:pos="851"/>
        </w:tabs>
        <w:spacing w:after="0" w:line="240" w:lineRule="auto"/>
        <w:ind w:left="851" w:hanging="425"/>
        <w:jc w:val="both"/>
        <w:rPr>
          <w:rFonts w:ascii="Arial" w:eastAsia="Times New Roman" w:hAnsi="Arial" w:cs="Arial"/>
          <w:sz w:val="28"/>
          <w:szCs w:val="28"/>
          <w:lang w:val="es-ES_tradnl" w:eastAsia="es-ES"/>
        </w:rPr>
      </w:pPr>
    </w:p>
    <w:p w:rsidR="00921BD1" w:rsidRPr="00921BD1" w:rsidRDefault="00921BD1" w:rsidP="00921BD1">
      <w:pPr>
        <w:numPr>
          <w:ilvl w:val="0"/>
          <w:numId w:val="1"/>
        </w:numPr>
        <w:tabs>
          <w:tab w:val="left" w:pos="851"/>
        </w:tabs>
        <w:spacing w:after="0" w:line="240" w:lineRule="auto"/>
        <w:ind w:left="851" w:hanging="425"/>
        <w:jc w:val="both"/>
        <w:rPr>
          <w:rFonts w:ascii="Arial" w:eastAsia="Calibri" w:hAnsi="Arial" w:cs="Arial"/>
          <w:sz w:val="28"/>
          <w:szCs w:val="28"/>
          <w:lang w:val="es-MX"/>
        </w:rPr>
      </w:pPr>
      <w:r w:rsidRPr="00921BD1">
        <w:rPr>
          <w:rFonts w:ascii="Arial" w:eastAsia="Calibri" w:hAnsi="Arial" w:cs="Arial"/>
          <w:sz w:val="28"/>
          <w:szCs w:val="28"/>
          <w:lang w:val="es-MX"/>
        </w:rPr>
        <w:t>Establecer las normas generales para la construcción, ampliación, remodelación, reparación, demolición y reconstrucción de inmuebles de propiedad pública o privada, así como de obras de equipamiento, infraestructura y servicios urbanos en la entidad;</w:t>
      </w:r>
    </w:p>
    <w:p w:rsidR="00921BD1" w:rsidRPr="00921BD1" w:rsidRDefault="00921BD1" w:rsidP="00921BD1">
      <w:pPr>
        <w:tabs>
          <w:tab w:val="left" w:pos="851"/>
        </w:tabs>
        <w:spacing w:after="0" w:line="240" w:lineRule="auto"/>
        <w:ind w:left="851" w:hanging="425"/>
        <w:jc w:val="both"/>
        <w:rPr>
          <w:rFonts w:ascii="Arial" w:eastAsia="Times New Roman" w:hAnsi="Arial" w:cs="Arial"/>
          <w:sz w:val="28"/>
          <w:szCs w:val="28"/>
          <w:lang w:val="es-ES_tradnl" w:eastAsia="es-ES"/>
        </w:rPr>
      </w:pPr>
    </w:p>
    <w:p w:rsidR="00921BD1" w:rsidRPr="00921BD1" w:rsidRDefault="00921BD1" w:rsidP="00921BD1">
      <w:pPr>
        <w:numPr>
          <w:ilvl w:val="0"/>
          <w:numId w:val="1"/>
        </w:numPr>
        <w:tabs>
          <w:tab w:val="left" w:pos="851"/>
        </w:tabs>
        <w:spacing w:after="0" w:line="240" w:lineRule="auto"/>
        <w:ind w:left="851" w:hanging="425"/>
        <w:jc w:val="both"/>
        <w:rPr>
          <w:rFonts w:ascii="Arial" w:eastAsia="Calibri" w:hAnsi="Arial" w:cs="Arial"/>
          <w:sz w:val="28"/>
          <w:szCs w:val="28"/>
          <w:lang w:val="es-MX"/>
        </w:rPr>
      </w:pPr>
      <w:r w:rsidRPr="00921BD1">
        <w:rPr>
          <w:rFonts w:ascii="Arial" w:eastAsia="Calibri" w:hAnsi="Arial" w:cs="Arial"/>
          <w:sz w:val="28"/>
          <w:szCs w:val="28"/>
          <w:lang w:val="es-MX"/>
        </w:rPr>
        <w:t>Fijar las normas básicas para la prevención de riesgos y contingencias en los asentamientos humanos, tendiente a garantizar la seguridad y pro</w:t>
      </w:r>
      <w:r w:rsidRPr="00921BD1">
        <w:rPr>
          <w:rFonts w:ascii="Arial" w:eastAsia="Calibri" w:hAnsi="Arial" w:cs="Arial"/>
          <w:color w:val="000000"/>
          <w:sz w:val="28"/>
          <w:szCs w:val="28"/>
          <w:lang w:val="es-MX"/>
        </w:rPr>
        <w:t xml:space="preserve">tección civil de sus habitantes; </w:t>
      </w:r>
    </w:p>
    <w:p w:rsidR="00921BD1" w:rsidRPr="00921BD1" w:rsidRDefault="00921BD1" w:rsidP="00921BD1">
      <w:pPr>
        <w:tabs>
          <w:tab w:val="left" w:pos="851"/>
        </w:tabs>
        <w:spacing w:after="0" w:line="240" w:lineRule="auto"/>
        <w:ind w:left="851" w:hanging="425"/>
        <w:jc w:val="both"/>
        <w:rPr>
          <w:rFonts w:ascii="Arial" w:eastAsia="Times New Roman" w:hAnsi="Arial" w:cs="Arial"/>
          <w:sz w:val="28"/>
          <w:szCs w:val="28"/>
          <w:lang w:val="es-ES_tradnl" w:eastAsia="es-ES"/>
        </w:rPr>
      </w:pPr>
    </w:p>
    <w:p w:rsidR="00921BD1" w:rsidRPr="00921BD1" w:rsidRDefault="00921BD1" w:rsidP="00921BD1">
      <w:pPr>
        <w:numPr>
          <w:ilvl w:val="0"/>
          <w:numId w:val="1"/>
        </w:numPr>
        <w:tabs>
          <w:tab w:val="left" w:pos="851"/>
        </w:tabs>
        <w:spacing w:after="0" w:line="240" w:lineRule="auto"/>
        <w:ind w:left="851" w:hanging="425"/>
        <w:jc w:val="both"/>
        <w:rPr>
          <w:rFonts w:ascii="Arial" w:eastAsia="Calibri" w:hAnsi="Arial" w:cs="Arial"/>
          <w:sz w:val="28"/>
          <w:szCs w:val="28"/>
          <w:lang w:val="es-MX"/>
        </w:rPr>
      </w:pPr>
      <w:r w:rsidRPr="00921BD1">
        <w:rPr>
          <w:rFonts w:ascii="Arial" w:eastAsia="Calibri" w:hAnsi="Arial" w:cs="Arial"/>
          <w:color w:val="000000"/>
          <w:sz w:val="28"/>
          <w:szCs w:val="28"/>
          <w:lang w:val="es-MX"/>
        </w:rPr>
        <w:t>Determinar las bases y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rsidR="00C1607C" w:rsidRPr="00C1607C" w:rsidRDefault="00C1607C" w:rsidP="00921BD1">
      <w:pPr>
        <w:autoSpaceDE w:val="0"/>
        <w:autoSpaceDN w:val="0"/>
        <w:adjustRightInd w:val="0"/>
        <w:spacing w:after="0" w:line="240" w:lineRule="auto"/>
        <w:jc w:val="both"/>
        <w:rPr>
          <w:rFonts w:ascii="Arial" w:eastAsia="Times New Roman" w:hAnsi="Arial" w:cs="Arial"/>
          <w:b/>
          <w:bCs/>
          <w:color w:val="000000"/>
          <w:sz w:val="28"/>
          <w:szCs w:val="28"/>
          <w:lang w:val="es-MX" w:eastAsia="es-ES"/>
        </w:rPr>
      </w:pPr>
    </w:p>
    <w:p w:rsidR="00C1607C" w:rsidRPr="00C1607C" w:rsidRDefault="00C1607C" w:rsidP="00921BD1">
      <w:pPr>
        <w:spacing w:after="0" w:line="240" w:lineRule="auto"/>
        <w:jc w:val="both"/>
        <w:rPr>
          <w:rFonts w:ascii="Arial" w:eastAsia="Times New Roman" w:hAnsi="Arial" w:cs="Arial"/>
          <w:sz w:val="28"/>
          <w:szCs w:val="28"/>
          <w:lang w:val="es-ES_tradnl" w:eastAsia="es-ES"/>
        </w:rPr>
      </w:pPr>
    </w:p>
    <w:p w:rsidR="00921BD1" w:rsidRPr="00921BD1" w:rsidRDefault="00921BD1" w:rsidP="00921BD1">
      <w:pPr>
        <w:jc w:val="both"/>
        <w:rPr>
          <w:rFonts w:ascii="Arial" w:eastAsia="Times New Roman" w:hAnsi="Arial" w:cs="Arial"/>
          <w:sz w:val="28"/>
          <w:szCs w:val="28"/>
          <w:lang w:val="es-ES_tradnl" w:eastAsia="es-ES"/>
        </w:rPr>
      </w:pPr>
      <w:r w:rsidRPr="00921BD1">
        <w:rPr>
          <w:rFonts w:ascii="Arial" w:eastAsia="Times New Roman" w:hAnsi="Arial" w:cs="Arial"/>
          <w:sz w:val="28"/>
          <w:szCs w:val="28"/>
          <w:lang w:val="es-ES_tradnl" w:eastAsia="es-ES"/>
        </w:rPr>
        <w:t>De igual forma, establece un capítulo relativo a los fraccionamientos campestres, estipulando en su artículo 200</w:t>
      </w:r>
      <w:r w:rsidRPr="00921BD1">
        <w:rPr>
          <w:rFonts w:ascii="Arial" w:eastAsia="Times New Roman" w:hAnsi="Arial" w:cs="Arial"/>
          <w:b/>
          <w:bCs/>
          <w:sz w:val="28"/>
          <w:szCs w:val="28"/>
          <w:lang w:val="es-ES_tradnl" w:eastAsia="es-ES"/>
        </w:rPr>
        <w:t xml:space="preserve"> </w:t>
      </w:r>
      <w:r w:rsidRPr="00921BD1">
        <w:rPr>
          <w:rFonts w:ascii="Arial" w:eastAsia="Times New Roman" w:hAnsi="Arial" w:cs="Arial"/>
          <w:bCs/>
          <w:sz w:val="28"/>
          <w:szCs w:val="28"/>
          <w:lang w:val="es-ES_tradnl" w:eastAsia="es-ES"/>
        </w:rPr>
        <w:t xml:space="preserve">que </w:t>
      </w:r>
      <w:r w:rsidRPr="00921BD1">
        <w:rPr>
          <w:rFonts w:ascii="Arial" w:eastAsia="Times New Roman" w:hAnsi="Arial" w:cs="Arial"/>
          <w:sz w:val="28"/>
          <w:szCs w:val="28"/>
          <w:lang w:val="es-ES_tradnl" w:eastAsia="es-ES"/>
        </w:rPr>
        <w:t>son aquellos ubicados a más de cinco kilómetros del límite del centro de población y cuyos lotes se utilizarán predominantemente para:</w:t>
      </w:r>
    </w:p>
    <w:p w:rsidR="00921BD1" w:rsidRPr="00921BD1" w:rsidRDefault="00921BD1" w:rsidP="00921BD1">
      <w:pPr>
        <w:spacing w:after="0" w:line="240" w:lineRule="auto"/>
        <w:jc w:val="both"/>
        <w:rPr>
          <w:rFonts w:ascii="Arial" w:eastAsia="Times New Roman" w:hAnsi="Arial" w:cs="Arial"/>
          <w:color w:val="00B050"/>
          <w:sz w:val="28"/>
          <w:szCs w:val="28"/>
          <w:lang w:val="es-ES_tradnl" w:eastAsia="es-ES"/>
        </w:rPr>
      </w:pPr>
    </w:p>
    <w:p w:rsidR="00921BD1" w:rsidRPr="00921BD1" w:rsidRDefault="00921BD1" w:rsidP="00921BD1">
      <w:pPr>
        <w:numPr>
          <w:ilvl w:val="0"/>
          <w:numId w:val="2"/>
        </w:numPr>
        <w:tabs>
          <w:tab w:val="left" w:pos="851"/>
        </w:tabs>
        <w:spacing w:after="0" w:line="240" w:lineRule="auto"/>
        <w:ind w:left="851" w:hanging="425"/>
        <w:jc w:val="both"/>
        <w:rPr>
          <w:rFonts w:ascii="Arial" w:eastAsia="Times New Roman" w:hAnsi="Arial" w:cs="Arial"/>
          <w:bCs/>
          <w:sz w:val="28"/>
          <w:szCs w:val="28"/>
          <w:lang w:val="x-none" w:eastAsia="es-ES"/>
        </w:rPr>
      </w:pPr>
      <w:r w:rsidRPr="00921BD1">
        <w:rPr>
          <w:rFonts w:ascii="Arial" w:eastAsia="Times New Roman" w:hAnsi="Arial" w:cs="Arial"/>
          <w:bCs/>
          <w:sz w:val="28"/>
          <w:szCs w:val="28"/>
          <w:lang w:val="x-none" w:eastAsia="es-ES"/>
        </w:rPr>
        <w:t xml:space="preserve">Casas de utilización eventual, con fines habitacionales; </w:t>
      </w:r>
    </w:p>
    <w:p w:rsidR="00921BD1" w:rsidRPr="00921BD1" w:rsidRDefault="00921BD1" w:rsidP="00921BD1">
      <w:pPr>
        <w:tabs>
          <w:tab w:val="left" w:pos="851"/>
        </w:tabs>
        <w:spacing w:after="0" w:line="240" w:lineRule="auto"/>
        <w:ind w:left="851" w:hanging="425"/>
        <w:jc w:val="both"/>
        <w:rPr>
          <w:rFonts w:ascii="Arial" w:eastAsia="Times New Roman" w:hAnsi="Arial" w:cs="Arial"/>
          <w:bCs/>
          <w:sz w:val="28"/>
          <w:szCs w:val="28"/>
          <w:lang w:val="x-none" w:eastAsia="es-ES"/>
        </w:rPr>
      </w:pPr>
    </w:p>
    <w:p w:rsidR="00921BD1" w:rsidRPr="00921BD1" w:rsidRDefault="00921BD1" w:rsidP="00921BD1">
      <w:pPr>
        <w:numPr>
          <w:ilvl w:val="0"/>
          <w:numId w:val="2"/>
        </w:numPr>
        <w:tabs>
          <w:tab w:val="left" w:pos="851"/>
        </w:tabs>
        <w:spacing w:after="0" w:line="240" w:lineRule="auto"/>
        <w:ind w:left="851" w:hanging="425"/>
        <w:jc w:val="both"/>
        <w:rPr>
          <w:rFonts w:ascii="Arial" w:eastAsia="Times New Roman" w:hAnsi="Arial" w:cs="Arial"/>
          <w:bCs/>
          <w:sz w:val="28"/>
          <w:szCs w:val="28"/>
          <w:lang w:val="x-none" w:eastAsia="es-ES"/>
        </w:rPr>
      </w:pPr>
      <w:r w:rsidRPr="00921BD1">
        <w:rPr>
          <w:rFonts w:ascii="Arial" w:eastAsia="Times New Roman" w:hAnsi="Arial" w:cs="Arial"/>
          <w:bCs/>
          <w:sz w:val="28"/>
          <w:szCs w:val="28"/>
          <w:lang w:val="x-none" w:eastAsia="es-ES"/>
        </w:rPr>
        <w:t xml:space="preserve">Fines turísticos, que puedan servir como campamentos de viviendas móviles, o para el establecimiento de hoteles, restaurantes, expendios de productos artesanales o actividades recreativas. </w:t>
      </w:r>
    </w:p>
    <w:p w:rsidR="00921BD1" w:rsidRPr="00921BD1" w:rsidRDefault="00921BD1" w:rsidP="00921BD1">
      <w:pPr>
        <w:spacing w:after="0" w:line="240" w:lineRule="auto"/>
        <w:jc w:val="both"/>
        <w:rPr>
          <w:rFonts w:ascii="Arial" w:eastAsia="Times New Roman" w:hAnsi="Arial" w:cs="Arial"/>
          <w:bCs/>
          <w:sz w:val="28"/>
          <w:szCs w:val="28"/>
          <w:lang w:val="x-none" w:eastAsia="es-ES"/>
        </w:rPr>
      </w:pPr>
    </w:p>
    <w:p w:rsidR="00C1607C" w:rsidRPr="00921BD1" w:rsidRDefault="00C1607C" w:rsidP="00921BD1">
      <w:pPr>
        <w:spacing w:after="0" w:line="276" w:lineRule="auto"/>
        <w:jc w:val="both"/>
        <w:rPr>
          <w:rFonts w:ascii="Arial" w:eastAsia="Times New Roman" w:hAnsi="Arial" w:cs="Arial"/>
          <w:sz w:val="28"/>
          <w:szCs w:val="28"/>
          <w:lang w:val="x-none" w:eastAsia="es-ES"/>
        </w:rPr>
      </w:pPr>
    </w:p>
    <w:p w:rsidR="00921BD1" w:rsidRDefault="00921BD1" w:rsidP="00921BD1">
      <w:pPr>
        <w:pStyle w:val="Textoindependiente"/>
        <w:rPr>
          <w:rFonts w:cs="Arial"/>
          <w:bCs/>
          <w:sz w:val="28"/>
          <w:szCs w:val="28"/>
          <w:lang w:val="x-none"/>
        </w:rPr>
      </w:pPr>
      <w:r w:rsidRPr="00921BD1">
        <w:rPr>
          <w:rFonts w:cs="Arial"/>
          <w:sz w:val="28"/>
          <w:szCs w:val="28"/>
          <w:lang w:val="es-ES_tradnl"/>
        </w:rPr>
        <w:t>En este sentido, dado el propósito de la presente iniciativa, es conveniente señalar que la ley que sustituyó la actual, disponía que</w:t>
      </w:r>
      <w:r>
        <w:rPr>
          <w:rFonts w:cs="Arial"/>
          <w:sz w:val="28"/>
          <w:szCs w:val="28"/>
          <w:lang w:val="es-ES_tradnl"/>
        </w:rPr>
        <w:t xml:space="preserve"> la superficie de los</w:t>
      </w:r>
      <w:r w:rsidRPr="00921BD1">
        <w:rPr>
          <w:rFonts w:cs="Arial"/>
          <w:sz w:val="28"/>
          <w:szCs w:val="28"/>
          <w:lang w:val="es-ES_tradnl"/>
        </w:rPr>
        <w:t xml:space="preserve"> </w:t>
      </w:r>
      <w:r w:rsidRPr="00921BD1">
        <w:rPr>
          <w:rFonts w:cs="Arial"/>
          <w:bCs/>
          <w:sz w:val="28"/>
          <w:szCs w:val="28"/>
          <w:lang w:val="x-none"/>
        </w:rPr>
        <w:t xml:space="preserve">lotes </w:t>
      </w:r>
      <w:r>
        <w:rPr>
          <w:rFonts w:cs="Arial"/>
          <w:bCs/>
          <w:sz w:val="28"/>
          <w:szCs w:val="28"/>
          <w:lang w:val="x-none"/>
        </w:rPr>
        <w:t xml:space="preserve">se </w:t>
      </w:r>
      <w:proofErr w:type="spellStart"/>
      <w:r>
        <w:rPr>
          <w:rFonts w:cs="Arial"/>
          <w:bCs/>
          <w:sz w:val="28"/>
          <w:szCs w:val="28"/>
          <w:lang w:val="x-none"/>
        </w:rPr>
        <w:t>determinr</w:t>
      </w:r>
      <w:r>
        <w:rPr>
          <w:rFonts w:cs="Arial"/>
          <w:bCs/>
          <w:sz w:val="28"/>
          <w:szCs w:val="28"/>
          <w:lang w:val="es-MX"/>
        </w:rPr>
        <w:t>ía</w:t>
      </w:r>
      <w:proofErr w:type="spellEnd"/>
      <w:r w:rsidRPr="00921BD1">
        <w:rPr>
          <w:rFonts w:cs="Arial"/>
          <w:bCs/>
          <w:sz w:val="28"/>
          <w:szCs w:val="28"/>
          <w:lang w:val="x-none"/>
        </w:rPr>
        <w:t xml:space="preserve"> en la autorización de impacto am</w:t>
      </w:r>
      <w:r>
        <w:rPr>
          <w:rFonts w:cs="Arial"/>
          <w:bCs/>
          <w:sz w:val="28"/>
          <w:szCs w:val="28"/>
          <w:lang w:val="x-none"/>
        </w:rPr>
        <w:t>biental, y en todo caso no podr</w:t>
      </w:r>
      <w:r>
        <w:rPr>
          <w:rFonts w:cs="Arial"/>
          <w:bCs/>
          <w:sz w:val="28"/>
          <w:szCs w:val="28"/>
          <w:lang w:val="es-MX"/>
        </w:rPr>
        <w:t>ía</w:t>
      </w:r>
      <w:r w:rsidRPr="00921BD1">
        <w:rPr>
          <w:rFonts w:cs="Arial"/>
          <w:bCs/>
          <w:sz w:val="28"/>
          <w:szCs w:val="28"/>
          <w:lang w:val="x-none"/>
        </w:rPr>
        <w:t>n t</w:t>
      </w:r>
      <w:r>
        <w:rPr>
          <w:rFonts w:cs="Arial"/>
          <w:bCs/>
          <w:sz w:val="28"/>
          <w:szCs w:val="28"/>
          <w:lang w:val="x-none"/>
        </w:rPr>
        <w:t>ener un frente menor de veinticinco</w:t>
      </w:r>
      <w:r w:rsidRPr="00921BD1">
        <w:rPr>
          <w:rFonts w:cs="Arial"/>
          <w:bCs/>
          <w:sz w:val="28"/>
          <w:szCs w:val="28"/>
          <w:lang w:val="x-none"/>
        </w:rPr>
        <w:t xml:space="preserve"> metros, y superficie menor de mil metros cuadrados.</w:t>
      </w:r>
    </w:p>
    <w:p w:rsidR="00921BD1" w:rsidRDefault="00921BD1" w:rsidP="00921BD1">
      <w:pPr>
        <w:pStyle w:val="Textoindependiente"/>
        <w:rPr>
          <w:rFonts w:cs="Arial"/>
          <w:bCs/>
          <w:sz w:val="28"/>
          <w:szCs w:val="28"/>
          <w:lang w:val="x-none"/>
        </w:rPr>
      </w:pPr>
    </w:p>
    <w:p w:rsidR="00921BD1" w:rsidRDefault="00921BD1" w:rsidP="00921BD1">
      <w:pPr>
        <w:pStyle w:val="Textoindependiente"/>
        <w:rPr>
          <w:rFonts w:cs="Arial"/>
          <w:bCs/>
          <w:sz w:val="28"/>
          <w:szCs w:val="28"/>
          <w:lang w:val="es-MX"/>
        </w:rPr>
      </w:pPr>
      <w:r>
        <w:rPr>
          <w:rFonts w:cs="Arial"/>
          <w:bCs/>
          <w:sz w:val="28"/>
          <w:szCs w:val="28"/>
          <w:lang w:val="es-MX"/>
        </w:rPr>
        <w:t>Sin embargo, en la actual ley se estableció que el frente no podría ser menor de cuarenta metros, lo cual resulta en detrimento de quien desee adquirir un lote campestre, ya que lo que se busca en estos casos en contar con predios que tengan una mayor profundidad en aras de contar con mayor privacidad.</w:t>
      </w:r>
    </w:p>
    <w:p w:rsidR="00921BD1" w:rsidRDefault="00921BD1" w:rsidP="00921BD1">
      <w:pPr>
        <w:pStyle w:val="Textoindependiente"/>
        <w:rPr>
          <w:rFonts w:cs="Arial"/>
          <w:bCs/>
          <w:sz w:val="28"/>
          <w:szCs w:val="28"/>
          <w:lang w:val="es-MX"/>
        </w:rPr>
      </w:pPr>
    </w:p>
    <w:p w:rsidR="0054245C" w:rsidRPr="0054245C" w:rsidRDefault="00921BD1" w:rsidP="00921BD1">
      <w:pPr>
        <w:pStyle w:val="Textoindependiente"/>
        <w:rPr>
          <w:rFonts w:cs="Arial"/>
          <w:bCs/>
          <w:sz w:val="28"/>
          <w:szCs w:val="28"/>
          <w:lang w:val="es-MX"/>
        </w:rPr>
      </w:pPr>
      <w:r>
        <w:rPr>
          <w:rFonts w:cs="Arial"/>
          <w:bCs/>
          <w:sz w:val="28"/>
          <w:szCs w:val="28"/>
          <w:lang w:val="es-MX"/>
        </w:rPr>
        <w:t xml:space="preserve">De </w:t>
      </w:r>
      <w:r w:rsidRPr="0054245C">
        <w:rPr>
          <w:rFonts w:cs="Arial"/>
          <w:bCs/>
          <w:sz w:val="28"/>
          <w:szCs w:val="28"/>
          <w:lang w:val="es-MX"/>
        </w:rPr>
        <w:t xml:space="preserve">esta manera, se recurre al derecho comparado, analizando la ley de a materia de nuestro Estado vecino de Nuevo, León, se puede advertir </w:t>
      </w:r>
      <w:r w:rsidR="0054245C" w:rsidRPr="0054245C">
        <w:rPr>
          <w:rFonts w:cs="Arial"/>
          <w:bCs/>
          <w:sz w:val="28"/>
          <w:szCs w:val="28"/>
          <w:lang w:val="es-MX"/>
        </w:rPr>
        <w:t>que,</w:t>
      </w:r>
      <w:r w:rsidRPr="0054245C">
        <w:rPr>
          <w:rFonts w:cs="Arial"/>
          <w:bCs/>
          <w:sz w:val="28"/>
          <w:szCs w:val="28"/>
          <w:lang w:val="es-MX"/>
        </w:rPr>
        <w:t xml:space="preserve"> en aquella entidad, el frente mínimo requerido para lotes campestres es de treinta </w:t>
      </w:r>
      <w:r w:rsidR="0054245C" w:rsidRPr="0054245C">
        <w:rPr>
          <w:rFonts w:cs="Arial"/>
          <w:bCs/>
          <w:sz w:val="28"/>
          <w:szCs w:val="28"/>
          <w:lang w:val="es-MX"/>
        </w:rPr>
        <w:t>metros, pero con una superficie mínima de 1500 metros cuadrados.</w:t>
      </w:r>
    </w:p>
    <w:p w:rsidR="0054245C" w:rsidRPr="0054245C" w:rsidRDefault="0054245C" w:rsidP="00921BD1">
      <w:pPr>
        <w:pStyle w:val="Textoindependiente"/>
        <w:rPr>
          <w:rFonts w:cs="Arial"/>
          <w:bCs/>
          <w:sz w:val="28"/>
          <w:szCs w:val="28"/>
          <w:lang w:val="es-MX"/>
        </w:rPr>
      </w:pPr>
    </w:p>
    <w:p w:rsidR="0054245C" w:rsidRPr="00C1607C" w:rsidRDefault="0054245C" w:rsidP="0054245C">
      <w:pPr>
        <w:tabs>
          <w:tab w:val="left" w:pos="8749"/>
        </w:tabs>
        <w:spacing w:after="0" w:line="240" w:lineRule="auto"/>
        <w:jc w:val="both"/>
        <w:rPr>
          <w:rFonts w:ascii="Arial" w:eastAsia="Times New Roman" w:hAnsi="Arial" w:cs="Arial"/>
          <w:b/>
          <w:snapToGrid w:val="0"/>
          <w:sz w:val="28"/>
          <w:szCs w:val="28"/>
          <w:lang w:val="es-ES_tradnl" w:eastAsia="es-ES"/>
        </w:rPr>
      </w:pPr>
      <w:r w:rsidRPr="0054245C">
        <w:rPr>
          <w:rFonts w:ascii="Arial" w:hAnsi="Arial" w:cs="Arial"/>
          <w:bCs/>
          <w:sz w:val="28"/>
          <w:szCs w:val="28"/>
          <w:lang w:val="es-MX"/>
        </w:rPr>
        <w:t xml:space="preserve">Es por ello, que consideramos oportuno plantear una modificación a la </w:t>
      </w:r>
      <w:r w:rsidRPr="00C1607C">
        <w:rPr>
          <w:rFonts w:ascii="Arial" w:eastAsia="Times New Roman" w:hAnsi="Arial" w:cs="Arial"/>
          <w:bCs/>
          <w:sz w:val="28"/>
          <w:szCs w:val="28"/>
          <w:lang w:val="es-ES" w:eastAsia="es-ES"/>
        </w:rPr>
        <w:t>Ley de Asentamientos Humanos, Ordenamiento Territorial y Desarrollo Urbano del Estado de Coahuila de Zaragoza</w:t>
      </w:r>
      <w:r w:rsidRPr="0054245C">
        <w:rPr>
          <w:rFonts w:ascii="Arial" w:eastAsia="Times New Roman" w:hAnsi="Arial" w:cs="Arial"/>
          <w:bCs/>
          <w:sz w:val="28"/>
          <w:szCs w:val="28"/>
          <w:lang w:val="es-ES" w:eastAsia="es-ES"/>
        </w:rPr>
        <w:t xml:space="preserve">, con el propósito de generar mejores condiciones para el desarrollo inmobiliario de lotes campestres en Coahuila. </w:t>
      </w:r>
    </w:p>
    <w:p w:rsidR="00921BD1" w:rsidRPr="00C1607C" w:rsidRDefault="00921BD1" w:rsidP="00C1607C">
      <w:pPr>
        <w:spacing w:after="0" w:line="276" w:lineRule="auto"/>
        <w:jc w:val="both"/>
        <w:rPr>
          <w:rFonts w:ascii="Arial" w:eastAsia="Times New Roman" w:hAnsi="Arial" w:cs="Arial"/>
          <w:sz w:val="28"/>
          <w:szCs w:val="28"/>
          <w:lang w:val="es-ES_tradnl" w:eastAsia="es-ES"/>
        </w:rPr>
      </w:pPr>
    </w:p>
    <w:p w:rsidR="00C1607C" w:rsidRPr="00C1607C" w:rsidRDefault="00C1607C" w:rsidP="00C1607C">
      <w:pPr>
        <w:spacing w:after="0" w:line="276" w:lineRule="auto"/>
        <w:jc w:val="both"/>
        <w:rPr>
          <w:rFonts w:ascii="Arial" w:eastAsia="Times New Roman" w:hAnsi="Arial" w:cs="Arial"/>
          <w:sz w:val="28"/>
          <w:szCs w:val="28"/>
          <w:lang w:val="es-MX" w:eastAsia="es-ES"/>
        </w:rPr>
      </w:pPr>
      <w:r w:rsidRPr="00C1607C">
        <w:rPr>
          <w:rFonts w:ascii="Arial" w:eastAsia="Times New Roman" w:hAnsi="Arial" w:cs="Arial"/>
          <w:sz w:val="28"/>
          <w:szCs w:val="28"/>
          <w:lang w:val="es-MX" w:eastAsia="es-ES"/>
        </w:rPr>
        <w:t>En virtud de lo anterior, quienes integramos el Grupo Parlamentario “Gral. Andrés S. Viesca” del Partido Revolucionario Institucional, ponemos a la consideración de este H. Pleno del Congreso, la siguiente:</w:t>
      </w:r>
    </w:p>
    <w:p w:rsidR="00C1607C" w:rsidRPr="00C1607C" w:rsidRDefault="00C1607C" w:rsidP="00C1607C">
      <w:pPr>
        <w:spacing w:after="0" w:line="276" w:lineRule="auto"/>
        <w:jc w:val="both"/>
        <w:rPr>
          <w:rFonts w:ascii="Arial" w:eastAsia="Times New Roman" w:hAnsi="Arial" w:cs="Arial"/>
          <w:sz w:val="28"/>
          <w:szCs w:val="28"/>
          <w:lang w:val="es-MX" w:eastAsia="es-ES"/>
        </w:rPr>
      </w:pPr>
    </w:p>
    <w:p w:rsidR="00C1607C" w:rsidRPr="00C1607C" w:rsidRDefault="00C1607C" w:rsidP="00C1607C">
      <w:pPr>
        <w:spacing w:after="0" w:line="276" w:lineRule="auto"/>
        <w:jc w:val="center"/>
        <w:rPr>
          <w:rFonts w:ascii="Arial" w:eastAsia="Times New Roman" w:hAnsi="Arial" w:cs="Arial"/>
          <w:b/>
          <w:sz w:val="28"/>
          <w:szCs w:val="28"/>
          <w:lang w:val="es-MX" w:eastAsia="es-ES"/>
        </w:rPr>
      </w:pPr>
      <w:r w:rsidRPr="00C1607C">
        <w:rPr>
          <w:rFonts w:ascii="Arial" w:eastAsia="Times New Roman" w:hAnsi="Arial" w:cs="Arial"/>
          <w:b/>
          <w:sz w:val="28"/>
          <w:szCs w:val="28"/>
          <w:lang w:val="es-MX" w:eastAsia="es-ES"/>
        </w:rPr>
        <w:t>INICIATIVA CON PROYECTO DE DECRETO</w:t>
      </w:r>
    </w:p>
    <w:p w:rsidR="00C1607C" w:rsidRPr="00C1607C" w:rsidRDefault="00C1607C" w:rsidP="00C1607C">
      <w:pPr>
        <w:spacing w:after="0" w:line="276" w:lineRule="auto"/>
        <w:jc w:val="center"/>
        <w:rPr>
          <w:rFonts w:ascii="Arial" w:eastAsia="Times New Roman" w:hAnsi="Arial" w:cs="Arial"/>
          <w:b/>
          <w:sz w:val="28"/>
          <w:szCs w:val="28"/>
          <w:lang w:val="es-MX" w:eastAsia="es-ES"/>
        </w:rPr>
      </w:pPr>
    </w:p>
    <w:p w:rsidR="00C1607C" w:rsidRPr="00C1607C" w:rsidRDefault="00C1607C" w:rsidP="00C1607C">
      <w:pPr>
        <w:jc w:val="both"/>
        <w:rPr>
          <w:rFonts w:ascii="Arial" w:eastAsia="Times New Roman" w:hAnsi="Arial" w:cs="Arial"/>
          <w:b/>
          <w:caps/>
          <w:sz w:val="28"/>
          <w:szCs w:val="28"/>
          <w:lang w:val="es-ES_tradnl" w:eastAsia="es-ES"/>
        </w:rPr>
      </w:pPr>
      <w:proofErr w:type="gramStart"/>
      <w:r w:rsidRPr="00C1607C">
        <w:rPr>
          <w:rFonts w:ascii="Arial" w:eastAsia="Times New Roman" w:hAnsi="Arial" w:cs="Arial"/>
          <w:b/>
          <w:sz w:val="28"/>
          <w:szCs w:val="28"/>
          <w:lang w:val="es-MX" w:eastAsia="es-ES"/>
        </w:rPr>
        <w:t>ÚNICO.-</w:t>
      </w:r>
      <w:proofErr w:type="gramEnd"/>
      <w:r w:rsidRPr="00C1607C">
        <w:rPr>
          <w:rFonts w:ascii="Arial" w:eastAsia="Times New Roman" w:hAnsi="Arial" w:cs="Arial"/>
          <w:sz w:val="28"/>
          <w:szCs w:val="28"/>
          <w:lang w:val="es-MX" w:eastAsia="es-ES"/>
        </w:rPr>
        <w:t xml:space="preserve"> Se reforma </w:t>
      </w:r>
      <w:r w:rsidRPr="00921BD1">
        <w:rPr>
          <w:rFonts w:ascii="Arial" w:eastAsia="Times New Roman" w:hAnsi="Arial" w:cs="Arial"/>
          <w:sz w:val="28"/>
          <w:szCs w:val="28"/>
          <w:lang w:val="es-MX" w:eastAsia="es-ES"/>
        </w:rPr>
        <w:t xml:space="preserve">la fracción I </w:t>
      </w:r>
      <w:r w:rsidRPr="00C1607C">
        <w:rPr>
          <w:rFonts w:ascii="Arial" w:eastAsia="Times New Roman" w:hAnsi="Arial" w:cs="Arial"/>
          <w:sz w:val="28"/>
          <w:szCs w:val="28"/>
          <w:lang w:val="es-MX" w:eastAsia="es-ES"/>
        </w:rPr>
        <w:t xml:space="preserve">de la </w:t>
      </w:r>
      <w:r w:rsidRPr="00921BD1">
        <w:rPr>
          <w:rFonts w:ascii="Arial" w:eastAsia="Times New Roman" w:hAnsi="Arial" w:cs="Arial"/>
          <w:color w:val="000000"/>
          <w:sz w:val="28"/>
          <w:szCs w:val="28"/>
          <w:lang w:val="es-ES_tradnl" w:eastAsia="es-ES"/>
        </w:rPr>
        <w:t>Ley</w:t>
      </w:r>
      <w:r w:rsidRPr="00921BD1">
        <w:rPr>
          <w:rFonts w:ascii="Arial" w:eastAsia="Times New Roman" w:hAnsi="Arial" w:cs="Arial"/>
          <w:bCs/>
          <w:color w:val="000000"/>
          <w:sz w:val="28"/>
          <w:szCs w:val="28"/>
          <w:lang w:val="es-ES_tradnl" w:eastAsia="es-MX"/>
        </w:rPr>
        <w:t xml:space="preserve"> </w:t>
      </w:r>
      <w:r w:rsidRPr="00921BD1">
        <w:rPr>
          <w:rFonts w:ascii="Arial" w:eastAsia="Times New Roman" w:hAnsi="Arial" w:cs="Arial"/>
          <w:bCs/>
          <w:sz w:val="28"/>
          <w:szCs w:val="28"/>
          <w:lang w:val="es-ES_tradnl" w:eastAsia="es-MX"/>
        </w:rPr>
        <w:t xml:space="preserve">de Asentamientos </w:t>
      </w:r>
      <w:r w:rsidRPr="00921BD1">
        <w:rPr>
          <w:rFonts w:ascii="Arial" w:eastAsia="Times New Roman" w:hAnsi="Arial" w:cs="Arial"/>
          <w:sz w:val="28"/>
          <w:szCs w:val="28"/>
          <w:lang w:val="es-ES_tradnl" w:eastAsia="es-ES"/>
        </w:rPr>
        <w:t>Humanos, Ordenamiento Territorial y Desarrollo Urbano del Estado de Coahuila de Zaragoza</w:t>
      </w:r>
      <w:r w:rsidRPr="00C1607C">
        <w:rPr>
          <w:rFonts w:ascii="Arial" w:eastAsia="Times New Roman" w:hAnsi="Arial" w:cs="Arial"/>
          <w:sz w:val="28"/>
          <w:szCs w:val="28"/>
          <w:lang w:val="es-MX" w:eastAsia="es-ES"/>
        </w:rPr>
        <w:t>, para quedar como sigue:</w:t>
      </w:r>
    </w:p>
    <w:p w:rsidR="00C1607C" w:rsidRPr="00C1607C" w:rsidRDefault="00C1607C" w:rsidP="00C1607C">
      <w:pPr>
        <w:spacing w:after="0" w:line="276" w:lineRule="auto"/>
        <w:jc w:val="both"/>
        <w:rPr>
          <w:rFonts w:ascii="Arial" w:eastAsia="Times New Roman" w:hAnsi="Arial" w:cs="Arial"/>
          <w:sz w:val="28"/>
          <w:szCs w:val="28"/>
          <w:lang w:val="es-MX" w:eastAsia="es-ES"/>
        </w:rPr>
      </w:pPr>
    </w:p>
    <w:p w:rsidR="00C1607C" w:rsidRPr="00921BD1" w:rsidRDefault="00C1607C" w:rsidP="00C1607C">
      <w:pPr>
        <w:pStyle w:val="Textoindependiente"/>
        <w:rPr>
          <w:rFonts w:cs="Arial"/>
          <w:sz w:val="28"/>
          <w:szCs w:val="28"/>
          <w:lang w:val="es-MX"/>
        </w:rPr>
      </w:pPr>
      <w:r w:rsidRPr="00921BD1">
        <w:rPr>
          <w:rFonts w:cs="Arial"/>
          <w:b/>
          <w:bCs/>
          <w:sz w:val="28"/>
          <w:szCs w:val="28"/>
          <w:lang w:val="es-MX"/>
        </w:rPr>
        <w:t xml:space="preserve">Artículo 202. </w:t>
      </w:r>
      <w:r w:rsidRPr="00921BD1">
        <w:rPr>
          <w:rFonts w:cs="Arial"/>
          <w:sz w:val="28"/>
          <w:szCs w:val="28"/>
          <w:lang w:val="es-MX"/>
        </w:rPr>
        <w:t>Los fraccionamientos campestres con fines habitacionales deberán tener como mínimo las siguientes características:</w:t>
      </w:r>
    </w:p>
    <w:p w:rsidR="00C1607C" w:rsidRPr="00921BD1" w:rsidRDefault="00C1607C" w:rsidP="00C1607C">
      <w:pPr>
        <w:pStyle w:val="Textoindependiente"/>
        <w:rPr>
          <w:rFonts w:cs="Arial"/>
          <w:sz w:val="28"/>
          <w:szCs w:val="28"/>
          <w:lang w:val="es-MX"/>
        </w:rPr>
      </w:pPr>
    </w:p>
    <w:p w:rsidR="00C1607C" w:rsidRPr="00921BD1" w:rsidRDefault="00C1607C" w:rsidP="00C1607C">
      <w:pPr>
        <w:pStyle w:val="Textoindependiente"/>
        <w:ind w:left="851" w:hanging="425"/>
        <w:rPr>
          <w:rFonts w:cs="Arial"/>
          <w:bCs/>
          <w:sz w:val="28"/>
          <w:szCs w:val="28"/>
          <w:lang w:val="es-MX"/>
        </w:rPr>
      </w:pPr>
      <w:r w:rsidRPr="00921BD1">
        <w:rPr>
          <w:rFonts w:cs="Arial"/>
          <w:b/>
          <w:bCs/>
          <w:sz w:val="28"/>
          <w:szCs w:val="28"/>
          <w:lang w:val="es-MX"/>
        </w:rPr>
        <w:t>I.</w:t>
      </w:r>
      <w:r w:rsidRPr="00921BD1">
        <w:rPr>
          <w:rFonts w:cs="Arial"/>
          <w:bCs/>
          <w:sz w:val="28"/>
          <w:szCs w:val="28"/>
          <w:lang w:val="es-MX"/>
        </w:rPr>
        <w:tab/>
        <w:t>Lotificación: Sus lotes tendrán la superficie que se determine en la autorización de impacto ambiental, y en todo caso no podrán tener un frente menor de veinticinco metros, y superficie menor de mil metros cuadrados.</w:t>
      </w:r>
    </w:p>
    <w:p w:rsidR="00C1607C" w:rsidRPr="00921BD1" w:rsidRDefault="00C1607C" w:rsidP="00C1607C">
      <w:pPr>
        <w:pStyle w:val="Textoindependiente"/>
        <w:ind w:left="851" w:hanging="425"/>
        <w:rPr>
          <w:rFonts w:cs="Arial"/>
          <w:bCs/>
          <w:sz w:val="28"/>
          <w:szCs w:val="28"/>
          <w:lang w:val="es-MX"/>
        </w:rPr>
      </w:pPr>
    </w:p>
    <w:p w:rsidR="00C1607C" w:rsidRPr="00921BD1" w:rsidRDefault="00C1607C" w:rsidP="00C1607C">
      <w:pPr>
        <w:pStyle w:val="Textoindependiente"/>
        <w:ind w:left="851"/>
        <w:rPr>
          <w:rFonts w:cs="Arial"/>
          <w:bCs/>
          <w:sz w:val="28"/>
          <w:szCs w:val="28"/>
        </w:rPr>
      </w:pPr>
      <w:r w:rsidRPr="00921BD1">
        <w:rPr>
          <w:rFonts w:cs="Arial"/>
          <w:bCs/>
          <w:sz w:val="28"/>
          <w:szCs w:val="28"/>
        </w:rPr>
        <w:t>….</w:t>
      </w:r>
    </w:p>
    <w:p w:rsidR="00C1607C" w:rsidRPr="00921BD1" w:rsidRDefault="00C1607C" w:rsidP="00C1607C">
      <w:pPr>
        <w:pStyle w:val="Textoindependiente"/>
        <w:ind w:left="851" w:hanging="425"/>
        <w:rPr>
          <w:rFonts w:cs="Arial"/>
          <w:bCs/>
          <w:sz w:val="28"/>
          <w:szCs w:val="28"/>
        </w:rPr>
      </w:pPr>
    </w:p>
    <w:p w:rsidR="00C1607C" w:rsidRPr="00921BD1" w:rsidRDefault="00C1607C" w:rsidP="00C1607C">
      <w:pPr>
        <w:pStyle w:val="Textoindependiente"/>
        <w:ind w:left="851" w:hanging="425"/>
        <w:rPr>
          <w:rFonts w:cs="Arial"/>
          <w:bCs/>
          <w:sz w:val="28"/>
          <w:szCs w:val="28"/>
        </w:rPr>
      </w:pPr>
      <w:r w:rsidRPr="00921BD1">
        <w:rPr>
          <w:rFonts w:cs="Arial"/>
          <w:b/>
          <w:bCs/>
          <w:sz w:val="28"/>
          <w:szCs w:val="28"/>
        </w:rPr>
        <w:t>II.</w:t>
      </w:r>
      <w:r w:rsidRPr="00921BD1">
        <w:rPr>
          <w:rFonts w:cs="Arial"/>
          <w:bCs/>
          <w:sz w:val="28"/>
          <w:szCs w:val="28"/>
        </w:rPr>
        <w:tab/>
      </w:r>
      <w:proofErr w:type="gramStart"/>
      <w:r w:rsidRPr="00921BD1">
        <w:rPr>
          <w:rFonts w:cs="Arial"/>
          <w:bCs/>
          <w:sz w:val="28"/>
          <w:szCs w:val="28"/>
        </w:rPr>
        <w:t xml:space="preserve">a  </w:t>
      </w:r>
      <w:r w:rsidRPr="00921BD1">
        <w:rPr>
          <w:rFonts w:cs="Arial"/>
          <w:b/>
          <w:bCs/>
          <w:sz w:val="28"/>
          <w:szCs w:val="28"/>
        </w:rPr>
        <w:t>IV</w:t>
      </w:r>
      <w:proofErr w:type="gramEnd"/>
      <w:r w:rsidRPr="00921BD1">
        <w:rPr>
          <w:rFonts w:cs="Arial"/>
          <w:b/>
          <w:bCs/>
          <w:sz w:val="28"/>
          <w:szCs w:val="28"/>
        </w:rPr>
        <w:t>.</w:t>
      </w:r>
      <w:r w:rsidRPr="00921BD1">
        <w:rPr>
          <w:rFonts w:cs="Arial"/>
          <w:bCs/>
          <w:sz w:val="28"/>
          <w:szCs w:val="28"/>
        </w:rPr>
        <w:tab/>
        <w:t>….</w:t>
      </w:r>
    </w:p>
    <w:p w:rsidR="00C1607C" w:rsidRPr="00C1607C" w:rsidRDefault="00C1607C" w:rsidP="00C1607C">
      <w:pPr>
        <w:spacing w:after="0" w:line="276" w:lineRule="auto"/>
        <w:jc w:val="both"/>
        <w:rPr>
          <w:rFonts w:ascii="Arial" w:eastAsia="Times New Roman" w:hAnsi="Arial" w:cs="Arial"/>
          <w:sz w:val="28"/>
          <w:szCs w:val="28"/>
          <w:lang w:eastAsia="es-ES"/>
        </w:rPr>
      </w:pPr>
    </w:p>
    <w:p w:rsidR="00C1607C" w:rsidRPr="00C1607C" w:rsidRDefault="00C1607C" w:rsidP="00C1607C">
      <w:pPr>
        <w:spacing w:after="0" w:line="276" w:lineRule="auto"/>
        <w:jc w:val="center"/>
        <w:rPr>
          <w:rFonts w:ascii="Arial" w:eastAsia="Times New Roman" w:hAnsi="Arial" w:cs="Arial"/>
          <w:b/>
          <w:sz w:val="28"/>
          <w:szCs w:val="28"/>
          <w:lang w:eastAsia="es-ES"/>
        </w:rPr>
      </w:pPr>
    </w:p>
    <w:p w:rsidR="00C1607C" w:rsidRPr="00C1607C" w:rsidRDefault="00C1607C" w:rsidP="00C1607C">
      <w:pPr>
        <w:spacing w:after="0" w:line="276" w:lineRule="auto"/>
        <w:jc w:val="center"/>
        <w:rPr>
          <w:rFonts w:ascii="Arial" w:eastAsia="Times New Roman" w:hAnsi="Arial" w:cs="Arial"/>
          <w:b/>
          <w:sz w:val="28"/>
          <w:szCs w:val="28"/>
          <w:lang w:eastAsia="es-ES"/>
        </w:rPr>
      </w:pPr>
      <w:r w:rsidRPr="00C1607C">
        <w:rPr>
          <w:rFonts w:ascii="Arial" w:eastAsia="Times New Roman" w:hAnsi="Arial" w:cs="Arial"/>
          <w:b/>
          <w:sz w:val="28"/>
          <w:szCs w:val="28"/>
          <w:lang w:eastAsia="es-ES"/>
        </w:rPr>
        <w:t>T</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R</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A</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N</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S</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I</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T</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O</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R</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I</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O</w:t>
      </w:r>
      <w:r w:rsidR="00EB0F21" w:rsidRPr="00921BD1">
        <w:rPr>
          <w:rFonts w:ascii="Arial" w:eastAsia="Times New Roman" w:hAnsi="Arial" w:cs="Arial"/>
          <w:b/>
          <w:sz w:val="28"/>
          <w:szCs w:val="28"/>
          <w:lang w:eastAsia="es-ES"/>
        </w:rPr>
        <w:t xml:space="preserve"> </w:t>
      </w:r>
      <w:r w:rsidRPr="00C1607C">
        <w:rPr>
          <w:rFonts w:ascii="Arial" w:eastAsia="Times New Roman" w:hAnsi="Arial" w:cs="Arial"/>
          <w:b/>
          <w:sz w:val="28"/>
          <w:szCs w:val="28"/>
          <w:lang w:eastAsia="es-ES"/>
        </w:rPr>
        <w:t>S</w:t>
      </w:r>
      <w:r w:rsidR="00EB0F21" w:rsidRPr="00921BD1">
        <w:rPr>
          <w:rFonts w:ascii="Arial" w:eastAsia="Times New Roman" w:hAnsi="Arial" w:cs="Arial"/>
          <w:b/>
          <w:sz w:val="28"/>
          <w:szCs w:val="28"/>
          <w:lang w:eastAsia="es-ES"/>
        </w:rPr>
        <w:t xml:space="preserve"> </w:t>
      </w:r>
    </w:p>
    <w:p w:rsidR="00C1607C" w:rsidRPr="00C1607C" w:rsidRDefault="00C1607C" w:rsidP="00C1607C">
      <w:pPr>
        <w:spacing w:after="0" w:line="276" w:lineRule="auto"/>
        <w:jc w:val="both"/>
        <w:rPr>
          <w:rFonts w:ascii="Arial" w:eastAsia="Times New Roman" w:hAnsi="Arial" w:cs="Arial"/>
          <w:sz w:val="28"/>
          <w:szCs w:val="28"/>
          <w:lang w:eastAsia="es-ES"/>
        </w:rPr>
      </w:pPr>
    </w:p>
    <w:p w:rsidR="00C1607C" w:rsidRPr="00C1607C" w:rsidRDefault="00C1607C" w:rsidP="00C1607C">
      <w:pPr>
        <w:spacing w:after="0" w:line="276" w:lineRule="auto"/>
        <w:ind w:right="50"/>
        <w:jc w:val="both"/>
        <w:rPr>
          <w:rFonts w:ascii="Arial" w:eastAsia="Times New Roman" w:hAnsi="Arial" w:cs="Arial"/>
          <w:sz w:val="28"/>
          <w:szCs w:val="28"/>
          <w:lang w:val="es-MX"/>
        </w:rPr>
      </w:pPr>
      <w:proofErr w:type="gramStart"/>
      <w:r w:rsidRPr="00C1607C">
        <w:rPr>
          <w:rFonts w:ascii="Arial" w:eastAsia="Times New Roman" w:hAnsi="Arial" w:cs="Arial"/>
          <w:b/>
          <w:sz w:val="28"/>
          <w:szCs w:val="28"/>
          <w:lang w:val="es-MX" w:eastAsia="es-ES"/>
        </w:rPr>
        <w:t>ÚNICO.-</w:t>
      </w:r>
      <w:proofErr w:type="gramEnd"/>
      <w:r w:rsidRPr="00C1607C">
        <w:rPr>
          <w:rFonts w:ascii="Arial" w:eastAsia="Times New Roman" w:hAnsi="Arial" w:cs="Arial"/>
          <w:sz w:val="28"/>
          <w:szCs w:val="28"/>
          <w:lang w:val="es-MX" w:eastAsia="es-ES"/>
        </w:rPr>
        <w:t xml:space="preserve"> El presente decreto entrará en vigor al día siguiente de su publicación en el Periódico Oficial del Gobierno del Estado.</w:t>
      </w:r>
    </w:p>
    <w:p w:rsidR="00C1607C" w:rsidRPr="00C1607C" w:rsidRDefault="00C1607C" w:rsidP="00C1607C">
      <w:pPr>
        <w:spacing w:after="0" w:line="276" w:lineRule="auto"/>
        <w:jc w:val="center"/>
        <w:rPr>
          <w:rFonts w:ascii="Arial" w:eastAsia="Times New Roman" w:hAnsi="Arial" w:cs="Arial"/>
          <w:sz w:val="28"/>
          <w:szCs w:val="28"/>
          <w:lang w:val="es-MX" w:eastAsia="es-ES"/>
        </w:rPr>
      </w:pPr>
    </w:p>
    <w:p w:rsidR="00C1607C" w:rsidRPr="00C1607C" w:rsidRDefault="00C1607C" w:rsidP="00C1607C">
      <w:pPr>
        <w:spacing w:after="0" w:line="276" w:lineRule="auto"/>
        <w:jc w:val="center"/>
        <w:rPr>
          <w:rFonts w:ascii="Arial" w:eastAsia="Times New Roman" w:hAnsi="Arial" w:cs="Arial"/>
          <w:b/>
          <w:sz w:val="28"/>
          <w:szCs w:val="28"/>
          <w:lang w:val="es-MX" w:eastAsia="es-ES"/>
        </w:rPr>
      </w:pPr>
      <w:r w:rsidRPr="00C1607C">
        <w:rPr>
          <w:rFonts w:ascii="Arial" w:eastAsia="Times New Roman" w:hAnsi="Arial" w:cs="Arial"/>
          <w:b/>
          <w:sz w:val="28"/>
          <w:szCs w:val="28"/>
          <w:lang w:val="es-MX" w:eastAsia="es-ES"/>
        </w:rPr>
        <w:t>Salt</w:t>
      </w:r>
      <w:r w:rsidRPr="0054245C">
        <w:rPr>
          <w:rFonts w:ascii="Arial" w:eastAsia="Times New Roman" w:hAnsi="Arial" w:cs="Arial"/>
          <w:b/>
          <w:sz w:val="28"/>
          <w:szCs w:val="28"/>
          <w:lang w:val="es-MX" w:eastAsia="es-ES"/>
        </w:rPr>
        <w:t>illo, Coahuila de Zaragoza, a 24 de septiembre de 2019</w:t>
      </w:r>
    </w:p>
    <w:p w:rsidR="00C1607C" w:rsidRPr="00C1607C" w:rsidRDefault="00C1607C" w:rsidP="00C1607C">
      <w:pPr>
        <w:spacing w:after="0" w:line="276" w:lineRule="auto"/>
        <w:ind w:left="360"/>
        <w:jc w:val="both"/>
        <w:rPr>
          <w:rFonts w:ascii="Arial" w:eastAsia="Times New Roman" w:hAnsi="Arial" w:cs="Arial"/>
          <w:sz w:val="28"/>
          <w:szCs w:val="28"/>
          <w:lang w:val="es-MX" w:eastAsia="es-ES"/>
        </w:rPr>
      </w:pPr>
    </w:p>
    <w:p w:rsidR="00C1607C" w:rsidRPr="00C1607C" w:rsidRDefault="00C1607C" w:rsidP="00C1607C">
      <w:pPr>
        <w:spacing w:after="0" w:line="276" w:lineRule="auto"/>
        <w:jc w:val="center"/>
        <w:rPr>
          <w:rFonts w:ascii="Arial" w:eastAsia="Times New Roman" w:hAnsi="Arial" w:cs="Arial"/>
          <w:b/>
          <w:sz w:val="24"/>
          <w:szCs w:val="24"/>
          <w:lang w:val="es-MX" w:eastAsia="es-ES"/>
        </w:rPr>
      </w:pPr>
      <w:r w:rsidRPr="00C1607C">
        <w:rPr>
          <w:rFonts w:ascii="Arial" w:eastAsia="Times New Roman" w:hAnsi="Arial" w:cs="Arial"/>
          <w:b/>
          <w:sz w:val="24"/>
          <w:szCs w:val="24"/>
          <w:lang w:val="es-MX" w:eastAsia="es-ES"/>
        </w:rPr>
        <w:t>POR EL GRUPO PARLAMENTARIO “GRAL. ANDRÉS S. VIESCA”</w:t>
      </w:r>
    </w:p>
    <w:p w:rsidR="00C1607C" w:rsidRPr="00C1607C" w:rsidRDefault="00C1607C" w:rsidP="00C1607C">
      <w:pPr>
        <w:spacing w:after="0" w:line="276" w:lineRule="auto"/>
        <w:jc w:val="center"/>
        <w:rPr>
          <w:rFonts w:ascii="Arial" w:eastAsia="Times New Roman" w:hAnsi="Arial" w:cs="Arial"/>
          <w:b/>
          <w:sz w:val="24"/>
          <w:szCs w:val="24"/>
          <w:lang w:val="es-MX" w:eastAsia="es-ES"/>
        </w:rPr>
      </w:pPr>
      <w:r w:rsidRPr="00C1607C">
        <w:rPr>
          <w:rFonts w:ascii="Arial" w:eastAsia="Times New Roman" w:hAnsi="Arial" w:cs="Arial"/>
          <w:b/>
          <w:sz w:val="24"/>
          <w:szCs w:val="24"/>
          <w:lang w:val="es-MX" w:eastAsia="es-ES"/>
        </w:rPr>
        <w:t>DEL PARTIDO REVOLUCIONARIO INSTITUCIONAL</w:t>
      </w:r>
    </w:p>
    <w:p w:rsidR="00C1607C" w:rsidRPr="00C1607C" w:rsidRDefault="00C1607C" w:rsidP="00C1607C">
      <w:pPr>
        <w:widowControl w:val="0"/>
        <w:spacing w:after="0" w:line="276" w:lineRule="auto"/>
        <w:jc w:val="both"/>
        <w:rPr>
          <w:rFonts w:ascii="Arial" w:eastAsia="Times New Roman" w:hAnsi="Arial" w:cs="Arial"/>
          <w:b/>
          <w:sz w:val="24"/>
          <w:szCs w:val="24"/>
          <w:lang w:val="es-MX" w:eastAsia="es-ES"/>
        </w:rPr>
      </w:pPr>
    </w:p>
    <w:p w:rsidR="00C1607C" w:rsidRPr="00C1607C" w:rsidRDefault="00C1607C" w:rsidP="00C1607C">
      <w:pPr>
        <w:widowControl w:val="0"/>
        <w:spacing w:after="0" w:line="276" w:lineRule="auto"/>
        <w:jc w:val="both"/>
        <w:rPr>
          <w:rFonts w:ascii="Arial" w:eastAsia="Times New Roman" w:hAnsi="Arial" w:cs="Arial"/>
          <w:b/>
          <w:sz w:val="24"/>
          <w:szCs w:val="24"/>
          <w:lang w:val="es-MX" w:eastAsia="es-ES"/>
        </w:rPr>
      </w:pPr>
    </w:p>
    <w:p w:rsidR="00C1607C" w:rsidRPr="00C1607C" w:rsidRDefault="00C1607C" w:rsidP="00C1607C">
      <w:pPr>
        <w:widowControl w:val="0"/>
        <w:spacing w:after="0" w:line="276" w:lineRule="auto"/>
        <w:jc w:val="center"/>
        <w:rPr>
          <w:rFonts w:ascii="Arial" w:eastAsia="Times New Roman" w:hAnsi="Arial" w:cs="Arial"/>
          <w:b/>
          <w:sz w:val="24"/>
          <w:szCs w:val="24"/>
          <w:lang w:val="es-MX" w:eastAsia="es-ES"/>
        </w:rPr>
      </w:pPr>
    </w:p>
    <w:p w:rsidR="00C1607C" w:rsidRPr="00C1607C" w:rsidRDefault="00C1607C" w:rsidP="00C1607C">
      <w:pPr>
        <w:widowControl w:val="0"/>
        <w:spacing w:after="0" w:line="276" w:lineRule="auto"/>
        <w:jc w:val="center"/>
        <w:rPr>
          <w:rFonts w:ascii="Arial" w:eastAsia="Times New Roman" w:hAnsi="Arial" w:cs="Arial"/>
          <w:b/>
          <w:sz w:val="24"/>
          <w:szCs w:val="24"/>
          <w:lang w:val="es-MX" w:eastAsia="es-ES"/>
        </w:rPr>
      </w:pPr>
      <w:r w:rsidRPr="00C1607C">
        <w:rPr>
          <w:rFonts w:ascii="Arial" w:eastAsia="Times New Roman" w:hAnsi="Arial" w:cs="Arial"/>
          <w:b/>
          <w:sz w:val="24"/>
          <w:szCs w:val="24"/>
          <w:lang w:val="es-MX" w:eastAsia="es-ES"/>
        </w:rPr>
        <w:t xml:space="preserve">DIP. </w:t>
      </w:r>
      <w:r w:rsidRPr="00C1607C">
        <w:rPr>
          <w:rFonts w:ascii="Arial" w:eastAsia="Times New Roman" w:hAnsi="Arial" w:cs="Arial"/>
          <w:b/>
          <w:snapToGrid w:val="0"/>
          <w:sz w:val="24"/>
          <w:szCs w:val="24"/>
          <w:lang w:val="es-MX" w:eastAsia="es-ES"/>
        </w:rPr>
        <w:t>JAIME BUENO ZERTUCHE</w:t>
      </w:r>
    </w:p>
    <w:p w:rsidR="00C1607C" w:rsidRPr="00C1607C" w:rsidRDefault="00C1607C" w:rsidP="00C1607C">
      <w:pPr>
        <w:widowControl w:val="0"/>
        <w:spacing w:after="0" w:line="276" w:lineRule="auto"/>
        <w:jc w:val="center"/>
        <w:rPr>
          <w:rFonts w:ascii="Arial" w:eastAsia="Times New Roman" w:hAnsi="Arial" w:cs="Arial"/>
          <w:b/>
          <w:sz w:val="24"/>
          <w:szCs w:val="24"/>
          <w:lang w:val="es-MX" w:eastAsia="es-ES"/>
        </w:rPr>
      </w:pPr>
    </w:p>
    <w:p w:rsidR="00C1607C" w:rsidRPr="00C1607C" w:rsidRDefault="00C1607C" w:rsidP="00C1607C">
      <w:pPr>
        <w:widowControl w:val="0"/>
        <w:spacing w:after="0" w:line="240" w:lineRule="auto"/>
        <w:jc w:val="center"/>
        <w:rPr>
          <w:rFonts w:ascii="Arial" w:eastAsia="Times New Roman" w:hAnsi="Arial" w:cs="Arial"/>
          <w:b/>
          <w:sz w:val="24"/>
          <w:szCs w:val="24"/>
          <w:lang w:val="es-MX" w:eastAsia="es-ES"/>
        </w:rPr>
      </w:pPr>
    </w:p>
    <w:p w:rsidR="00C1607C" w:rsidRPr="00C1607C" w:rsidRDefault="00C1607C" w:rsidP="00C1607C">
      <w:pPr>
        <w:spacing w:after="0" w:line="240" w:lineRule="auto"/>
        <w:jc w:val="center"/>
        <w:rPr>
          <w:rFonts w:ascii="Arial" w:eastAsia="Times New Roman" w:hAnsi="Arial" w:cs="Arial"/>
          <w:b/>
          <w:sz w:val="20"/>
          <w:szCs w:val="20"/>
          <w:lang w:val="es-MX" w:eastAsia="es-ES"/>
        </w:rPr>
      </w:pPr>
      <w:r w:rsidRPr="00C1607C">
        <w:rPr>
          <w:rFonts w:ascii="Arial" w:eastAsia="Times New Roman" w:hAnsi="Arial" w:cs="Arial"/>
          <w:b/>
          <w:sz w:val="20"/>
          <w:szCs w:val="20"/>
          <w:lang w:val="es-MX" w:eastAsia="es-ES"/>
        </w:rPr>
        <w:br w:type="page"/>
      </w:r>
      <w:r w:rsidRPr="00C1607C">
        <w:rPr>
          <w:rFonts w:ascii="Arial" w:eastAsia="Times New Roman" w:hAnsi="Arial" w:cs="Arial"/>
          <w:b/>
          <w:sz w:val="20"/>
          <w:szCs w:val="20"/>
          <w:lang w:val="es-MX" w:eastAsia="es-ES"/>
        </w:rPr>
        <w:lastRenderedPageBreak/>
        <w:t xml:space="preserve">CONJUNTAMENTE CON LAS DIPUTADAS Y LOS DIPUTADOS INTEGRANTES DEL </w:t>
      </w:r>
    </w:p>
    <w:p w:rsidR="00C1607C" w:rsidRPr="00C1607C" w:rsidRDefault="00C1607C" w:rsidP="00C1607C">
      <w:pPr>
        <w:spacing w:after="0" w:line="240" w:lineRule="auto"/>
        <w:jc w:val="center"/>
        <w:rPr>
          <w:rFonts w:ascii="Arial" w:eastAsia="Times New Roman" w:hAnsi="Arial" w:cs="Arial"/>
          <w:b/>
          <w:sz w:val="20"/>
          <w:szCs w:val="20"/>
          <w:lang w:val="es-MX" w:eastAsia="es-ES"/>
        </w:rPr>
      </w:pPr>
      <w:r w:rsidRPr="00C1607C">
        <w:rPr>
          <w:rFonts w:ascii="Arial" w:eastAsia="Times New Roman" w:hAnsi="Arial" w:cs="Arial"/>
          <w:b/>
          <w:sz w:val="20"/>
          <w:szCs w:val="20"/>
          <w:lang w:val="es-MX" w:eastAsia="es-ES"/>
        </w:rPr>
        <w:t xml:space="preserve">GRUPO PARLAMENTARIO “GRAL. ANDRÉS S. VIESCA”, </w:t>
      </w:r>
    </w:p>
    <w:p w:rsidR="00C1607C" w:rsidRPr="00C1607C" w:rsidRDefault="00C1607C" w:rsidP="00C1607C">
      <w:pPr>
        <w:spacing w:after="0" w:line="240" w:lineRule="auto"/>
        <w:jc w:val="center"/>
        <w:rPr>
          <w:rFonts w:ascii="Arial" w:eastAsia="Times New Roman" w:hAnsi="Arial" w:cs="Arial"/>
          <w:b/>
          <w:sz w:val="20"/>
          <w:szCs w:val="20"/>
          <w:lang w:val="es-MX" w:eastAsia="es-ES"/>
        </w:rPr>
      </w:pPr>
      <w:r w:rsidRPr="00C1607C">
        <w:rPr>
          <w:rFonts w:ascii="Arial" w:eastAsia="Times New Roman" w:hAnsi="Arial" w:cs="Arial"/>
          <w:b/>
          <w:sz w:val="20"/>
          <w:szCs w:val="20"/>
          <w:lang w:val="es-MX" w:eastAsia="es-ES"/>
        </w:rPr>
        <w:t>DEL PARTIDO REVOLUCIONARIO INSTITUCIONAL.</w:t>
      </w:r>
    </w:p>
    <w:p w:rsidR="00C1607C" w:rsidRPr="00C1607C" w:rsidRDefault="00C1607C" w:rsidP="00C1607C">
      <w:pPr>
        <w:tabs>
          <w:tab w:val="left" w:pos="5056"/>
        </w:tabs>
        <w:spacing w:after="0" w:line="240" w:lineRule="auto"/>
        <w:jc w:val="both"/>
        <w:rPr>
          <w:rFonts w:ascii="Arial" w:eastAsia="Times New Roman" w:hAnsi="Arial" w:cs="Arial"/>
          <w:b/>
          <w:sz w:val="20"/>
          <w:szCs w:val="20"/>
          <w:lang w:val="es-MX" w:eastAsia="es-ES"/>
        </w:rPr>
      </w:pPr>
    </w:p>
    <w:p w:rsidR="00C1607C" w:rsidRPr="00C1607C" w:rsidRDefault="00C1607C" w:rsidP="00C1607C">
      <w:pPr>
        <w:tabs>
          <w:tab w:val="left" w:pos="5056"/>
        </w:tabs>
        <w:spacing w:after="0" w:line="240" w:lineRule="auto"/>
        <w:jc w:val="both"/>
        <w:rPr>
          <w:rFonts w:ascii="Arial" w:eastAsia="Times New Roman" w:hAnsi="Arial" w:cs="Arial"/>
          <w:b/>
          <w:sz w:val="20"/>
          <w:szCs w:val="20"/>
          <w:lang w:val="es-MX" w:eastAsia="es-ES"/>
        </w:rPr>
      </w:pPr>
    </w:p>
    <w:p w:rsidR="00C1607C" w:rsidRPr="00C1607C" w:rsidRDefault="00C1607C" w:rsidP="00C1607C">
      <w:pPr>
        <w:tabs>
          <w:tab w:val="left" w:pos="5056"/>
        </w:tabs>
        <w:spacing w:after="0" w:line="240" w:lineRule="auto"/>
        <w:jc w:val="both"/>
        <w:rPr>
          <w:rFonts w:ascii="Arial" w:eastAsia="Times New Roman" w:hAnsi="Arial" w:cs="Arial"/>
          <w:b/>
          <w:sz w:val="20"/>
          <w:szCs w:val="20"/>
          <w:lang w:val="es-MX" w:eastAsia="es-ES"/>
        </w:rPr>
      </w:pPr>
    </w:p>
    <w:p w:rsidR="00C1607C" w:rsidRPr="00C1607C" w:rsidRDefault="00C1607C" w:rsidP="00C1607C">
      <w:pPr>
        <w:spacing w:after="0" w:line="276" w:lineRule="auto"/>
        <w:jc w:val="center"/>
        <w:rPr>
          <w:rFonts w:ascii="Arial" w:eastAsia="Times New Roman" w:hAnsi="Arial" w:cs="Arial"/>
          <w:b/>
          <w:bCs/>
          <w:sz w:val="24"/>
          <w:szCs w:val="24"/>
          <w:lang w:val="es-MX" w:eastAsia="es-ES"/>
        </w:rPr>
      </w:pPr>
    </w:p>
    <w:tbl>
      <w:tblPr>
        <w:tblW w:w="0" w:type="auto"/>
        <w:tblLook w:val="01E0" w:firstRow="1" w:lastRow="1" w:firstColumn="1" w:lastColumn="1" w:noHBand="0" w:noVBand="0"/>
      </w:tblPr>
      <w:tblGrid>
        <w:gridCol w:w="4571"/>
        <w:gridCol w:w="236"/>
        <w:gridCol w:w="4599"/>
      </w:tblGrid>
      <w:tr w:rsidR="00C1607C" w:rsidRPr="00C1607C" w:rsidTr="00363F48">
        <w:tc>
          <w:tcPr>
            <w:tcW w:w="4675"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r w:rsidRPr="00C1607C">
              <w:rPr>
                <w:rFonts w:ascii="Arial" w:eastAsia="Times New Roman" w:hAnsi="Arial" w:cs="Arial"/>
                <w:b/>
                <w:bCs/>
                <w:sz w:val="24"/>
                <w:szCs w:val="24"/>
                <w:lang w:val="es-MX" w:eastAsia="es-ES"/>
              </w:rPr>
              <w:br w:type="page"/>
            </w:r>
            <w:r w:rsidRPr="00C1607C">
              <w:rPr>
                <w:rFonts w:ascii="Arial" w:eastAsia="Times New Roman" w:hAnsi="Arial" w:cs="Arial"/>
                <w:b/>
                <w:sz w:val="20"/>
                <w:szCs w:val="20"/>
                <w:lang w:val="es-MX" w:eastAsia="es-ES"/>
              </w:rPr>
              <w:t xml:space="preserve">DIP. </w:t>
            </w:r>
            <w:r w:rsidRPr="00C1607C">
              <w:rPr>
                <w:rFonts w:ascii="Arial" w:eastAsia="Times New Roman" w:hAnsi="Arial" w:cs="Arial"/>
                <w:b/>
                <w:snapToGrid w:val="0"/>
                <w:sz w:val="20"/>
                <w:szCs w:val="20"/>
                <w:lang w:val="es-MX" w:eastAsia="es-ES"/>
              </w:rPr>
              <w:t>MARÍA ESPERANZA CHAPA GARCÍA</w:t>
            </w:r>
          </w:p>
        </w:tc>
        <w:tc>
          <w:tcPr>
            <w:tcW w:w="236"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tc>
        <w:tc>
          <w:tcPr>
            <w:tcW w:w="4711"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r w:rsidRPr="00C1607C">
              <w:rPr>
                <w:rFonts w:ascii="Arial" w:eastAsia="Times New Roman" w:hAnsi="Arial" w:cs="Arial"/>
                <w:b/>
                <w:sz w:val="20"/>
                <w:szCs w:val="20"/>
                <w:lang w:val="es-MX" w:eastAsia="es-ES"/>
              </w:rPr>
              <w:t xml:space="preserve">DIP. </w:t>
            </w:r>
            <w:r w:rsidRPr="00C1607C">
              <w:rPr>
                <w:rFonts w:ascii="Arial" w:eastAsia="Times New Roman" w:hAnsi="Arial" w:cs="Arial"/>
                <w:b/>
                <w:snapToGrid w:val="0"/>
                <w:sz w:val="20"/>
                <w:szCs w:val="20"/>
                <w:lang w:val="es-MX" w:eastAsia="es-ES"/>
              </w:rPr>
              <w:t>JOSEFINA GARZA BARRERA</w:t>
            </w:r>
          </w:p>
        </w:tc>
      </w:tr>
    </w:tbl>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tbl>
      <w:tblPr>
        <w:tblW w:w="0" w:type="auto"/>
        <w:tblLook w:val="01E0" w:firstRow="1" w:lastRow="1" w:firstColumn="1" w:lastColumn="1" w:noHBand="0" w:noVBand="0"/>
      </w:tblPr>
      <w:tblGrid>
        <w:gridCol w:w="4569"/>
        <w:gridCol w:w="236"/>
        <w:gridCol w:w="4601"/>
      </w:tblGrid>
      <w:tr w:rsidR="00C1607C" w:rsidRPr="006B0356" w:rsidTr="00363F48">
        <w:tc>
          <w:tcPr>
            <w:tcW w:w="4675"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r w:rsidRPr="00C1607C">
              <w:rPr>
                <w:rFonts w:ascii="Arial" w:eastAsia="Times New Roman" w:hAnsi="Arial" w:cs="Arial"/>
                <w:b/>
                <w:bCs/>
                <w:sz w:val="24"/>
                <w:szCs w:val="24"/>
                <w:lang w:val="es-MX" w:eastAsia="es-ES"/>
              </w:rPr>
              <w:br w:type="page"/>
            </w:r>
            <w:r w:rsidRPr="00C1607C">
              <w:rPr>
                <w:rFonts w:ascii="Arial" w:eastAsia="Times New Roman" w:hAnsi="Arial" w:cs="Arial"/>
                <w:b/>
                <w:sz w:val="20"/>
                <w:szCs w:val="20"/>
                <w:lang w:val="es-MX" w:eastAsia="es-ES"/>
              </w:rPr>
              <w:t xml:space="preserve">DIP. </w:t>
            </w:r>
            <w:r w:rsidRPr="00C1607C">
              <w:rPr>
                <w:rFonts w:ascii="Arial" w:eastAsia="Times New Roman" w:hAnsi="Arial" w:cs="Arial"/>
                <w:b/>
                <w:snapToGrid w:val="0"/>
                <w:sz w:val="20"/>
                <w:szCs w:val="20"/>
                <w:lang w:val="es-MX" w:eastAsia="es-ES"/>
              </w:rPr>
              <w:t>GRACIELA FERNÁNDEZ ALMARAZ</w:t>
            </w:r>
          </w:p>
        </w:tc>
        <w:tc>
          <w:tcPr>
            <w:tcW w:w="236"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tc>
        <w:tc>
          <w:tcPr>
            <w:tcW w:w="4711"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r w:rsidRPr="00C1607C">
              <w:rPr>
                <w:rFonts w:ascii="Arial" w:eastAsia="Times New Roman" w:hAnsi="Arial" w:cs="Arial"/>
                <w:b/>
                <w:sz w:val="20"/>
                <w:szCs w:val="20"/>
                <w:lang w:val="es-MX" w:eastAsia="es-ES"/>
              </w:rPr>
              <w:t xml:space="preserve">DIP. </w:t>
            </w:r>
            <w:r w:rsidRPr="00C1607C">
              <w:rPr>
                <w:rFonts w:ascii="Arial" w:eastAsia="Times New Roman" w:hAnsi="Arial" w:cs="Arial"/>
                <w:b/>
                <w:snapToGrid w:val="0"/>
                <w:sz w:val="20"/>
                <w:szCs w:val="20"/>
                <w:lang w:val="es-MX" w:eastAsia="es-ES"/>
              </w:rPr>
              <w:t>LILIA ISABEL GUTIÉRREZ BURCIAGA</w:t>
            </w:r>
          </w:p>
        </w:tc>
      </w:tr>
    </w:tbl>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p w:rsidR="00C1607C" w:rsidRPr="00C1607C" w:rsidRDefault="00C1607C" w:rsidP="00C1607C">
      <w:pPr>
        <w:spacing w:after="0" w:line="276" w:lineRule="auto"/>
        <w:jc w:val="center"/>
        <w:rPr>
          <w:rFonts w:ascii="Arial" w:eastAsia="Times New Roman" w:hAnsi="Arial" w:cs="Arial"/>
          <w:b/>
          <w:bCs/>
          <w:sz w:val="24"/>
          <w:szCs w:val="24"/>
          <w:lang w:val="es-MX" w:eastAsia="es-ES"/>
        </w:rPr>
      </w:pPr>
    </w:p>
    <w:tbl>
      <w:tblPr>
        <w:tblW w:w="0" w:type="auto"/>
        <w:tblLook w:val="01E0" w:firstRow="1" w:lastRow="1" w:firstColumn="1" w:lastColumn="1" w:noHBand="0" w:noVBand="0"/>
      </w:tblPr>
      <w:tblGrid>
        <w:gridCol w:w="4585"/>
        <w:gridCol w:w="4585"/>
        <w:gridCol w:w="236"/>
      </w:tblGrid>
      <w:tr w:rsidR="00C1607C" w:rsidRPr="006B0356" w:rsidTr="00363F48">
        <w:tc>
          <w:tcPr>
            <w:tcW w:w="4675" w:type="dxa"/>
          </w:tcPr>
          <w:p w:rsidR="00C1607C" w:rsidRPr="00C1607C" w:rsidRDefault="00C1607C" w:rsidP="00C1607C">
            <w:pPr>
              <w:widowControl w:val="0"/>
              <w:spacing w:after="0" w:line="240" w:lineRule="auto"/>
              <w:jc w:val="center"/>
              <w:rPr>
                <w:rFonts w:ascii="Arial" w:eastAsia="Times New Roman" w:hAnsi="Arial" w:cs="Arial"/>
                <w:b/>
                <w:sz w:val="24"/>
                <w:szCs w:val="24"/>
                <w:lang w:val="es-MX" w:eastAsia="es-ES"/>
              </w:rPr>
            </w:pPr>
            <w:r w:rsidRPr="00C1607C">
              <w:rPr>
                <w:rFonts w:ascii="Arial" w:eastAsia="Times New Roman" w:hAnsi="Arial" w:cs="Arial"/>
                <w:b/>
                <w:sz w:val="20"/>
                <w:szCs w:val="20"/>
                <w:lang w:val="es-MX" w:eastAsia="es-ES"/>
              </w:rPr>
              <w:t xml:space="preserve">DIP.LUCÍA AZUCENA RAMOS </w:t>
            </w:r>
            <w:proofErr w:type="spellStart"/>
            <w:r w:rsidRPr="00C1607C">
              <w:rPr>
                <w:rFonts w:ascii="Arial" w:eastAsia="Times New Roman" w:hAnsi="Arial" w:cs="Arial"/>
                <w:b/>
                <w:sz w:val="20"/>
                <w:szCs w:val="20"/>
                <w:lang w:val="es-MX" w:eastAsia="es-ES"/>
              </w:rPr>
              <w:t>RAMOS</w:t>
            </w:r>
            <w:proofErr w:type="spellEnd"/>
          </w:p>
        </w:tc>
        <w:tc>
          <w:tcPr>
            <w:tcW w:w="4675"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r w:rsidRPr="00C1607C">
              <w:rPr>
                <w:rFonts w:ascii="Arial" w:eastAsia="Times New Roman" w:hAnsi="Arial" w:cs="Arial"/>
                <w:b/>
                <w:bCs/>
                <w:sz w:val="24"/>
                <w:szCs w:val="24"/>
                <w:lang w:val="es-MX" w:eastAsia="es-ES"/>
              </w:rPr>
              <w:br w:type="page"/>
            </w:r>
            <w:r w:rsidRPr="00C1607C">
              <w:rPr>
                <w:rFonts w:ascii="Arial" w:eastAsia="Times New Roman" w:hAnsi="Arial" w:cs="Arial"/>
                <w:b/>
                <w:sz w:val="20"/>
                <w:szCs w:val="20"/>
                <w:lang w:val="es-MX" w:eastAsia="es-ES"/>
              </w:rPr>
              <w:t>DIP. JESÚS ANDRÉS LOYA CARDONA</w:t>
            </w:r>
          </w:p>
        </w:tc>
        <w:tc>
          <w:tcPr>
            <w:tcW w:w="236"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tc>
      </w:tr>
    </w:tbl>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p w:rsidR="00C1607C" w:rsidRPr="00C1607C" w:rsidRDefault="00C1607C" w:rsidP="00C1607C">
      <w:pPr>
        <w:spacing w:after="0" w:line="276" w:lineRule="auto"/>
        <w:jc w:val="center"/>
        <w:rPr>
          <w:rFonts w:ascii="Arial" w:eastAsia="Times New Roman" w:hAnsi="Arial" w:cs="Arial"/>
          <w:b/>
          <w:bCs/>
          <w:sz w:val="24"/>
          <w:szCs w:val="24"/>
          <w:lang w:val="es-MX" w:eastAsia="es-ES"/>
        </w:rPr>
      </w:pPr>
    </w:p>
    <w:tbl>
      <w:tblPr>
        <w:tblW w:w="0" w:type="auto"/>
        <w:tblLook w:val="01E0" w:firstRow="1" w:lastRow="1" w:firstColumn="1" w:lastColumn="1" w:noHBand="0" w:noVBand="0"/>
      </w:tblPr>
      <w:tblGrid>
        <w:gridCol w:w="4566"/>
        <w:gridCol w:w="236"/>
        <w:gridCol w:w="4604"/>
      </w:tblGrid>
      <w:tr w:rsidR="00C1607C" w:rsidRPr="00C1607C" w:rsidTr="00363F48">
        <w:tc>
          <w:tcPr>
            <w:tcW w:w="4675"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r w:rsidRPr="00C1607C">
              <w:rPr>
                <w:rFonts w:ascii="Arial" w:eastAsia="Times New Roman" w:hAnsi="Arial" w:cs="Arial"/>
                <w:b/>
                <w:bCs/>
                <w:sz w:val="24"/>
                <w:szCs w:val="24"/>
                <w:lang w:val="es-MX" w:eastAsia="es-ES"/>
              </w:rPr>
              <w:br w:type="page"/>
            </w:r>
            <w:r w:rsidRPr="00C1607C">
              <w:rPr>
                <w:rFonts w:ascii="Arial" w:eastAsia="Times New Roman" w:hAnsi="Arial" w:cs="Arial"/>
                <w:b/>
                <w:sz w:val="20"/>
                <w:szCs w:val="20"/>
                <w:lang w:val="es-MX" w:eastAsia="es-ES"/>
              </w:rPr>
              <w:t xml:space="preserve">DIP. </w:t>
            </w:r>
            <w:r w:rsidRPr="00C1607C">
              <w:rPr>
                <w:rFonts w:ascii="Arial" w:eastAsia="Times New Roman" w:hAnsi="Arial" w:cs="Arial"/>
                <w:b/>
                <w:snapToGrid w:val="0"/>
                <w:sz w:val="20"/>
                <w:szCs w:val="20"/>
                <w:lang w:val="es-MX" w:eastAsia="es-ES"/>
              </w:rPr>
              <w:t>VERÓNICA BOREQUE MARTÍNEZ GONZÁLEZ</w:t>
            </w:r>
          </w:p>
        </w:tc>
        <w:tc>
          <w:tcPr>
            <w:tcW w:w="236"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p>
        </w:tc>
        <w:tc>
          <w:tcPr>
            <w:tcW w:w="4711" w:type="dxa"/>
          </w:tcPr>
          <w:p w:rsidR="00C1607C" w:rsidRPr="00C1607C" w:rsidRDefault="00C1607C" w:rsidP="00C1607C">
            <w:pPr>
              <w:tabs>
                <w:tab w:val="center" w:pos="4252"/>
                <w:tab w:val="right" w:pos="8504"/>
              </w:tabs>
              <w:spacing w:after="0" w:line="276" w:lineRule="auto"/>
              <w:jc w:val="center"/>
              <w:rPr>
                <w:rFonts w:ascii="Arial" w:eastAsia="Times New Roman" w:hAnsi="Arial" w:cs="Arial"/>
                <w:b/>
                <w:sz w:val="24"/>
                <w:szCs w:val="24"/>
                <w:lang w:val="es-MX" w:eastAsia="es-ES"/>
              </w:rPr>
            </w:pPr>
            <w:r w:rsidRPr="00C1607C">
              <w:rPr>
                <w:rFonts w:ascii="Arial" w:eastAsia="Times New Roman" w:hAnsi="Arial" w:cs="Arial"/>
                <w:b/>
                <w:sz w:val="20"/>
                <w:szCs w:val="20"/>
                <w:lang w:val="es-MX" w:eastAsia="es-ES"/>
              </w:rPr>
              <w:t xml:space="preserve">DIP. </w:t>
            </w:r>
            <w:r w:rsidRPr="00C1607C">
              <w:rPr>
                <w:rFonts w:ascii="Arial" w:eastAsia="Times New Roman" w:hAnsi="Arial" w:cs="Arial"/>
                <w:b/>
                <w:snapToGrid w:val="0"/>
                <w:sz w:val="20"/>
                <w:szCs w:val="20"/>
                <w:lang w:val="es-MX" w:eastAsia="es-ES"/>
              </w:rPr>
              <w:t>JESÚS BERINO GRANADOS</w:t>
            </w:r>
          </w:p>
        </w:tc>
      </w:tr>
    </w:tbl>
    <w:p w:rsidR="00C1607C" w:rsidRPr="00C1607C" w:rsidRDefault="00C1607C" w:rsidP="00C1607C">
      <w:pPr>
        <w:tabs>
          <w:tab w:val="left" w:pos="4678"/>
        </w:tabs>
        <w:spacing w:after="0" w:line="240" w:lineRule="auto"/>
        <w:jc w:val="both"/>
        <w:rPr>
          <w:rFonts w:ascii="Arial" w:eastAsia="Times New Roman" w:hAnsi="Arial" w:cs="Arial"/>
          <w:b/>
          <w:sz w:val="20"/>
          <w:szCs w:val="20"/>
          <w:lang w:val="es-MX" w:eastAsia="es-ES"/>
        </w:rPr>
      </w:pPr>
      <w:r w:rsidRPr="00C1607C">
        <w:rPr>
          <w:rFonts w:ascii="Arial" w:eastAsia="Times New Roman" w:hAnsi="Arial" w:cs="Arial"/>
          <w:b/>
          <w:sz w:val="20"/>
          <w:szCs w:val="20"/>
          <w:lang w:val="es-MX" w:eastAsia="es-ES"/>
        </w:rPr>
        <w:tab/>
      </w:r>
      <w:r w:rsidRPr="00C1607C">
        <w:rPr>
          <w:rFonts w:ascii="Arial" w:eastAsia="Times New Roman" w:hAnsi="Arial" w:cs="Arial"/>
          <w:b/>
          <w:sz w:val="20"/>
          <w:szCs w:val="20"/>
          <w:lang w:val="es-MX" w:eastAsia="es-ES"/>
        </w:rPr>
        <w:tab/>
      </w:r>
      <w:r w:rsidRPr="00C1607C">
        <w:rPr>
          <w:rFonts w:ascii="Arial" w:eastAsia="Times New Roman" w:hAnsi="Arial" w:cs="Arial"/>
          <w:b/>
          <w:sz w:val="20"/>
          <w:szCs w:val="20"/>
          <w:lang w:val="es-MX" w:eastAsia="es-ES"/>
        </w:rPr>
        <w:tab/>
      </w:r>
    </w:p>
    <w:p w:rsidR="00C1607C" w:rsidRPr="00C1607C" w:rsidRDefault="00C1607C" w:rsidP="00C1607C">
      <w:pPr>
        <w:tabs>
          <w:tab w:val="left" w:pos="4678"/>
        </w:tabs>
        <w:spacing w:after="0" w:line="240" w:lineRule="auto"/>
        <w:jc w:val="both"/>
        <w:rPr>
          <w:rFonts w:ascii="Arial" w:eastAsia="Times New Roman" w:hAnsi="Arial" w:cs="Arial"/>
          <w:b/>
          <w:sz w:val="20"/>
          <w:szCs w:val="20"/>
          <w:lang w:val="es-MX" w:eastAsia="es-ES"/>
        </w:rPr>
      </w:pPr>
    </w:p>
    <w:p w:rsidR="00C1607C" w:rsidRPr="00C1607C" w:rsidRDefault="00C1607C" w:rsidP="00C1607C">
      <w:pPr>
        <w:tabs>
          <w:tab w:val="left" w:pos="4678"/>
        </w:tabs>
        <w:spacing w:after="0" w:line="240" w:lineRule="auto"/>
        <w:jc w:val="both"/>
        <w:rPr>
          <w:rFonts w:ascii="Arial" w:eastAsia="Times New Roman" w:hAnsi="Arial" w:cs="Arial"/>
          <w:b/>
          <w:sz w:val="20"/>
          <w:szCs w:val="20"/>
          <w:lang w:val="es-MX" w:eastAsia="es-ES"/>
        </w:rPr>
      </w:pPr>
    </w:p>
    <w:p w:rsidR="00C1607C" w:rsidRPr="00C1607C" w:rsidRDefault="00C1607C" w:rsidP="00C1607C">
      <w:pPr>
        <w:tabs>
          <w:tab w:val="left" w:pos="4678"/>
        </w:tabs>
        <w:spacing w:after="0" w:line="240" w:lineRule="auto"/>
        <w:jc w:val="both"/>
        <w:rPr>
          <w:rFonts w:ascii="Arial" w:eastAsia="Times New Roman" w:hAnsi="Arial" w:cs="Arial"/>
          <w:b/>
          <w:sz w:val="20"/>
          <w:szCs w:val="20"/>
          <w:lang w:val="es-MX" w:eastAsia="es-ES"/>
        </w:rPr>
      </w:pPr>
    </w:p>
    <w:p w:rsidR="00C1607C" w:rsidRPr="00C1607C" w:rsidRDefault="00C1607C" w:rsidP="00C1607C">
      <w:pPr>
        <w:tabs>
          <w:tab w:val="left" w:pos="4678"/>
        </w:tabs>
        <w:spacing w:after="0" w:line="240" w:lineRule="auto"/>
        <w:jc w:val="center"/>
        <w:rPr>
          <w:rFonts w:ascii="Arial" w:eastAsia="Times New Roman" w:hAnsi="Arial" w:cs="Arial"/>
          <w:b/>
          <w:sz w:val="20"/>
          <w:szCs w:val="20"/>
          <w:lang w:val="es-MX" w:eastAsia="es-ES"/>
        </w:rPr>
      </w:pPr>
      <w:r w:rsidRPr="00C1607C">
        <w:rPr>
          <w:rFonts w:ascii="Arial" w:eastAsia="Times New Roman" w:hAnsi="Arial" w:cs="Arial"/>
          <w:b/>
          <w:sz w:val="20"/>
          <w:szCs w:val="20"/>
          <w:lang w:val="es-MX" w:eastAsia="es-ES"/>
        </w:rPr>
        <w:t xml:space="preserve">DIP. </w:t>
      </w:r>
      <w:r w:rsidRPr="00C1607C">
        <w:rPr>
          <w:rFonts w:ascii="Arial" w:eastAsia="Times New Roman" w:hAnsi="Arial" w:cs="Arial"/>
          <w:b/>
          <w:snapToGrid w:val="0"/>
          <w:sz w:val="20"/>
          <w:szCs w:val="20"/>
          <w:lang w:val="es-MX" w:eastAsia="es-ES"/>
        </w:rPr>
        <w:t>DIANA PATRICIA GONZÁLEZ SOTO</w:t>
      </w: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4"/>
          <w:szCs w:val="14"/>
          <w:lang w:val="es-MX" w:eastAsia="es-ES"/>
        </w:rPr>
      </w:pPr>
    </w:p>
    <w:p w:rsidR="00C1607C" w:rsidRPr="00C1607C" w:rsidRDefault="00C1607C" w:rsidP="00C1607C">
      <w:pPr>
        <w:spacing w:after="0" w:line="240" w:lineRule="auto"/>
        <w:jc w:val="both"/>
        <w:rPr>
          <w:rFonts w:ascii="Arial" w:eastAsia="Times New Roman" w:hAnsi="Arial" w:cs="Arial"/>
          <w:sz w:val="16"/>
          <w:szCs w:val="16"/>
          <w:lang w:val="es-MX" w:eastAsia="es-ES"/>
        </w:rPr>
      </w:pPr>
    </w:p>
    <w:p w:rsidR="00C1607C" w:rsidRPr="00C1607C" w:rsidRDefault="00C1607C" w:rsidP="00C1607C">
      <w:pPr>
        <w:spacing w:after="0" w:line="240" w:lineRule="auto"/>
        <w:jc w:val="both"/>
        <w:rPr>
          <w:rFonts w:ascii="Arial" w:eastAsia="Times New Roman" w:hAnsi="Arial" w:cs="Arial"/>
          <w:sz w:val="16"/>
          <w:szCs w:val="16"/>
          <w:lang w:val="es-MX" w:eastAsia="es-ES"/>
        </w:rPr>
      </w:pPr>
    </w:p>
    <w:p w:rsidR="00C1607C" w:rsidRPr="00C1607C" w:rsidRDefault="00C1607C" w:rsidP="00C1607C">
      <w:pPr>
        <w:spacing w:after="0" w:line="240" w:lineRule="auto"/>
        <w:jc w:val="both"/>
        <w:rPr>
          <w:rFonts w:ascii="Arial" w:eastAsia="Times New Roman" w:hAnsi="Arial" w:cs="Arial"/>
          <w:sz w:val="16"/>
          <w:szCs w:val="16"/>
          <w:lang w:val="es-MX" w:eastAsia="es-ES"/>
        </w:rPr>
      </w:pPr>
    </w:p>
    <w:p w:rsidR="00EB0F21" w:rsidRPr="00C1607C" w:rsidRDefault="00C1607C" w:rsidP="00EB0F21">
      <w:pPr>
        <w:spacing w:after="0" w:line="276" w:lineRule="auto"/>
        <w:jc w:val="both"/>
        <w:rPr>
          <w:rFonts w:ascii="Arial" w:eastAsia="Times New Roman" w:hAnsi="Arial" w:cs="Arial"/>
          <w:sz w:val="16"/>
          <w:szCs w:val="16"/>
          <w:lang w:val="es-MX" w:eastAsia="es-ES"/>
        </w:rPr>
      </w:pPr>
      <w:r w:rsidRPr="00C1607C">
        <w:rPr>
          <w:rFonts w:ascii="Arial" w:eastAsia="Times New Roman" w:hAnsi="Arial" w:cs="Arial"/>
          <w:sz w:val="16"/>
          <w:szCs w:val="16"/>
          <w:lang w:val="es-MX" w:eastAsia="es-ES"/>
        </w:rPr>
        <w:t xml:space="preserve">ESTA HOJA DE FIRMAS CORRESPONDE A LA </w:t>
      </w:r>
      <w:r w:rsidR="00EB0F21" w:rsidRPr="00EB0F21">
        <w:rPr>
          <w:rFonts w:ascii="Arial" w:eastAsia="Times New Roman" w:hAnsi="Arial" w:cs="Arial"/>
          <w:sz w:val="16"/>
          <w:szCs w:val="16"/>
          <w:lang w:val="es-MX" w:eastAsia="es-ES"/>
        </w:rPr>
        <w:t xml:space="preserve">INICIATIVA CON PROYECTO DE DECRETO </w:t>
      </w:r>
      <w:r w:rsidR="00EB0F21" w:rsidRPr="00EB0F21">
        <w:rPr>
          <w:rFonts w:ascii="Arial" w:eastAsia="Times New Roman" w:hAnsi="Arial" w:cs="Arial"/>
          <w:bCs/>
          <w:sz w:val="16"/>
          <w:szCs w:val="16"/>
          <w:lang w:val="es-ES" w:eastAsia="es-ES"/>
        </w:rPr>
        <w:t xml:space="preserve">POR EL QUE </w:t>
      </w:r>
      <w:r w:rsidR="00EB0F21" w:rsidRPr="00EB0F21">
        <w:rPr>
          <w:rFonts w:ascii="Arial" w:eastAsia="Times New Roman" w:hAnsi="Arial" w:cs="Arial"/>
          <w:sz w:val="16"/>
          <w:szCs w:val="16"/>
          <w:lang w:val="es-MX" w:eastAsia="es-ES"/>
        </w:rPr>
        <w:t xml:space="preserve">SE REFORMA LA FRACCIÓN I DE LA </w:t>
      </w:r>
      <w:r w:rsidR="00EB0F21" w:rsidRPr="00EB0F21">
        <w:rPr>
          <w:rFonts w:ascii="Arial" w:eastAsia="Times New Roman" w:hAnsi="Arial" w:cs="Arial"/>
          <w:color w:val="000000"/>
          <w:sz w:val="16"/>
          <w:szCs w:val="16"/>
          <w:lang w:val="es-ES_tradnl" w:eastAsia="es-ES"/>
        </w:rPr>
        <w:t>LEY</w:t>
      </w:r>
      <w:r w:rsidR="00EB0F21" w:rsidRPr="00EB0F21">
        <w:rPr>
          <w:rFonts w:ascii="Arial" w:eastAsia="Times New Roman" w:hAnsi="Arial" w:cs="Arial"/>
          <w:bCs/>
          <w:color w:val="000000"/>
          <w:sz w:val="16"/>
          <w:szCs w:val="16"/>
          <w:lang w:val="es-ES_tradnl" w:eastAsia="es-MX"/>
        </w:rPr>
        <w:t xml:space="preserve"> </w:t>
      </w:r>
      <w:r w:rsidR="00EB0F21" w:rsidRPr="00EB0F21">
        <w:rPr>
          <w:rFonts w:ascii="Arial" w:eastAsia="Times New Roman" w:hAnsi="Arial" w:cs="Arial"/>
          <w:bCs/>
          <w:sz w:val="16"/>
          <w:szCs w:val="16"/>
          <w:lang w:val="es-ES_tradnl" w:eastAsia="es-MX"/>
        </w:rPr>
        <w:t xml:space="preserve">DE ASENTAMIENTOS </w:t>
      </w:r>
      <w:r w:rsidR="00EB0F21" w:rsidRPr="00EB0F21">
        <w:rPr>
          <w:rFonts w:ascii="Arial" w:eastAsia="Times New Roman" w:hAnsi="Arial" w:cs="Arial"/>
          <w:sz w:val="16"/>
          <w:szCs w:val="16"/>
          <w:lang w:val="es-ES_tradnl" w:eastAsia="es-ES"/>
        </w:rPr>
        <w:t>HUMANOS, ORDENAMIENTO TERRITORIAL Y DESARROLLO URBANO DEL ESTADO DE COAHUILA DE ZARAGOZA</w:t>
      </w:r>
      <w:r w:rsidR="00EB0F21" w:rsidRPr="00EB0F21">
        <w:rPr>
          <w:rFonts w:ascii="Arial" w:eastAsia="Times New Roman" w:hAnsi="Arial" w:cs="Arial"/>
          <w:bCs/>
          <w:sz w:val="16"/>
          <w:szCs w:val="16"/>
          <w:lang w:val="es-MX" w:eastAsia="es-ES"/>
        </w:rPr>
        <w:t xml:space="preserve">, </w:t>
      </w:r>
      <w:r w:rsidR="00EB0F21" w:rsidRPr="00EB0F21">
        <w:rPr>
          <w:rFonts w:ascii="Arial" w:eastAsia="Times New Roman" w:hAnsi="Arial" w:cs="Arial"/>
          <w:sz w:val="16"/>
          <w:szCs w:val="16"/>
          <w:lang w:val="es-MX" w:eastAsia="es-ES"/>
        </w:rPr>
        <w:t>QUE PRESENTA EL DIPUTADO JAIME BUENO ZERTUCHE, CONJUNTAMENTE CON LAS DIPUTADAS Y DIPUTADOS INTEGRANTES DEL GRUPO PARLAMENTARIO “GRAL. ANDRÉS S. VIESCA”, DEL PARTIDO REVOLUCIONARIO INSTITUCIONAL, EN RELACIÓN A LAS CARACTERÍSTICAS DE LOTES CAMPESTRES.</w:t>
      </w:r>
    </w:p>
    <w:p w:rsidR="00C1607C" w:rsidRPr="00C1607C" w:rsidRDefault="00C1607C" w:rsidP="00EB0F21">
      <w:pPr>
        <w:spacing w:after="0" w:line="276" w:lineRule="auto"/>
        <w:jc w:val="both"/>
        <w:rPr>
          <w:rFonts w:ascii="Arial" w:eastAsia="Times New Roman" w:hAnsi="Arial" w:cs="Arial"/>
          <w:b/>
          <w:sz w:val="14"/>
          <w:szCs w:val="14"/>
          <w:lang w:val="es-MX" w:eastAsia="es-ES"/>
        </w:rPr>
      </w:pPr>
    </w:p>
    <w:p w:rsidR="00F056EA" w:rsidRPr="00C1607C" w:rsidRDefault="00B21778">
      <w:pPr>
        <w:rPr>
          <w:rFonts w:ascii="Arial" w:hAnsi="Arial" w:cs="Arial"/>
          <w:lang w:val="es-ES"/>
        </w:rPr>
      </w:pPr>
    </w:p>
    <w:sectPr w:rsidR="00F056EA" w:rsidRPr="00C1607C" w:rsidSect="00B33FD3">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78" w:rsidRDefault="00B21778" w:rsidP="00EB0F21">
      <w:pPr>
        <w:spacing w:after="0" w:line="240" w:lineRule="auto"/>
      </w:pPr>
      <w:r>
        <w:separator/>
      </w:r>
    </w:p>
  </w:endnote>
  <w:endnote w:type="continuationSeparator" w:id="0">
    <w:p w:rsidR="00B21778" w:rsidRDefault="00B21778" w:rsidP="00EB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78" w:rsidRDefault="00B21778" w:rsidP="00EB0F21">
      <w:pPr>
        <w:spacing w:after="0" w:line="240" w:lineRule="auto"/>
      </w:pPr>
      <w:r>
        <w:separator/>
      </w:r>
    </w:p>
  </w:footnote>
  <w:footnote w:type="continuationSeparator" w:id="0">
    <w:p w:rsidR="00B21778" w:rsidRDefault="00B21778" w:rsidP="00EB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26A1F" w:rsidRPr="006B0356" w:rsidTr="00F1491E">
      <w:trPr>
        <w:jc w:val="center"/>
      </w:trPr>
      <w:tc>
        <w:tcPr>
          <w:tcW w:w="1253" w:type="dxa"/>
        </w:tcPr>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bookmarkStart w:id="2" w:name="_Hlk530582131"/>
          <w:r w:rsidRPr="00B26A1F">
            <w:rPr>
              <w:rFonts w:ascii="Arial" w:eastAsia="Times New Roman" w:hAnsi="Arial" w:cs="Times New Roman"/>
              <w:b/>
              <w:bCs/>
              <w:noProof/>
              <w:sz w:val="12"/>
              <w:szCs w:val="20"/>
              <w:lang w:val="es-MX" w:eastAsia="es-MX"/>
            </w:rPr>
            <w:drawing>
              <wp:anchor distT="0" distB="0" distL="114300" distR="114300" simplePos="0" relativeHeight="251660288" behindDoc="0" locked="0" layoutInCell="1" allowOverlap="1" wp14:anchorId="351BE729" wp14:editId="0A7FF2CE">
                <wp:simplePos x="0" y="0"/>
                <wp:positionH relativeFrom="column">
                  <wp:posOffset>-25400</wp:posOffset>
                </wp:positionH>
                <wp:positionV relativeFrom="paragraph">
                  <wp:posOffset>52705</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tc>
      <w:tc>
        <w:tcPr>
          <w:tcW w:w="8623" w:type="dxa"/>
        </w:tcPr>
        <w:p w:rsidR="00B26A1F" w:rsidRPr="00B26A1F" w:rsidRDefault="00B26A1F" w:rsidP="00B26A1F">
          <w:pPr>
            <w:spacing w:after="0" w:line="240" w:lineRule="auto"/>
            <w:jc w:val="center"/>
            <w:rPr>
              <w:rFonts w:ascii="Arial" w:eastAsia="Times New Roman" w:hAnsi="Arial" w:cs="Times New Roman"/>
              <w:b/>
              <w:bCs/>
              <w:sz w:val="24"/>
              <w:szCs w:val="20"/>
              <w:lang w:val="es-MX" w:eastAsia="es-ES"/>
            </w:rPr>
          </w:pPr>
          <w:r w:rsidRPr="00B26A1F">
            <w:rPr>
              <w:rFonts w:ascii="Arial" w:eastAsia="Times New Roman" w:hAnsi="Arial" w:cs="Times New Roman"/>
              <w:noProof/>
              <w:sz w:val="20"/>
              <w:szCs w:val="20"/>
              <w:lang w:val="es-MX" w:eastAsia="es-MX"/>
            </w:rPr>
            <w:drawing>
              <wp:anchor distT="0" distB="0" distL="114300" distR="114300" simplePos="0" relativeHeight="251659264" behindDoc="0" locked="0" layoutInCell="1" allowOverlap="1" wp14:anchorId="69927351" wp14:editId="325EEA41">
                <wp:simplePos x="0" y="0"/>
                <wp:positionH relativeFrom="column">
                  <wp:posOffset>5168900</wp:posOffset>
                </wp:positionH>
                <wp:positionV relativeFrom="paragraph">
                  <wp:posOffset>139699</wp:posOffset>
                </wp:positionV>
                <wp:extent cx="1148301" cy="836167"/>
                <wp:effectExtent l="19050" t="0" r="0" b="0"/>
                <wp:wrapNone/>
                <wp:docPr id="4" name="Imagen 4"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B26A1F" w:rsidRPr="00B26A1F" w:rsidRDefault="00B26A1F" w:rsidP="00B26A1F">
          <w:pPr>
            <w:tabs>
              <w:tab w:val="left" w:pos="5040"/>
            </w:tabs>
            <w:spacing w:after="0" w:line="240" w:lineRule="auto"/>
            <w:jc w:val="center"/>
            <w:rPr>
              <w:rFonts w:ascii="Times New Roman" w:eastAsia="Times New Roman" w:hAnsi="Times New Roman" w:cs="Arial"/>
              <w:bCs/>
              <w:smallCaps/>
              <w:spacing w:val="20"/>
              <w:sz w:val="32"/>
              <w:szCs w:val="32"/>
              <w:lang w:val="es-MX" w:eastAsia="es-ES"/>
            </w:rPr>
          </w:pPr>
          <w:r w:rsidRPr="00B26A1F">
            <w:rPr>
              <w:rFonts w:ascii="Times New Roman" w:eastAsia="Times New Roman" w:hAnsi="Times New Roman" w:cs="Arial"/>
              <w:bCs/>
              <w:smallCaps/>
              <w:spacing w:val="20"/>
              <w:sz w:val="32"/>
              <w:szCs w:val="32"/>
              <w:lang w:val="es-MX" w:eastAsia="es-ES"/>
            </w:rPr>
            <w:t xml:space="preserve">Congreso del Estado Independiente, </w:t>
          </w:r>
        </w:p>
        <w:p w:rsidR="00B26A1F" w:rsidRPr="00B26A1F" w:rsidRDefault="00B26A1F" w:rsidP="00B26A1F">
          <w:pPr>
            <w:tabs>
              <w:tab w:val="left" w:pos="5040"/>
            </w:tabs>
            <w:spacing w:after="0" w:line="240" w:lineRule="auto"/>
            <w:ind w:right="-93"/>
            <w:jc w:val="center"/>
            <w:rPr>
              <w:rFonts w:ascii="Times New Roman" w:eastAsia="Times New Roman" w:hAnsi="Times New Roman" w:cs="Arial"/>
              <w:bCs/>
              <w:smallCaps/>
              <w:spacing w:val="20"/>
              <w:sz w:val="32"/>
              <w:szCs w:val="32"/>
              <w:lang w:val="es-MX" w:eastAsia="es-ES"/>
            </w:rPr>
          </w:pPr>
          <w:r w:rsidRPr="00B26A1F">
            <w:rPr>
              <w:rFonts w:ascii="Times New Roman" w:eastAsia="Times New Roman" w:hAnsi="Times New Roman" w:cs="Arial"/>
              <w:bCs/>
              <w:smallCaps/>
              <w:spacing w:val="20"/>
              <w:sz w:val="32"/>
              <w:szCs w:val="32"/>
              <w:lang w:val="es-MX" w:eastAsia="es-ES"/>
            </w:rPr>
            <w:t>Libre y Soberano de Coahuila de Zaragoza</w:t>
          </w:r>
        </w:p>
        <w:p w:rsidR="00B26A1F" w:rsidRPr="00B26A1F" w:rsidRDefault="00B26A1F" w:rsidP="00B26A1F">
          <w:pPr>
            <w:tabs>
              <w:tab w:val="left" w:pos="-1528"/>
              <w:tab w:val="center" w:pos="-1386"/>
            </w:tabs>
            <w:spacing w:after="0" w:line="240" w:lineRule="auto"/>
            <w:jc w:val="center"/>
            <w:rPr>
              <w:rFonts w:ascii="Arial" w:eastAsia="Times New Roman" w:hAnsi="Arial" w:cs="Arial"/>
              <w:bCs/>
              <w:smallCaps/>
              <w:spacing w:val="20"/>
              <w:sz w:val="32"/>
              <w:szCs w:val="32"/>
              <w:lang w:val="es-MX" w:eastAsia="es-ES"/>
            </w:rPr>
          </w:pPr>
        </w:p>
        <w:p w:rsidR="00B26A1F" w:rsidRPr="00B26A1F" w:rsidRDefault="00B26A1F" w:rsidP="00B26A1F">
          <w:pPr>
            <w:spacing w:after="0" w:line="240" w:lineRule="auto"/>
            <w:jc w:val="center"/>
            <w:rPr>
              <w:rFonts w:ascii="Arial" w:eastAsia="Times New Roman" w:hAnsi="Arial" w:cs="Arial"/>
              <w:sz w:val="16"/>
              <w:szCs w:val="20"/>
              <w:lang w:val="es-MX" w:eastAsia="es-ES"/>
            </w:rPr>
          </w:pPr>
          <w:r w:rsidRPr="00B26A1F">
            <w:rPr>
              <w:rFonts w:ascii="Arial" w:eastAsia="Times New Roman" w:hAnsi="Arial" w:cs="Arial"/>
              <w:sz w:val="16"/>
              <w:szCs w:val="20"/>
              <w:lang w:val="es-MX" w:eastAsia="es-ES"/>
            </w:rPr>
            <w:t>“</w:t>
          </w:r>
          <w:r w:rsidRPr="00B26A1F">
            <w:rPr>
              <w:rFonts w:ascii="Arial" w:eastAsia="Times New Roman" w:hAnsi="Arial" w:cs="Arial"/>
              <w:bCs/>
              <w:sz w:val="16"/>
              <w:szCs w:val="16"/>
              <w:bdr w:val="none" w:sz="0" w:space="0" w:color="auto" w:frame="1"/>
              <w:shd w:val="clear" w:color="auto" w:fill="FFFFFF"/>
              <w:lang w:val="es-MX" w:eastAsia="es-ES"/>
            </w:rPr>
            <w:t>2019, Año del respeto y protección de los derechos humanos en el Estado de Coahuila de Zaragoza</w:t>
          </w:r>
          <w:r w:rsidRPr="00B26A1F">
            <w:rPr>
              <w:rFonts w:ascii="Arial" w:eastAsia="Times New Roman" w:hAnsi="Arial" w:cs="Arial"/>
              <w:sz w:val="16"/>
              <w:szCs w:val="20"/>
              <w:lang w:val="es-MX" w:eastAsia="es-ES"/>
            </w:rPr>
            <w:t>”</w:t>
          </w:r>
        </w:p>
        <w:p w:rsidR="00B26A1F" w:rsidRPr="00B26A1F" w:rsidRDefault="00B26A1F" w:rsidP="00B26A1F">
          <w:pPr>
            <w:spacing w:after="0" w:line="240" w:lineRule="auto"/>
            <w:ind w:left="-434" w:right="-672"/>
            <w:jc w:val="center"/>
            <w:rPr>
              <w:rFonts w:ascii="Arial" w:eastAsia="Times New Roman" w:hAnsi="Arial" w:cs="Times New Roman"/>
              <w:b/>
              <w:bCs/>
              <w:sz w:val="12"/>
              <w:szCs w:val="20"/>
              <w:lang w:val="es-MX" w:eastAsia="es-ES"/>
            </w:rPr>
          </w:pPr>
        </w:p>
      </w:tc>
      <w:tc>
        <w:tcPr>
          <w:tcW w:w="1181" w:type="dxa"/>
        </w:tcPr>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bookmarkEnd w:id="2"/>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p w:rsidR="00B26A1F" w:rsidRPr="00B26A1F" w:rsidRDefault="00B26A1F" w:rsidP="00B26A1F">
          <w:pPr>
            <w:spacing w:after="0" w:line="240" w:lineRule="auto"/>
            <w:jc w:val="center"/>
            <w:rPr>
              <w:rFonts w:ascii="Arial" w:eastAsia="Times New Roman" w:hAnsi="Arial" w:cs="Times New Roman"/>
              <w:b/>
              <w:bCs/>
              <w:sz w:val="12"/>
              <w:szCs w:val="20"/>
              <w:lang w:val="es-MX" w:eastAsia="es-ES"/>
            </w:rPr>
          </w:pPr>
        </w:p>
      </w:tc>
    </w:tr>
  </w:tbl>
  <w:p w:rsidR="003C7624" w:rsidRPr="00C1607C" w:rsidRDefault="00B21778" w:rsidP="00177538">
    <w:pPr>
      <w:pStyle w:val="Encabezado"/>
      <w:ind w:right="49"/>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20D1"/>
    <w:multiLevelType w:val="hybridMultilevel"/>
    <w:tmpl w:val="2C3EB1AE"/>
    <w:lvl w:ilvl="0" w:tplc="00A2BF12">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 w15:restartNumberingAfterBreak="0">
    <w:nsid w:val="54BB42CF"/>
    <w:multiLevelType w:val="hybridMultilevel"/>
    <w:tmpl w:val="1F6858A6"/>
    <w:lvl w:ilvl="0" w:tplc="2F3C95A6">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7C"/>
    <w:rsid w:val="0007681D"/>
    <w:rsid w:val="00122178"/>
    <w:rsid w:val="00393AED"/>
    <w:rsid w:val="004A7E55"/>
    <w:rsid w:val="004C0152"/>
    <w:rsid w:val="0054245C"/>
    <w:rsid w:val="00542D3E"/>
    <w:rsid w:val="006B0356"/>
    <w:rsid w:val="00921BD1"/>
    <w:rsid w:val="00A10129"/>
    <w:rsid w:val="00A3470D"/>
    <w:rsid w:val="00B21778"/>
    <w:rsid w:val="00B26A1F"/>
    <w:rsid w:val="00B33FD3"/>
    <w:rsid w:val="00C1607C"/>
    <w:rsid w:val="00D53B54"/>
    <w:rsid w:val="00E144B7"/>
    <w:rsid w:val="00EB0F21"/>
    <w:rsid w:val="00F34C24"/>
    <w:rsid w:val="00F9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06324-63F5-44D7-AC33-E9F43AE6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0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07C"/>
  </w:style>
  <w:style w:type="character" w:customStyle="1" w:styleId="TextoindependienteCar">
    <w:name w:val="Texto independiente Car"/>
    <w:link w:val="Textoindependiente"/>
    <w:rsid w:val="00C1607C"/>
    <w:rPr>
      <w:rFonts w:ascii="Arial" w:eastAsia="Times New Roman" w:hAnsi="Arial"/>
      <w:sz w:val="20"/>
      <w:szCs w:val="20"/>
      <w:lang w:eastAsia="es-ES"/>
    </w:rPr>
  </w:style>
  <w:style w:type="paragraph" w:styleId="Textoindependiente">
    <w:name w:val="Body Text"/>
    <w:basedOn w:val="Normal"/>
    <w:link w:val="TextoindependienteCar"/>
    <w:qFormat/>
    <w:rsid w:val="00C1607C"/>
    <w:pPr>
      <w:spacing w:after="0" w:line="240" w:lineRule="auto"/>
      <w:jc w:val="both"/>
    </w:pPr>
    <w:rPr>
      <w:rFonts w:ascii="Arial" w:eastAsia="Times New Roman" w:hAnsi="Arial"/>
      <w:sz w:val="20"/>
      <w:szCs w:val="20"/>
      <w:lang w:eastAsia="es-ES"/>
    </w:rPr>
  </w:style>
  <w:style w:type="character" w:customStyle="1" w:styleId="TextoindependienteCar1">
    <w:name w:val="Texto independiente Car1"/>
    <w:basedOn w:val="Fuentedeprrafopredeter"/>
    <w:uiPriority w:val="99"/>
    <w:semiHidden/>
    <w:rsid w:val="00C1607C"/>
  </w:style>
  <w:style w:type="paragraph" w:styleId="Piedepgina">
    <w:name w:val="footer"/>
    <w:basedOn w:val="Normal"/>
    <w:link w:val="PiedepginaCar"/>
    <w:uiPriority w:val="99"/>
    <w:unhideWhenUsed/>
    <w:rsid w:val="00EB0F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Salinas Pérez</dc:creator>
  <cp:keywords/>
  <dc:description/>
  <cp:lastModifiedBy>Juan Lumbreras Teniente</cp:lastModifiedBy>
  <cp:revision>5</cp:revision>
  <dcterms:created xsi:type="dcterms:W3CDTF">2019-09-24T19:32:00Z</dcterms:created>
  <dcterms:modified xsi:type="dcterms:W3CDTF">2020-12-11T04:19:00Z</dcterms:modified>
</cp:coreProperties>
</file>