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60" w:rsidRDefault="00B44960" w:rsidP="00B44960">
      <w:pPr>
        <w:jc w:val="both"/>
        <w:rPr>
          <w:rFonts w:ascii="Arial Narrow" w:eastAsia="Times New Roman" w:hAnsi="Arial Narrow" w:cs="Times New Roman"/>
          <w:color w:val="000000"/>
          <w:sz w:val="26"/>
          <w:szCs w:val="26"/>
          <w:lang w:val="es-MX"/>
        </w:rPr>
      </w:pPr>
    </w:p>
    <w:p w:rsidR="00B44960" w:rsidRPr="00B44960" w:rsidRDefault="00B44960" w:rsidP="00B44960">
      <w:pPr>
        <w:jc w:val="both"/>
        <w:rPr>
          <w:rFonts w:ascii="Arial Narrow" w:eastAsia="Times New Roman" w:hAnsi="Arial Narrow" w:cs="Times New Roman"/>
          <w:color w:val="000000"/>
          <w:sz w:val="26"/>
          <w:szCs w:val="26"/>
          <w:lang w:val="es-MX"/>
        </w:rPr>
      </w:pPr>
      <w:r w:rsidRPr="00B44960">
        <w:rPr>
          <w:rFonts w:ascii="Arial Narrow" w:eastAsia="Times New Roman" w:hAnsi="Arial Narrow" w:cs="Times New Roman"/>
          <w:color w:val="000000"/>
          <w:sz w:val="26"/>
          <w:szCs w:val="26"/>
          <w:lang w:val="es-MX"/>
        </w:rPr>
        <w:t xml:space="preserve">Iniciativa con Proyecto de Decreto </w:t>
      </w:r>
      <w:r>
        <w:rPr>
          <w:rFonts w:ascii="Arial Narrow" w:eastAsia="Times New Roman" w:hAnsi="Arial Narrow" w:cs="Times New Roman"/>
          <w:color w:val="000000"/>
          <w:sz w:val="26"/>
          <w:szCs w:val="26"/>
          <w:lang w:val="es-MX"/>
        </w:rPr>
        <w:t xml:space="preserve">por el que se </w:t>
      </w:r>
      <w:r w:rsidRPr="00B44960">
        <w:rPr>
          <w:rFonts w:ascii="Arial Narrow" w:eastAsia="Times New Roman" w:hAnsi="Arial Narrow" w:cs="Times New Roman"/>
          <w:color w:val="000000"/>
          <w:sz w:val="26"/>
          <w:szCs w:val="26"/>
          <w:lang w:val="es-MX"/>
        </w:rPr>
        <w:t xml:space="preserve">reforman los artículos 82, fracción XXIX y 84, fracciones I y X, y se derogan las fracciones VII, XIX y XXV del artículo </w:t>
      </w:r>
      <w:proofErr w:type="gramStart"/>
      <w:r w:rsidRPr="00B44960">
        <w:rPr>
          <w:rFonts w:ascii="Arial Narrow" w:eastAsia="Times New Roman" w:hAnsi="Arial Narrow" w:cs="Times New Roman"/>
          <w:color w:val="000000"/>
          <w:sz w:val="26"/>
          <w:szCs w:val="26"/>
          <w:lang w:val="es-MX"/>
        </w:rPr>
        <w:t>82,de</w:t>
      </w:r>
      <w:proofErr w:type="gramEnd"/>
      <w:r w:rsidRPr="00B44960">
        <w:rPr>
          <w:rFonts w:ascii="Arial Narrow" w:eastAsia="Times New Roman" w:hAnsi="Arial Narrow" w:cs="Times New Roman"/>
          <w:color w:val="000000"/>
          <w:sz w:val="26"/>
          <w:szCs w:val="26"/>
          <w:lang w:val="es-MX"/>
        </w:rPr>
        <w:t xml:space="preserve"> la </w:t>
      </w:r>
      <w:r w:rsidRPr="00B44960">
        <w:rPr>
          <w:rFonts w:ascii="Arial Narrow" w:eastAsia="Times New Roman" w:hAnsi="Arial Narrow" w:cs="Times New Roman"/>
          <w:b/>
          <w:color w:val="000000"/>
          <w:sz w:val="26"/>
          <w:szCs w:val="26"/>
          <w:lang w:val="es-MX"/>
        </w:rPr>
        <w:t>Constitución Política del Estado</w:t>
      </w:r>
      <w:r>
        <w:rPr>
          <w:rFonts w:ascii="Arial Narrow" w:eastAsia="Times New Roman" w:hAnsi="Arial Narrow" w:cs="Times New Roman"/>
          <w:b/>
          <w:color w:val="000000"/>
          <w:sz w:val="26"/>
          <w:szCs w:val="26"/>
          <w:lang w:val="es-MX"/>
        </w:rPr>
        <w:t xml:space="preserve"> de Coahuila de Zaragoza.</w:t>
      </w:r>
    </w:p>
    <w:p w:rsidR="00B44960" w:rsidRDefault="00B44960" w:rsidP="00B44960">
      <w:pPr>
        <w:jc w:val="both"/>
        <w:rPr>
          <w:rFonts w:ascii="Arial Narrow" w:eastAsia="Times New Roman" w:hAnsi="Arial Narrow" w:cs="Times New Roman"/>
          <w:color w:val="000000"/>
          <w:sz w:val="26"/>
          <w:szCs w:val="26"/>
          <w:lang w:val="es-MX"/>
        </w:rPr>
      </w:pPr>
    </w:p>
    <w:p w:rsidR="00B44960" w:rsidRPr="00B44960" w:rsidRDefault="00B44960" w:rsidP="00B44960">
      <w:pPr>
        <w:numPr>
          <w:ilvl w:val="0"/>
          <w:numId w:val="1"/>
        </w:numPr>
        <w:jc w:val="both"/>
        <w:rPr>
          <w:rFonts w:ascii="Arial Narrow" w:eastAsia="Times New Roman" w:hAnsi="Arial Narrow" w:cs="Times New Roman"/>
          <w:b/>
          <w:color w:val="000000"/>
          <w:sz w:val="26"/>
          <w:szCs w:val="26"/>
          <w:lang w:val="es-MX"/>
        </w:rPr>
      </w:pPr>
      <w:r w:rsidRPr="00B44960">
        <w:rPr>
          <w:rFonts w:ascii="Arial Narrow" w:eastAsia="Times New Roman" w:hAnsi="Arial Narrow" w:cs="Times New Roman"/>
          <w:b/>
          <w:color w:val="000000"/>
          <w:sz w:val="26"/>
          <w:szCs w:val="26"/>
          <w:lang w:val="es-MX"/>
        </w:rPr>
        <w:t>Relativas a las facultades del titular del Poder Ejecutivo del Estado.</w:t>
      </w:r>
    </w:p>
    <w:p w:rsidR="00B44960" w:rsidRDefault="00B44960" w:rsidP="00B44960">
      <w:pPr>
        <w:jc w:val="both"/>
        <w:rPr>
          <w:rFonts w:ascii="Arial Narrow" w:eastAsia="Times New Roman" w:hAnsi="Arial Narrow" w:cs="Times New Roman"/>
          <w:color w:val="000000"/>
          <w:sz w:val="26"/>
          <w:szCs w:val="26"/>
          <w:lang w:val="es-MX"/>
        </w:rPr>
      </w:pPr>
    </w:p>
    <w:p w:rsidR="00B44960" w:rsidRPr="003E3237" w:rsidRDefault="00B44960" w:rsidP="00B44960">
      <w:pPr>
        <w:jc w:val="both"/>
        <w:rPr>
          <w:rFonts w:ascii="Arial Narrow" w:eastAsia="Times New Roman" w:hAnsi="Arial Narrow" w:cs="Times New Roman"/>
          <w:color w:val="000000"/>
          <w:sz w:val="26"/>
          <w:szCs w:val="26"/>
          <w:lang w:val="es-MX"/>
        </w:rPr>
      </w:pPr>
      <w:r w:rsidRPr="003E3237">
        <w:rPr>
          <w:rFonts w:ascii="Arial Narrow" w:eastAsia="Times New Roman" w:hAnsi="Arial Narrow" w:cs="Times New Roman"/>
          <w:color w:val="000000"/>
          <w:sz w:val="26"/>
          <w:szCs w:val="26"/>
          <w:lang w:val="es-MX"/>
        </w:rPr>
        <w:t xml:space="preserve">Planteada por la </w:t>
      </w:r>
      <w:r w:rsidRPr="003E3237">
        <w:rPr>
          <w:rFonts w:ascii="Arial Narrow" w:eastAsia="Times New Roman" w:hAnsi="Arial Narrow" w:cs="Times New Roman"/>
          <w:b/>
          <w:color w:val="000000"/>
          <w:sz w:val="26"/>
          <w:szCs w:val="26"/>
          <w:lang w:val="es-MX"/>
        </w:rPr>
        <w:t>Diputada Elisa Catalina Villalobos Hernández</w:t>
      </w:r>
      <w:r w:rsidRPr="003E3237">
        <w:rPr>
          <w:rFonts w:ascii="Arial Narrow" w:eastAsia="Times New Roman" w:hAnsi="Arial Narrow" w:cs="Times New Roman"/>
          <w:color w:val="000000"/>
          <w:sz w:val="26"/>
          <w:szCs w:val="26"/>
          <w:lang w:val="es-MX"/>
        </w:rPr>
        <w:t>, del Partido Movimiento de Regeneración Nacional.</w:t>
      </w:r>
    </w:p>
    <w:p w:rsidR="00B44960" w:rsidRPr="003E3237" w:rsidRDefault="00B44960" w:rsidP="00B44960">
      <w:pPr>
        <w:jc w:val="both"/>
        <w:rPr>
          <w:rFonts w:ascii="Arial Narrow" w:eastAsia="Times New Roman" w:hAnsi="Arial Narrow" w:cs="Times New Roman"/>
          <w:b/>
          <w:color w:val="000000"/>
          <w:sz w:val="26"/>
          <w:szCs w:val="26"/>
          <w:lang w:val="es-MX"/>
        </w:rPr>
      </w:pPr>
    </w:p>
    <w:p w:rsidR="00B44960" w:rsidRPr="003E3237" w:rsidRDefault="00B44960" w:rsidP="00B44960">
      <w:p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 xml:space="preserve">Fecha de Lectura de la Iniciativa: </w:t>
      </w:r>
      <w:r>
        <w:rPr>
          <w:rFonts w:ascii="Arial Narrow" w:eastAsia="Times New Roman" w:hAnsi="Arial Narrow" w:cs="Times New Roman"/>
          <w:b/>
          <w:color w:val="000000"/>
          <w:sz w:val="26"/>
          <w:szCs w:val="26"/>
          <w:lang w:val="es-MX"/>
        </w:rPr>
        <w:t>06</w:t>
      </w:r>
      <w:r w:rsidRPr="003E3237">
        <w:rPr>
          <w:rFonts w:ascii="Arial Narrow" w:eastAsia="Times New Roman" w:hAnsi="Arial Narrow" w:cs="Times New Roman"/>
          <w:b/>
          <w:color w:val="000000"/>
          <w:sz w:val="26"/>
          <w:szCs w:val="26"/>
          <w:lang w:val="es-MX"/>
        </w:rPr>
        <w:t xml:space="preserve"> de </w:t>
      </w:r>
      <w:proofErr w:type="gramStart"/>
      <w:r>
        <w:rPr>
          <w:rFonts w:ascii="Arial Narrow" w:eastAsia="Times New Roman" w:hAnsi="Arial Narrow" w:cs="Times New Roman"/>
          <w:b/>
          <w:color w:val="000000"/>
          <w:sz w:val="26"/>
          <w:szCs w:val="26"/>
          <w:lang w:val="es-MX"/>
        </w:rPr>
        <w:t>Noviembre</w:t>
      </w:r>
      <w:proofErr w:type="gramEnd"/>
      <w:r>
        <w:rPr>
          <w:rFonts w:ascii="Arial Narrow" w:eastAsia="Times New Roman" w:hAnsi="Arial Narrow" w:cs="Times New Roman"/>
          <w:b/>
          <w:color w:val="000000"/>
          <w:sz w:val="26"/>
          <w:szCs w:val="26"/>
          <w:lang w:val="es-MX"/>
        </w:rPr>
        <w:t xml:space="preserve"> </w:t>
      </w:r>
      <w:r w:rsidRPr="003E3237">
        <w:rPr>
          <w:rFonts w:ascii="Arial Narrow" w:eastAsia="Times New Roman" w:hAnsi="Arial Narrow" w:cs="Times New Roman"/>
          <w:b/>
          <w:color w:val="000000"/>
          <w:sz w:val="26"/>
          <w:szCs w:val="26"/>
          <w:lang w:val="es-MX"/>
        </w:rPr>
        <w:t>de 2019.</w:t>
      </w:r>
    </w:p>
    <w:p w:rsidR="00B44960" w:rsidRPr="003E3237" w:rsidRDefault="00B44960" w:rsidP="00B44960">
      <w:pPr>
        <w:jc w:val="both"/>
        <w:rPr>
          <w:rFonts w:ascii="Arial Narrow" w:eastAsia="Times New Roman" w:hAnsi="Arial Narrow" w:cs="Arial"/>
          <w:sz w:val="26"/>
          <w:szCs w:val="26"/>
          <w:lang w:val="es-MX"/>
        </w:rPr>
      </w:pPr>
    </w:p>
    <w:p w:rsidR="00B44960" w:rsidRPr="003E3237" w:rsidRDefault="00B44960" w:rsidP="00B44960">
      <w:pPr>
        <w:widowControl w:val="0"/>
        <w:jc w:val="both"/>
        <w:rPr>
          <w:rFonts w:ascii="Arial Narrow" w:eastAsia="Times New Roman" w:hAnsi="Arial Narrow" w:cs="Times New Roman"/>
          <w:color w:val="000000"/>
          <w:sz w:val="26"/>
          <w:szCs w:val="26"/>
          <w:lang w:val="es-MX"/>
        </w:rPr>
      </w:pPr>
      <w:bookmarkStart w:id="0" w:name="_Hlk525636216"/>
      <w:r w:rsidRPr="003E3237">
        <w:rPr>
          <w:rFonts w:ascii="Arial Narrow" w:eastAsia="Times New Roman" w:hAnsi="Arial Narrow" w:cs="Times New Roman"/>
          <w:color w:val="000000"/>
          <w:sz w:val="26"/>
          <w:szCs w:val="26"/>
          <w:lang w:val="es-MX"/>
        </w:rPr>
        <w:t xml:space="preserve">Turnada a la </w:t>
      </w:r>
      <w:r w:rsidRPr="003E3237">
        <w:rPr>
          <w:rFonts w:ascii="Arial Narrow" w:eastAsia="Times New Roman" w:hAnsi="Arial Narrow" w:cs="Times New Roman"/>
          <w:b/>
          <w:color w:val="000000"/>
          <w:sz w:val="26"/>
          <w:szCs w:val="26"/>
          <w:lang w:val="es-MX"/>
        </w:rPr>
        <w:t>Comisión de Gobernación, Puntos Constitucionales y Justicia.</w:t>
      </w:r>
    </w:p>
    <w:p w:rsidR="00B44960" w:rsidRPr="003E3237" w:rsidRDefault="00B44960" w:rsidP="00B44960">
      <w:pPr>
        <w:widowControl w:val="0"/>
        <w:jc w:val="both"/>
        <w:rPr>
          <w:rFonts w:ascii="Arial Narrow" w:eastAsia="Times New Roman" w:hAnsi="Arial Narrow" w:cs="Times New Roman"/>
          <w:color w:val="000000"/>
          <w:sz w:val="26"/>
          <w:szCs w:val="26"/>
          <w:lang w:val="es-MX"/>
        </w:rPr>
      </w:pPr>
    </w:p>
    <w:bookmarkEnd w:id="0"/>
    <w:p w:rsidR="00F66D33" w:rsidRPr="003E3237" w:rsidRDefault="00F66D33" w:rsidP="00F66D33">
      <w:p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b/>
          <w:color w:val="000000"/>
          <w:sz w:val="26"/>
          <w:szCs w:val="26"/>
          <w:lang w:val="es-MX"/>
        </w:rPr>
        <w:t>Lectura del Dictamen:</w:t>
      </w:r>
      <w:r>
        <w:rPr>
          <w:rFonts w:ascii="Arial Narrow" w:eastAsia="Times New Roman" w:hAnsi="Arial Narrow" w:cs="Times New Roman"/>
          <w:b/>
          <w:color w:val="000000"/>
          <w:sz w:val="26"/>
          <w:szCs w:val="26"/>
          <w:lang w:val="es-MX"/>
        </w:rPr>
        <w:t xml:space="preserve"> 18 de </w:t>
      </w:r>
      <w:proofErr w:type="gramStart"/>
      <w:r>
        <w:rPr>
          <w:rFonts w:ascii="Arial Narrow" w:eastAsia="Times New Roman" w:hAnsi="Arial Narrow" w:cs="Times New Roman"/>
          <w:b/>
          <w:color w:val="000000"/>
          <w:sz w:val="26"/>
          <w:szCs w:val="26"/>
          <w:lang w:val="es-MX"/>
        </w:rPr>
        <w:t>Marzo</w:t>
      </w:r>
      <w:proofErr w:type="gramEnd"/>
      <w:r>
        <w:rPr>
          <w:rFonts w:ascii="Arial Narrow" w:eastAsia="Times New Roman" w:hAnsi="Arial Narrow" w:cs="Times New Roman"/>
          <w:b/>
          <w:color w:val="000000"/>
          <w:sz w:val="26"/>
          <w:szCs w:val="26"/>
          <w:lang w:val="es-MX"/>
        </w:rPr>
        <w:t xml:space="preserve"> de 2020.</w:t>
      </w:r>
    </w:p>
    <w:p w:rsidR="00B44960" w:rsidRDefault="00B44960" w:rsidP="00B44960">
      <w:pPr>
        <w:jc w:val="both"/>
        <w:rPr>
          <w:rFonts w:ascii="Arial Narrow" w:eastAsia="Times New Roman" w:hAnsi="Arial Narrow" w:cs="Times New Roman"/>
          <w:b/>
          <w:color w:val="000000"/>
          <w:sz w:val="26"/>
          <w:szCs w:val="26"/>
          <w:lang w:val="es-MX"/>
        </w:rPr>
      </w:pPr>
    </w:p>
    <w:p w:rsidR="00B44960" w:rsidRDefault="00B44960" w:rsidP="00B44960">
      <w:pPr>
        <w:jc w:val="both"/>
        <w:rPr>
          <w:rFonts w:ascii="Arial Narrow" w:eastAsia="Times New Roman" w:hAnsi="Arial Narrow" w:cs="Times New Roman"/>
          <w:b/>
          <w:color w:val="000000"/>
          <w:sz w:val="26"/>
          <w:szCs w:val="26"/>
          <w:lang w:val="es-MX"/>
        </w:rPr>
      </w:pPr>
      <w:r>
        <w:rPr>
          <w:rFonts w:ascii="Arial Narrow" w:eastAsia="Times New Roman" w:hAnsi="Arial Narrow" w:cs="Times New Roman"/>
          <w:b/>
          <w:color w:val="000000"/>
          <w:sz w:val="26"/>
          <w:szCs w:val="26"/>
          <w:lang w:val="es-MX"/>
        </w:rPr>
        <w:t>Lectura de la Declaratoria:</w:t>
      </w:r>
    </w:p>
    <w:p w:rsidR="00B44960" w:rsidRPr="003E3237" w:rsidRDefault="00B44960" w:rsidP="00B44960">
      <w:pPr>
        <w:jc w:val="both"/>
        <w:rPr>
          <w:rFonts w:ascii="Arial Narrow" w:eastAsia="Times New Roman" w:hAnsi="Arial Narrow" w:cs="Times New Roman"/>
          <w:b/>
          <w:color w:val="000000"/>
          <w:sz w:val="26"/>
          <w:szCs w:val="26"/>
          <w:lang w:val="es-MX"/>
        </w:rPr>
      </w:pPr>
    </w:p>
    <w:p w:rsidR="00B44960" w:rsidRPr="003E3237" w:rsidRDefault="00B44960" w:rsidP="00B44960">
      <w:pPr>
        <w:ind w:left="1418" w:hanging="1418"/>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b/>
          <w:color w:val="000000"/>
          <w:sz w:val="26"/>
          <w:szCs w:val="26"/>
          <w:lang w:val="es-MX"/>
        </w:rPr>
        <w:t xml:space="preserve">Decreto No. </w:t>
      </w:r>
    </w:p>
    <w:p w:rsidR="00B44960" w:rsidRPr="003E3237" w:rsidRDefault="00B44960" w:rsidP="00B44960">
      <w:pPr>
        <w:ind w:left="1418" w:hanging="1418"/>
        <w:jc w:val="both"/>
        <w:rPr>
          <w:rFonts w:ascii="Arial Narrow" w:eastAsia="Times New Roman" w:hAnsi="Arial Narrow" w:cs="Times New Roman"/>
          <w:b/>
          <w:color w:val="000000"/>
          <w:sz w:val="26"/>
          <w:szCs w:val="26"/>
          <w:lang w:val="es-MX"/>
        </w:rPr>
      </w:pPr>
    </w:p>
    <w:p w:rsidR="00B44960" w:rsidRPr="003E3237" w:rsidRDefault="00B44960" w:rsidP="00B44960">
      <w:pPr>
        <w:ind w:right="-660"/>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Publicación en el Periódico Oficial del Gobierno del Estado:</w:t>
      </w:r>
    </w:p>
    <w:p w:rsidR="00B44960" w:rsidRPr="003E3237" w:rsidRDefault="00B44960" w:rsidP="00B44960">
      <w:pPr>
        <w:jc w:val="both"/>
        <w:rPr>
          <w:rFonts w:eastAsia="Times New Roman" w:cs="Times New Roman"/>
          <w:b/>
          <w:sz w:val="26"/>
          <w:szCs w:val="26"/>
          <w:lang w:val="es-MX"/>
        </w:rPr>
      </w:pPr>
    </w:p>
    <w:p w:rsidR="00B44960" w:rsidRPr="003E3237" w:rsidRDefault="00B44960" w:rsidP="00B44960">
      <w:pPr>
        <w:jc w:val="both"/>
        <w:rPr>
          <w:rFonts w:eastAsia="Times New Roman" w:cs="Times New Roman"/>
          <w:sz w:val="26"/>
          <w:szCs w:val="26"/>
          <w:lang w:val="es-MX"/>
        </w:rPr>
      </w:pPr>
    </w:p>
    <w:p w:rsidR="00614479" w:rsidRPr="00B44960" w:rsidRDefault="00614479" w:rsidP="00614479">
      <w:pPr>
        <w:jc w:val="both"/>
        <w:rPr>
          <w:rFonts w:eastAsia="Times New Roman" w:cs="Arial"/>
          <w:b/>
          <w:sz w:val="24"/>
          <w:szCs w:val="24"/>
          <w:lang w:val="es-MX"/>
        </w:rPr>
      </w:pPr>
    </w:p>
    <w:p w:rsidR="00732857" w:rsidRDefault="00732857" w:rsidP="00614479">
      <w:pPr>
        <w:jc w:val="both"/>
        <w:rPr>
          <w:rFonts w:eastAsia="Times New Roman" w:cs="Arial"/>
          <w:b/>
          <w:sz w:val="24"/>
          <w:szCs w:val="24"/>
          <w:lang w:val="es-ES"/>
        </w:rPr>
      </w:pPr>
    </w:p>
    <w:p w:rsidR="00732857" w:rsidRDefault="00732857" w:rsidP="00614479">
      <w:pPr>
        <w:jc w:val="both"/>
        <w:rPr>
          <w:rFonts w:eastAsia="Times New Roman" w:cs="Arial"/>
          <w:b/>
          <w:sz w:val="24"/>
          <w:szCs w:val="24"/>
          <w:lang w:val="es-ES"/>
        </w:rPr>
      </w:pPr>
    </w:p>
    <w:p w:rsidR="00732857" w:rsidRDefault="00732857" w:rsidP="00614479">
      <w:pPr>
        <w:jc w:val="both"/>
        <w:rPr>
          <w:rFonts w:eastAsia="Times New Roman" w:cs="Arial"/>
          <w:b/>
          <w:sz w:val="24"/>
          <w:szCs w:val="24"/>
          <w:lang w:val="es-ES"/>
        </w:rPr>
      </w:pPr>
    </w:p>
    <w:p w:rsidR="00B44960" w:rsidRDefault="00B44960" w:rsidP="00AF1100">
      <w:pPr>
        <w:jc w:val="both"/>
        <w:rPr>
          <w:b/>
        </w:rPr>
      </w:pPr>
    </w:p>
    <w:p w:rsidR="00B44960" w:rsidRDefault="00B44960">
      <w:pPr>
        <w:spacing w:after="200" w:line="276" w:lineRule="auto"/>
        <w:rPr>
          <w:b/>
        </w:rPr>
      </w:pPr>
      <w:r>
        <w:rPr>
          <w:b/>
        </w:rPr>
        <w:br w:type="page"/>
      </w:r>
    </w:p>
    <w:p w:rsidR="00AF1100" w:rsidRDefault="00AF1100" w:rsidP="00AF1100">
      <w:pPr>
        <w:jc w:val="both"/>
        <w:rPr>
          <w:b/>
        </w:rPr>
      </w:pPr>
      <w:r w:rsidRPr="002C24FB">
        <w:rPr>
          <w:b/>
        </w:rPr>
        <w:lastRenderedPageBreak/>
        <w:t>DIPUTADA ELISA CATALINA VIL</w:t>
      </w:r>
      <w:r>
        <w:rPr>
          <w:b/>
        </w:rPr>
        <w:t xml:space="preserve">LALOBOS </w:t>
      </w:r>
      <w:proofErr w:type="gramStart"/>
      <w:r>
        <w:rPr>
          <w:b/>
        </w:rPr>
        <w:t>HERNÁNDEZ,</w:t>
      </w:r>
      <w:r w:rsidR="00517508">
        <w:rPr>
          <w:b/>
        </w:rPr>
        <w:t xml:space="preserve"> </w:t>
      </w:r>
      <w:r w:rsidR="00517508" w:rsidRPr="00517508">
        <w:rPr>
          <w:b/>
        </w:rPr>
        <w:t xml:space="preserve"> </w:t>
      </w:r>
      <w:r w:rsidR="00517508" w:rsidRPr="002C24FB">
        <w:rPr>
          <w:b/>
        </w:rPr>
        <w:t>DE</w:t>
      </w:r>
      <w:proofErr w:type="gramEnd"/>
      <w:r w:rsidR="00517508">
        <w:rPr>
          <w:b/>
        </w:rPr>
        <w:t xml:space="preserve"> </w:t>
      </w:r>
      <w:r w:rsidR="00517508" w:rsidRPr="002C24FB">
        <w:rPr>
          <w:b/>
        </w:rPr>
        <w:t>L</w:t>
      </w:r>
      <w:r w:rsidR="00517508">
        <w:rPr>
          <w:b/>
        </w:rPr>
        <w:t>A</w:t>
      </w:r>
      <w:r w:rsidR="00517508" w:rsidRPr="002C24FB">
        <w:rPr>
          <w:b/>
        </w:rPr>
        <w:t xml:space="preserve"> </w:t>
      </w:r>
      <w:r w:rsidR="00517508">
        <w:rPr>
          <w:b/>
        </w:rPr>
        <w:t>FRACCION</w:t>
      </w:r>
      <w:r w:rsidR="00517508" w:rsidRPr="002C24FB">
        <w:rPr>
          <w:b/>
        </w:rPr>
        <w:t xml:space="preserve"> PAR</w:t>
      </w:r>
      <w:r w:rsidR="00517508">
        <w:rPr>
          <w:b/>
        </w:rPr>
        <w:t>LAMENTARIA PRESIDENTE BENITO JUÁ</w:t>
      </w:r>
      <w:r w:rsidR="00517508" w:rsidRPr="002C24FB">
        <w:rPr>
          <w:b/>
        </w:rPr>
        <w:t>REZ GARC</w:t>
      </w:r>
      <w:r w:rsidR="00517508">
        <w:rPr>
          <w:b/>
        </w:rPr>
        <w:t>Í</w:t>
      </w:r>
      <w:r w:rsidR="00517508" w:rsidRPr="002C24FB">
        <w:rPr>
          <w:b/>
        </w:rPr>
        <w:t xml:space="preserve">A, DEL  PARTIDO MOVIMIENTO DE REGENERACIÓN NACIONAL (MORENA), </w:t>
      </w:r>
      <w:r w:rsidR="00517508">
        <w:rPr>
          <w:b/>
        </w:rPr>
        <w:t>I</w:t>
      </w:r>
      <w:r w:rsidRPr="002C24FB">
        <w:rPr>
          <w:b/>
        </w:rPr>
        <w:t>NICIATIVA CON PROY</w:t>
      </w:r>
      <w:r w:rsidR="00517508">
        <w:rPr>
          <w:b/>
        </w:rPr>
        <w:t xml:space="preserve">ECTO DE DECRETO </w:t>
      </w:r>
      <w:r>
        <w:rPr>
          <w:b/>
        </w:rPr>
        <w:t xml:space="preserve"> PARA REFORMAR Y DEROGAR DIVERSAS DISPOSICIONES DE LA CONSTITUCIÓN POLÍTICA DEL ESTADO, RELATIVAS A LAS FACULTADES DEL TITULAR DEL PODER EJECUTIVO DEL ESTADO.</w:t>
      </w:r>
    </w:p>
    <w:p w:rsidR="00AF1100" w:rsidRDefault="00AF1100" w:rsidP="00AF1100">
      <w:pPr>
        <w:jc w:val="both"/>
        <w:rPr>
          <w:b/>
        </w:rPr>
      </w:pPr>
    </w:p>
    <w:p w:rsidR="00AF1100" w:rsidRDefault="00AF1100" w:rsidP="00AF1100">
      <w:pPr>
        <w:jc w:val="both"/>
        <w:rPr>
          <w:b/>
        </w:rPr>
      </w:pPr>
    </w:p>
    <w:p w:rsidR="00AF1100" w:rsidRDefault="00AF1100" w:rsidP="00AF1100">
      <w:pPr>
        <w:jc w:val="both"/>
      </w:pPr>
      <w:r>
        <w:t>Honorable Asamblea Legislativa:</w:t>
      </w:r>
    </w:p>
    <w:p w:rsidR="00AF1100" w:rsidRDefault="00AF1100" w:rsidP="00AF1100">
      <w:pPr>
        <w:jc w:val="both"/>
      </w:pPr>
    </w:p>
    <w:p w:rsidR="00AF1100" w:rsidRDefault="00AF1100" w:rsidP="00AF1100">
      <w:pPr>
        <w:jc w:val="both"/>
      </w:pPr>
      <w:r w:rsidRPr="00BD6104">
        <w:t>Con fundamento</w:t>
      </w:r>
      <w:r>
        <w:t xml:space="preserve"> en el artículo 196, fracción I</w:t>
      </w:r>
      <w:r w:rsidRPr="00BD6104">
        <w:t>, de la Constitución Política del E</w:t>
      </w:r>
      <w:r>
        <w:t>stado</w:t>
      </w:r>
      <w:r w:rsidRPr="00BD6104">
        <w:t>, la suscrita, DIPUTADA ELISA CATALINA VILLALOBOS HER</w:t>
      </w:r>
      <w:r>
        <w:t>NÁNDEZ,</w:t>
      </w:r>
      <w:r w:rsidRPr="00BD6104">
        <w:t xml:space="preserve"> del Partido Movimiento de </w:t>
      </w:r>
      <w:r>
        <w:t>Regeneración Nacional (MORENA), respetuosamente comparezco</w:t>
      </w:r>
      <w:r w:rsidRPr="00BD6104">
        <w:t xml:space="preserve"> para presentar Iniciativa </w:t>
      </w:r>
      <w:r>
        <w:t>con Proyecto de Decreto, que reforma y deroga diversas disposiciones de la Constitución Política del Estado relativas a las facultades del Titular del Poder Ejecutivo del Estado.</w:t>
      </w:r>
    </w:p>
    <w:p w:rsidR="00AF1100" w:rsidRDefault="00AF1100" w:rsidP="00AF1100">
      <w:pPr>
        <w:jc w:val="both"/>
      </w:pPr>
    </w:p>
    <w:p w:rsidR="00AF1100" w:rsidRDefault="00AF1100" w:rsidP="00AF1100">
      <w:pPr>
        <w:jc w:val="both"/>
      </w:pPr>
      <w:r>
        <w:t>Sustento mi Iniciativa al tenor de</w:t>
      </w:r>
      <w:r w:rsidRPr="00BD6104">
        <w:t xml:space="preserve"> la siguiente</w:t>
      </w:r>
    </w:p>
    <w:p w:rsidR="00AF1100" w:rsidRDefault="00AF1100" w:rsidP="00AF1100">
      <w:pPr>
        <w:jc w:val="both"/>
      </w:pPr>
    </w:p>
    <w:p w:rsidR="00AF1100" w:rsidRDefault="00AF1100" w:rsidP="00AF1100">
      <w:pPr>
        <w:jc w:val="both"/>
      </w:pPr>
    </w:p>
    <w:p w:rsidR="00AF1100" w:rsidRDefault="00AF1100" w:rsidP="00AF1100">
      <w:pPr>
        <w:jc w:val="both"/>
      </w:pPr>
    </w:p>
    <w:p w:rsidR="00AF1100" w:rsidRPr="00227D2F" w:rsidRDefault="00AF1100" w:rsidP="00AF1100">
      <w:pPr>
        <w:jc w:val="center"/>
        <w:rPr>
          <w:b/>
        </w:rPr>
      </w:pPr>
      <w:r w:rsidRPr="00227D2F">
        <w:rPr>
          <w:b/>
        </w:rPr>
        <w:t>EXPOSICIÓN DE MOTIVOS</w:t>
      </w:r>
    </w:p>
    <w:p w:rsidR="00AF1100" w:rsidRDefault="00AF1100" w:rsidP="00AF1100">
      <w:pPr>
        <w:jc w:val="both"/>
      </w:pPr>
    </w:p>
    <w:p w:rsidR="00AF1100" w:rsidRDefault="00AF1100" w:rsidP="00AF1100">
      <w:pPr>
        <w:jc w:val="both"/>
      </w:pPr>
    </w:p>
    <w:p w:rsidR="00AF1100" w:rsidRDefault="00AF1100" w:rsidP="00AF1100">
      <w:pPr>
        <w:jc w:val="both"/>
      </w:pPr>
      <w:r>
        <w:t>Actualmente la fracción XIX del artículo 82 establece que es facultad del Gobernador (y cito) “</w:t>
      </w:r>
      <w:r w:rsidRPr="000C50CC">
        <w:t>Organizar y disciplinar la Guardia Nacional y demás fuerzas del Estado y ejercer, respecto de unas y otras, las atribuciones que determinen las leyes y reglamentos respectivos.</w:t>
      </w:r>
      <w:r>
        <w:t>”</w:t>
      </w:r>
    </w:p>
    <w:p w:rsidR="00AF1100" w:rsidRDefault="00AF1100" w:rsidP="00AF1100">
      <w:pPr>
        <w:jc w:val="both"/>
      </w:pPr>
    </w:p>
    <w:p w:rsidR="00AF1100" w:rsidRDefault="00AF1100" w:rsidP="00AF1100">
      <w:pPr>
        <w:jc w:val="both"/>
      </w:pPr>
      <w:r>
        <w:t>Con la reforma a la Constitución Federal que permitió la creación de la Guardia Nacional, la disposición anterior ya no tiene aplicación, por lo que se propone derogarla.</w:t>
      </w:r>
    </w:p>
    <w:p w:rsidR="00AF1100" w:rsidRDefault="00AF1100" w:rsidP="00AF1100">
      <w:pPr>
        <w:jc w:val="both"/>
      </w:pPr>
    </w:p>
    <w:p w:rsidR="00AF1100" w:rsidRDefault="00AF1100" w:rsidP="00AF1100">
      <w:pPr>
        <w:jc w:val="both"/>
      </w:pPr>
      <w:r>
        <w:t>Ahora bien, la fracción XXIX del mismo artículo establece (y cito) “</w:t>
      </w:r>
      <w:r w:rsidRPr="00642A3E">
        <w:t>Emitir lineamientos y normatividad aplicable a la contabilidad gubernamental.</w:t>
      </w:r>
      <w:r>
        <w:t xml:space="preserve">” </w:t>
      </w:r>
    </w:p>
    <w:p w:rsidR="00AF1100" w:rsidRDefault="00AF1100" w:rsidP="00AF1100">
      <w:pPr>
        <w:jc w:val="both"/>
      </w:pPr>
    </w:p>
    <w:p w:rsidR="00AF1100" w:rsidRDefault="00AF1100" w:rsidP="00AF1100">
      <w:pPr>
        <w:jc w:val="both"/>
      </w:pPr>
      <w:r>
        <w:t>Esta disposición debe ser reformada pues con la expedición de la Ley de Disciplina Financiera para las Entidades Federativas y los Municipios y la Ley General de Contabilidad Gubernamental, los lineamientos y la normatividad aplicable en materia de contabilidad gubernamental ya no es una facultad discrecional del Titular del Poder Ejecutivo, sino que debe sujetarse a lo que disponen estas leyes.</w:t>
      </w:r>
    </w:p>
    <w:p w:rsidR="00AF1100" w:rsidRDefault="00AF1100" w:rsidP="00AF1100">
      <w:pPr>
        <w:jc w:val="both"/>
      </w:pPr>
    </w:p>
    <w:p w:rsidR="00AF1100" w:rsidRDefault="00AF1100" w:rsidP="00AF1100">
      <w:pPr>
        <w:jc w:val="both"/>
      </w:pPr>
      <w:r>
        <w:t>Así las cosas, se propone reformar esa fracción para señalar que esa facultad se ejercerá en los términos que dispongan las leyes federales y locales en la materia.</w:t>
      </w:r>
    </w:p>
    <w:p w:rsidR="00AF1100" w:rsidRDefault="00AF1100" w:rsidP="00AF1100">
      <w:pPr>
        <w:jc w:val="both"/>
      </w:pPr>
    </w:p>
    <w:p w:rsidR="00AF1100" w:rsidRDefault="00AF1100" w:rsidP="00AF1100">
      <w:pPr>
        <w:jc w:val="both"/>
      </w:pPr>
      <w:r>
        <w:t>Por otro lado, se propone reformar las fracciones I y X del artículo 84, relativas a los deberes del Gobernador con el objeto de actualizar la terminología vigente. En el primer caso, la fracción I dispone: “</w:t>
      </w:r>
      <w:r w:rsidRPr="001242CA">
        <w:t>Llevar las relaciones entre el Estado y los Gobiernos General y de los Estados.</w:t>
      </w:r>
      <w:r>
        <w:t>” Se propone sustituir el término “General” por el de “Federal”, pues un Gobierno General es más propio de un sistema centralista que de una República Federal.</w:t>
      </w:r>
    </w:p>
    <w:p w:rsidR="00AF1100" w:rsidRDefault="00AF1100" w:rsidP="00AF1100">
      <w:pPr>
        <w:jc w:val="both"/>
      </w:pPr>
    </w:p>
    <w:p w:rsidR="00AF1100" w:rsidRDefault="00AF1100" w:rsidP="00AF1100">
      <w:pPr>
        <w:jc w:val="both"/>
      </w:pPr>
      <w:r>
        <w:t>En el segundo caso, relativo a la fracción X, se propone sustituir la porción normativa que dice “haciendo respetar las garantías individuales,” para sustituirla por “garantizando el respeto de los derechos humanos.”</w:t>
      </w:r>
    </w:p>
    <w:p w:rsidR="00AF1100" w:rsidRDefault="00AF1100" w:rsidP="00AF1100">
      <w:pPr>
        <w:jc w:val="both"/>
      </w:pPr>
    </w:p>
    <w:p w:rsidR="00AF1100" w:rsidRDefault="00AF1100" w:rsidP="00AF1100">
      <w:pPr>
        <w:jc w:val="both"/>
      </w:pPr>
      <w:r>
        <w:t>Finalmente, se propone derogar las fracciones VII y XXV del artículo 82 pues, en nuestra opinión, estas disposiciones que tienen cien años ya no resultan aplicables. En el primer caso, la fracción VII establece, como facultades del Gobernador “n</w:t>
      </w:r>
      <w:r w:rsidRPr="007C13C8">
        <w:t>ombrar, cuando lo crea conveniente, personas de su confianza para que informen si en los pueblos del Es</w:t>
      </w:r>
      <w:r>
        <w:t>tado se observan la Constitució</w:t>
      </w:r>
      <w:r w:rsidRPr="007C13C8">
        <w:t>n y las leyes.</w:t>
      </w:r>
      <w:r>
        <w:t xml:space="preserve">” </w:t>
      </w:r>
    </w:p>
    <w:p w:rsidR="00AF1100" w:rsidRDefault="00AF1100" w:rsidP="00AF1100">
      <w:pPr>
        <w:jc w:val="both"/>
      </w:pPr>
    </w:p>
    <w:p w:rsidR="00AF1100" w:rsidRDefault="00AF1100" w:rsidP="00AF1100">
      <w:pPr>
        <w:jc w:val="both"/>
      </w:pPr>
      <w:r>
        <w:t>La anterior disposición tenía sentido cuando las vías de comunicación eran escasas y los medios de comunicación eran rudimentarios, pero eso ha sido superado, por lo que no existe ninguna razón ni fundamento para que el Ejecutivo, de manera discrecional y utilizando “personas de su confianza· pueda expedir tales nombramientos.</w:t>
      </w:r>
    </w:p>
    <w:p w:rsidR="00AF1100" w:rsidRDefault="00AF1100" w:rsidP="00AF1100">
      <w:pPr>
        <w:jc w:val="both"/>
      </w:pPr>
    </w:p>
    <w:p w:rsidR="00AF1100" w:rsidRDefault="00AF1100" w:rsidP="00AF1100">
      <w:pPr>
        <w:jc w:val="both"/>
      </w:pPr>
      <w:r>
        <w:lastRenderedPageBreak/>
        <w:t>En el segundo caso, relativo a la fracción XXV, se establece como facultad del Gobernador (y cito) “Ejercer la superior inspecció</w:t>
      </w:r>
      <w:r w:rsidRPr="007E5D82">
        <w:t>n en todo</w:t>
      </w:r>
      <w:r>
        <w:t>s los ramos de la Administración Pú</w:t>
      </w:r>
      <w:r w:rsidRPr="007E5D82">
        <w:t>blica y de la Beneficencia Privada.</w:t>
      </w:r>
      <w:r>
        <w:t>” Por principio de cuentas, el titular del Poder Ejecutivo es responsable de todos los ramos de la Administración Pública Estatal, como lo señalan diversas normas de rango constitucional, por lo que resulta innecesario reiterarlo. Por otro lado, la referencia a la Beneficencia Privada resulta obsoleta.</w:t>
      </w:r>
    </w:p>
    <w:p w:rsidR="00AF1100" w:rsidRDefault="00AF1100" w:rsidP="00AF1100">
      <w:pPr>
        <w:jc w:val="both"/>
      </w:pPr>
    </w:p>
    <w:p w:rsidR="00AF1100" w:rsidRDefault="00AF1100" w:rsidP="00AF1100">
      <w:pPr>
        <w:jc w:val="both"/>
      </w:pPr>
    </w:p>
    <w:p w:rsidR="00AF1100" w:rsidRDefault="00AF1100" w:rsidP="00AF1100">
      <w:pPr>
        <w:jc w:val="both"/>
      </w:pPr>
      <w:r>
        <w:t xml:space="preserve">Por las razones expuestas, someto a la consideración de esta honorable asamblea, a efecto de que se le </w:t>
      </w:r>
      <w:r w:rsidR="00517508">
        <w:t>dé</w:t>
      </w:r>
      <w:r>
        <w:t xml:space="preserve"> el trámite que corresponda, la siguiente:</w:t>
      </w:r>
    </w:p>
    <w:p w:rsidR="00AF1100" w:rsidRDefault="00AF1100" w:rsidP="00AF1100">
      <w:pPr>
        <w:jc w:val="both"/>
      </w:pPr>
    </w:p>
    <w:p w:rsidR="00AF1100" w:rsidRDefault="00AF1100" w:rsidP="00AF1100">
      <w:pPr>
        <w:jc w:val="both"/>
      </w:pPr>
    </w:p>
    <w:p w:rsidR="00AF1100" w:rsidRDefault="00AF1100" w:rsidP="00AF1100">
      <w:pPr>
        <w:jc w:val="center"/>
        <w:rPr>
          <w:b/>
        </w:rPr>
      </w:pPr>
      <w:r>
        <w:rPr>
          <w:b/>
        </w:rPr>
        <w:t>INICIATIVA CON PROYECTO DE DECRETO</w:t>
      </w:r>
    </w:p>
    <w:p w:rsidR="00AF1100" w:rsidRDefault="00AF1100" w:rsidP="00AF1100">
      <w:pPr>
        <w:rPr>
          <w:b/>
        </w:rPr>
      </w:pPr>
    </w:p>
    <w:p w:rsidR="00AF1100" w:rsidRDefault="00AF1100" w:rsidP="00AF1100">
      <w:pPr>
        <w:rPr>
          <w:b/>
        </w:rPr>
      </w:pPr>
    </w:p>
    <w:p w:rsidR="00AF1100" w:rsidRDefault="00AF1100" w:rsidP="00AF1100">
      <w:pPr>
        <w:jc w:val="both"/>
      </w:pPr>
      <w:r>
        <w:rPr>
          <w:b/>
        </w:rPr>
        <w:t xml:space="preserve">ÚNICO: </w:t>
      </w:r>
      <w:r>
        <w:t>Se reforman los artículos 82, fracción XXIX y 84, fracciones I y X, y se derogan las fracciones VII, XIX y XXV del artículo 82, de la Constitución Política del Estado de Coahuila de Zaragoza, para quedar como sigue:</w:t>
      </w:r>
    </w:p>
    <w:p w:rsidR="00AF1100" w:rsidRDefault="00AF1100" w:rsidP="00AF1100">
      <w:pPr>
        <w:jc w:val="both"/>
      </w:pPr>
    </w:p>
    <w:p w:rsidR="00AF1100" w:rsidRDefault="00AF1100" w:rsidP="00AF1100">
      <w:pPr>
        <w:jc w:val="both"/>
      </w:pPr>
      <w:r>
        <w:rPr>
          <w:b/>
        </w:rPr>
        <w:t xml:space="preserve">Artículo 82. </w:t>
      </w:r>
      <w:r>
        <w:t xml:space="preserve">- - - - - - </w:t>
      </w:r>
    </w:p>
    <w:p w:rsidR="00AF1100" w:rsidRDefault="00AF1100" w:rsidP="00AF1100">
      <w:pPr>
        <w:jc w:val="both"/>
      </w:pPr>
    </w:p>
    <w:p w:rsidR="00AF1100" w:rsidRDefault="00AF1100" w:rsidP="00AF1100">
      <w:pPr>
        <w:jc w:val="both"/>
      </w:pPr>
      <w:r w:rsidRPr="00552F02">
        <w:rPr>
          <w:b/>
        </w:rPr>
        <w:t>I</w:t>
      </w:r>
      <w:r>
        <w:rPr>
          <w:b/>
        </w:rPr>
        <w:t xml:space="preserve"> </w:t>
      </w:r>
      <w:r>
        <w:t xml:space="preserve">a la </w:t>
      </w:r>
      <w:r>
        <w:rPr>
          <w:b/>
        </w:rPr>
        <w:t>VI</w:t>
      </w:r>
      <w:r>
        <w:t xml:space="preserve"> - - - - - -</w:t>
      </w:r>
    </w:p>
    <w:p w:rsidR="00AF1100" w:rsidRDefault="00AF1100" w:rsidP="00AF1100">
      <w:pPr>
        <w:jc w:val="both"/>
      </w:pPr>
    </w:p>
    <w:p w:rsidR="00AF1100" w:rsidRDefault="00AF1100" w:rsidP="00AF1100">
      <w:pPr>
        <w:jc w:val="both"/>
      </w:pPr>
      <w:r>
        <w:rPr>
          <w:b/>
        </w:rPr>
        <w:t>V</w:t>
      </w:r>
      <w:r w:rsidRPr="00552F02">
        <w:rPr>
          <w:b/>
        </w:rPr>
        <w:t>II.</w:t>
      </w:r>
      <w:r>
        <w:rPr>
          <w:b/>
        </w:rPr>
        <w:t xml:space="preserve"> Derogada</w:t>
      </w:r>
      <w:r>
        <w:t xml:space="preserve"> </w:t>
      </w:r>
    </w:p>
    <w:p w:rsidR="00AF1100" w:rsidRDefault="00AF1100" w:rsidP="00AF1100">
      <w:pPr>
        <w:jc w:val="both"/>
      </w:pPr>
    </w:p>
    <w:p w:rsidR="00AF1100" w:rsidRDefault="00AF1100" w:rsidP="00AF1100">
      <w:pPr>
        <w:jc w:val="both"/>
      </w:pPr>
      <w:r>
        <w:rPr>
          <w:b/>
        </w:rPr>
        <w:t xml:space="preserve">VIII </w:t>
      </w:r>
      <w:r>
        <w:t xml:space="preserve">a la </w:t>
      </w:r>
      <w:r>
        <w:rPr>
          <w:b/>
        </w:rPr>
        <w:t>XVIII.</w:t>
      </w:r>
      <w:r>
        <w:t xml:space="preserve"> - - - - - -</w:t>
      </w:r>
    </w:p>
    <w:p w:rsidR="00AF1100" w:rsidRDefault="00AF1100" w:rsidP="00AF1100">
      <w:pPr>
        <w:jc w:val="both"/>
      </w:pPr>
    </w:p>
    <w:p w:rsidR="00AF1100" w:rsidRDefault="00AF1100" w:rsidP="00AF1100">
      <w:pPr>
        <w:jc w:val="both"/>
        <w:rPr>
          <w:b/>
        </w:rPr>
      </w:pPr>
      <w:r>
        <w:rPr>
          <w:b/>
        </w:rPr>
        <w:t>XIX. Derogada</w:t>
      </w:r>
    </w:p>
    <w:p w:rsidR="00AF1100" w:rsidRDefault="00AF1100" w:rsidP="00AF1100">
      <w:pPr>
        <w:jc w:val="both"/>
        <w:rPr>
          <w:b/>
        </w:rPr>
      </w:pPr>
    </w:p>
    <w:p w:rsidR="00AF1100" w:rsidRDefault="00AF1100" w:rsidP="00AF1100">
      <w:pPr>
        <w:jc w:val="both"/>
      </w:pPr>
      <w:r>
        <w:rPr>
          <w:b/>
        </w:rPr>
        <w:t xml:space="preserve">XX </w:t>
      </w:r>
      <w:r>
        <w:t xml:space="preserve">a la </w:t>
      </w:r>
      <w:r>
        <w:rPr>
          <w:b/>
        </w:rPr>
        <w:t xml:space="preserve">XXIV. </w:t>
      </w:r>
      <w:r>
        <w:t>- - - - - -</w:t>
      </w:r>
    </w:p>
    <w:p w:rsidR="00AF1100" w:rsidRDefault="00AF1100" w:rsidP="00AF1100">
      <w:pPr>
        <w:jc w:val="both"/>
      </w:pPr>
    </w:p>
    <w:p w:rsidR="00AF1100" w:rsidRDefault="00AF1100" w:rsidP="00AF1100">
      <w:pPr>
        <w:jc w:val="both"/>
        <w:rPr>
          <w:b/>
        </w:rPr>
      </w:pPr>
      <w:r>
        <w:rPr>
          <w:b/>
        </w:rPr>
        <w:t>XXV. Derogada</w:t>
      </w:r>
    </w:p>
    <w:p w:rsidR="00AF1100" w:rsidRDefault="00AF1100" w:rsidP="00AF1100">
      <w:pPr>
        <w:jc w:val="both"/>
        <w:rPr>
          <w:b/>
        </w:rPr>
      </w:pPr>
    </w:p>
    <w:p w:rsidR="00AF1100" w:rsidRDefault="00AF1100" w:rsidP="00AF1100">
      <w:pPr>
        <w:jc w:val="both"/>
      </w:pPr>
      <w:r>
        <w:rPr>
          <w:b/>
        </w:rPr>
        <w:t xml:space="preserve">XXVI </w:t>
      </w:r>
      <w:r>
        <w:t xml:space="preserve">a la </w:t>
      </w:r>
      <w:r>
        <w:rPr>
          <w:b/>
        </w:rPr>
        <w:t xml:space="preserve">XXVIII. </w:t>
      </w:r>
      <w:r>
        <w:t>- - - - - -</w:t>
      </w:r>
    </w:p>
    <w:p w:rsidR="00AF1100" w:rsidRDefault="00AF1100" w:rsidP="00AF1100">
      <w:pPr>
        <w:jc w:val="both"/>
      </w:pPr>
    </w:p>
    <w:p w:rsidR="00AF1100" w:rsidRDefault="00AF1100" w:rsidP="00AF1100">
      <w:pPr>
        <w:jc w:val="both"/>
        <w:rPr>
          <w:b/>
        </w:rPr>
      </w:pPr>
      <w:r>
        <w:rPr>
          <w:b/>
        </w:rPr>
        <w:lastRenderedPageBreak/>
        <w:t xml:space="preserve">XXIX. </w:t>
      </w:r>
      <w:r>
        <w:t xml:space="preserve">Emitir lineamientos y normatividad aplicable a la contabilidad gubernamental </w:t>
      </w:r>
      <w:r>
        <w:rPr>
          <w:b/>
        </w:rPr>
        <w:t>en los términos que dispongan las leyes federales y locales en la materia.</w:t>
      </w:r>
    </w:p>
    <w:p w:rsidR="00AF1100" w:rsidRDefault="00AF1100" w:rsidP="00AF1100">
      <w:pPr>
        <w:jc w:val="both"/>
        <w:rPr>
          <w:b/>
        </w:rPr>
      </w:pPr>
    </w:p>
    <w:p w:rsidR="00AF1100" w:rsidRDefault="00AF1100" w:rsidP="00AF1100">
      <w:pPr>
        <w:jc w:val="both"/>
      </w:pPr>
      <w:r>
        <w:rPr>
          <w:b/>
        </w:rPr>
        <w:t xml:space="preserve">XXX. </w:t>
      </w:r>
      <w:r>
        <w:t>- - - - - - -</w:t>
      </w:r>
    </w:p>
    <w:p w:rsidR="00AF1100" w:rsidRDefault="00AF1100" w:rsidP="00AF1100">
      <w:pPr>
        <w:jc w:val="both"/>
      </w:pPr>
    </w:p>
    <w:p w:rsidR="00AF1100" w:rsidRPr="00417C67" w:rsidRDefault="00AF1100" w:rsidP="00AF1100">
      <w:pPr>
        <w:jc w:val="both"/>
      </w:pPr>
    </w:p>
    <w:p w:rsidR="00AF1100" w:rsidRDefault="00AF1100" w:rsidP="00AF1100">
      <w:pPr>
        <w:jc w:val="both"/>
      </w:pPr>
    </w:p>
    <w:p w:rsidR="00AF1100" w:rsidRDefault="00AF1100" w:rsidP="00AF1100">
      <w:pPr>
        <w:jc w:val="both"/>
      </w:pPr>
      <w:r>
        <w:rPr>
          <w:b/>
        </w:rPr>
        <w:t xml:space="preserve">Artículo 84. </w:t>
      </w:r>
      <w:r>
        <w:t xml:space="preserve">- - - - - - </w:t>
      </w:r>
    </w:p>
    <w:p w:rsidR="00AF1100" w:rsidRDefault="00AF1100" w:rsidP="00AF1100">
      <w:pPr>
        <w:jc w:val="both"/>
      </w:pPr>
    </w:p>
    <w:p w:rsidR="00AF1100" w:rsidRDefault="00AF1100" w:rsidP="00AF1100">
      <w:pPr>
        <w:jc w:val="both"/>
      </w:pPr>
      <w:r w:rsidRPr="00552F02">
        <w:rPr>
          <w:b/>
        </w:rPr>
        <w:t>I.</w:t>
      </w:r>
      <w:r>
        <w:t xml:space="preserve"> </w:t>
      </w:r>
      <w:r w:rsidRPr="001242CA">
        <w:t xml:space="preserve">Llevar las relaciones entre </w:t>
      </w:r>
      <w:r>
        <w:t xml:space="preserve">el Estado y los Gobiernos </w:t>
      </w:r>
      <w:r>
        <w:rPr>
          <w:b/>
        </w:rPr>
        <w:t>Federal</w:t>
      </w:r>
      <w:r w:rsidRPr="001242CA">
        <w:t xml:space="preserve"> y de los Estados.</w:t>
      </w:r>
    </w:p>
    <w:p w:rsidR="00AF1100" w:rsidRDefault="00AF1100" w:rsidP="00AF1100">
      <w:pPr>
        <w:jc w:val="both"/>
      </w:pPr>
    </w:p>
    <w:p w:rsidR="00AF1100" w:rsidRDefault="00AF1100" w:rsidP="00AF1100">
      <w:pPr>
        <w:jc w:val="both"/>
      </w:pPr>
      <w:r w:rsidRPr="00552F02">
        <w:rPr>
          <w:b/>
        </w:rPr>
        <w:t>I</w:t>
      </w:r>
      <w:r>
        <w:rPr>
          <w:b/>
        </w:rPr>
        <w:t xml:space="preserve">I </w:t>
      </w:r>
      <w:r>
        <w:t xml:space="preserve">a la </w:t>
      </w:r>
      <w:r>
        <w:rPr>
          <w:b/>
        </w:rPr>
        <w:t>IX</w:t>
      </w:r>
      <w:r>
        <w:t xml:space="preserve"> - - - - - -</w:t>
      </w:r>
    </w:p>
    <w:p w:rsidR="00AF1100" w:rsidRDefault="00AF1100" w:rsidP="00AF1100">
      <w:pPr>
        <w:jc w:val="both"/>
      </w:pPr>
    </w:p>
    <w:p w:rsidR="00AF1100" w:rsidRDefault="00AF1100" w:rsidP="00AF1100">
      <w:pPr>
        <w:jc w:val="both"/>
        <w:rPr>
          <w:b/>
        </w:rPr>
      </w:pPr>
      <w:r>
        <w:rPr>
          <w:b/>
        </w:rPr>
        <w:t xml:space="preserve">X. </w:t>
      </w:r>
      <w:r w:rsidRPr="001242CA">
        <w:t xml:space="preserve">Proteger la seguridad de las personas, bienes y derechos de los individuos, y al efecto, mantener </w:t>
      </w:r>
      <w:r>
        <w:t>el orden, paz y tranquilidad pú</w:t>
      </w:r>
      <w:r w:rsidRPr="001242CA">
        <w:t>blica en todo el Estado</w:t>
      </w:r>
      <w:r>
        <w:t xml:space="preserve">, </w:t>
      </w:r>
      <w:r>
        <w:rPr>
          <w:b/>
        </w:rPr>
        <w:t>garantizando el respeto de los derechos humanos.</w:t>
      </w:r>
    </w:p>
    <w:p w:rsidR="00AF1100" w:rsidRDefault="00AF1100" w:rsidP="00AF1100">
      <w:pPr>
        <w:jc w:val="both"/>
      </w:pPr>
    </w:p>
    <w:p w:rsidR="00AF1100" w:rsidRDefault="00AF1100" w:rsidP="00AF1100">
      <w:pPr>
        <w:jc w:val="both"/>
      </w:pPr>
      <w:r>
        <w:rPr>
          <w:b/>
        </w:rPr>
        <w:t xml:space="preserve">XI </w:t>
      </w:r>
      <w:r>
        <w:t xml:space="preserve">a la </w:t>
      </w:r>
      <w:r>
        <w:rPr>
          <w:b/>
        </w:rPr>
        <w:t>XX</w:t>
      </w:r>
      <w:r>
        <w:t xml:space="preserve"> - - - - - -</w:t>
      </w:r>
    </w:p>
    <w:p w:rsidR="00AF1100" w:rsidRDefault="00AF1100" w:rsidP="00AF1100">
      <w:pPr>
        <w:jc w:val="both"/>
      </w:pPr>
    </w:p>
    <w:p w:rsidR="00AF1100" w:rsidRDefault="00AF1100" w:rsidP="00AF1100">
      <w:pPr>
        <w:jc w:val="both"/>
      </w:pPr>
    </w:p>
    <w:p w:rsidR="00AF1100" w:rsidRDefault="00AF1100" w:rsidP="00AF1100">
      <w:pPr>
        <w:jc w:val="center"/>
        <w:rPr>
          <w:b/>
        </w:rPr>
      </w:pPr>
      <w:r>
        <w:rPr>
          <w:b/>
        </w:rPr>
        <w:t>TRANSITORIOS</w:t>
      </w:r>
    </w:p>
    <w:p w:rsidR="00AF1100" w:rsidRDefault="00AF1100" w:rsidP="00AF1100">
      <w:pPr>
        <w:jc w:val="center"/>
        <w:rPr>
          <w:b/>
        </w:rPr>
      </w:pPr>
    </w:p>
    <w:p w:rsidR="00AF1100" w:rsidRDefault="00AF1100" w:rsidP="00AF1100">
      <w:pPr>
        <w:jc w:val="center"/>
        <w:rPr>
          <w:b/>
        </w:rPr>
      </w:pPr>
    </w:p>
    <w:p w:rsidR="00AF1100" w:rsidRDefault="00AF1100" w:rsidP="00AF1100">
      <w:pPr>
        <w:jc w:val="both"/>
      </w:pPr>
      <w:r>
        <w:rPr>
          <w:b/>
        </w:rPr>
        <w:t xml:space="preserve">Primero. </w:t>
      </w:r>
      <w:r>
        <w:t>El presente decreto entrará en vigor al día siguiente de su publicación en el Periódico Oficial del Gobierno del Estado; y</w:t>
      </w:r>
    </w:p>
    <w:p w:rsidR="00AF1100" w:rsidRDefault="00AF1100" w:rsidP="00AF1100">
      <w:pPr>
        <w:jc w:val="both"/>
      </w:pPr>
    </w:p>
    <w:p w:rsidR="00AF1100" w:rsidRDefault="00AF1100" w:rsidP="00AF1100">
      <w:pPr>
        <w:jc w:val="both"/>
      </w:pPr>
      <w:r>
        <w:rPr>
          <w:b/>
        </w:rPr>
        <w:t xml:space="preserve">Segundo. </w:t>
      </w:r>
      <w:r>
        <w:t xml:space="preserve">Se derogan las disposiciones que se opongan al presente Decreto. </w:t>
      </w:r>
    </w:p>
    <w:p w:rsidR="00AF1100" w:rsidRDefault="00AF1100" w:rsidP="00AF1100">
      <w:pPr>
        <w:jc w:val="right"/>
      </w:pPr>
      <w:r>
        <w:t>Saltillo, Coahuila de Zaragoza, a 6 de noviembre de 2019.</w:t>
      </w:r>
    </w:p>
    <w:p w:rsidR="00AF1100" w:rsidRDefault="00AF1100" w:rsidP="00AF1100">
      <w:pPr>
        <w:jc w:val="right"/>
      </w:pPr>
    </w:p>
    <w:p w:rsidR="00AF1100" w:rsidRDefault="00AF1100" w:rsidP="00AF1100">
      <w:pPr>
        <w:jc w:val="right"/>
      </w:pPr>
    </w:p>
    <w:p w:rsidR="00AF1100" w:rsidRDefault="00AF1100" w:rsidP="00AF1100">
      <w:pPr>
        <w:jc w:val="center"/>
      </w:pPr>
    </w:p>
    <w:p w:rsidR="00AF1100" w:rsidRDefault="00AF1100" w:rsidP="00AF1100"/>
    <w:p w:rsidR="00AF1100" w:rsidRDefault="00AF1100" w:rsidP="00AF1100">
      <w:pPr>
        <w:jc w:val="center"/>
      </w:pPr>
    </w:p>
    <w:p w:rsidR="00B6653A" w:rsidRDefault="00AF1100" w:rsidP="0092215A">
      <w:pPr>
        <w:jc w:val="center"/>
      </w:pPr>
      <w:r>
        <w:rPr>
          <w:b/>
        </w:rPr>
        <w:t>DIPUTADA ELISA CATALINA VILLALOBOS HERNÁNDEZ</w:t>
      </w:r>
      <w:bookmarkStart w:id="1" w:name="_GoBack"/>
      <w:bookmarkEnd w:id="1"/>
    </w:p>
    <w:sectPr w:rsidR="00B6653A" w:rsidSect="00B44960">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71" w:rsidRDefault="00351F71">
      <w:r>
        <w:separator/>
      </w:r>
    </w:p>
  </w:endnote>
  <w:endnote w:type="continuationSeparator" w:id="0">
    <w:p w:rsidR="00351F71" w:rsidRDefault="0035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71" w:rsidRDefault="00351F71">
      <w:r>
        <w:separator/>
      </w:r>
    </w:p>
  </w:footnote>
  <w:footnote w:type="continuationSeparator" w:id="0">
    <w:p w:rsidR="00351F71" w:rsidRDefault="00351F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614479"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A793313" wp14:editId="46A94DE6">
          <wp:simplePos x="0" y="0"/>
          <wp:positionH relativeFrom="column">
            <wp:posOffset>5718810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81E3CE8" wp14:editId="6B136DA4">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351F71" w:rsidP="0022062F">
    <w:pPr>
      <w:pStyle w:val="Encabezado"/>
      <w:ind w:right="616"/>
    </w:pPr>
  </w:p>
  <w:p w:rsidR="0022062F" w:rsidRDefault="00351F71" w:rsidP="0022062F">
    <w:pPr>
      <w:pStyle w:val="Encabezado"/>
      <w:ind w:right="49"/>
      <w:jc w:val="center"/>
      <w:rPr>
        <w:rFonts w:ascii="Times New Roman" w:hAnsi="Times New Roman"/>
      </w:rPr>
    </w:pPr>
  </w:p>
  <w:p w:rsidR="0022062F" w:rsidRPr="005E061E" w:rsidRDefault="00614479" w:rsidP="0022062F">
    <w:pPr>
      <w:pStyle w:val="Encabezado"/>
      <w:ind w:right="49"/>
      <w:jc w:val="center"/>
      <w:rPr>
        <w:rFonts w:ascii="Times New Roman" w:hAnsi="Times New Roman"/>
      </w:rPr>
    </w:pPr>
    <w:r>
      <w:rPr>
        <w:rFonts w:ascii="Times New Roman" w:hAnsi="Times New Roman"/>
      </w:rPr>
      <w:t xml:space="preserve"> </w:t>
    </w:r>
  </w:p>
  <w:p w:rsidR="0022062F" w:rsidRPr="00030032" w:rsidRDefault="00351F71"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654B"/>
    <w:rsid w:val="00095067"/>
    <w:rsid w:val="000D16F8"/>
    <w:rsid w:val="00183B75"/>
    <w:rsid w:val="00231D9A"/>
    <w:rsid w:val="00284E6C"/>
    <w:rsid w:val="00287401"/>
    <w:rsid w:val="00310E3D"/>
    <w:rsid w:val="00321087"/>
    <w:rsid w:val="00351F71"/>
    <w:rsid w:val="003B5852"/>
    <w:rsid w:val="00457E69"/>
    <w:rsid w:val="0050620A"/>
    <w:rsid w:val="00517508"/>
    <w:rsid w:val="00527C16"/>
    <w:rsid w:val="0058282C"/>
    <w:rsid w:val="005E3A5E"/>
    <w:rsid w:val="00614479"/>
    <w:rsid w:val="0061692E"/>
    <w:rsid w:val="00671A44"/>
    <w:rsid w:val="00732857"/>
    <w:rsid w:val="007527C1"/>
    <w:rsid w:val="00781E1D"/>
    <w:rsid w:val="007943AC"/>
    <w:rsid w:val="00830AFB"/>
    <w:rsid w:val="00834F8A"/>
    <w:rsid w:val="008C0B51"/>
    <w:rsid w:val="0092215A"/>
    <w:rsid w:val="00967522"/>
    <w:rsid w:val="00A17508"/>
    <w:rsid w:val="00A2366F"/>
    <w:rsid w:val="00AF1100"/>
    <w:rsid w:val="00B44960"/>
    <w:rsid w:val="00B566DB"/>
    <w:rsid w:val="00B62614"/>
    <w:rsid w:val="00B64F1C"/>
    <w:rsid w:val="00B6653A"/>
    <w:rsid w:val="00D16B9C"/>
    <w:rsid w:val="00D24660"/>
    <w:rsid w:val="00D3043E"/>
    <w:rsid w:val="00D52067"/>
    <w:rsid w:val="00D53F28"/>
    <w:rsid w:val="00D91F19"/>
    <w:rsid w:val="00DC5B2B"/>
    <w:rsid w:val="00E40A4C"/>
    <w:rsid w:val="00E97F55"/>
    <w:rsid w:val="00EC4798"/>
    <w:rsid w:val="00F66D33"/>
    <w:rsid w:val="00F70B3E"/>
    <w:rsid w:val="00FA192E"/>
    <w:rsid w:val="00FA2751"/>
    <w:rsid w:val="00FB73B1"/>
    <w:rsid w:val="00FE2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11D1F-C6B2-4845-BFBE-BEB0C7A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00"/>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semiHidden/>
    <w:rsid w:val="00614479"/>
  </w:style>
  <w:style w:type="paragraph" w:styleId="Textodeglobo">
    <w:name w:val="Balloon Text"/>
    <w:basedOn w:val="Normal"/>
    <w:link w:val="TextodegloboCar"/>
    <w:uiPriority w:val="99"/>
    <w:semiHidden/>
    <w:unhideWhenUsed/>
    <w:rsid w:val="00183B75"/>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VideosHD</dc:creator>
  <cp:lastModifiedBy>Juan Lumbreras</cp:lastModifiedBy>
  <cp:revision>2</cp:revision>
  <cp:lastPrinted>2019-11-04T13:47:00Z</cp:lastPrinted>
  <dcterms:created xsi:type="dcterms:W3CDTF">2020-05-06T16:08:00Z</dcterms:created>
  <dcterms:modified xsi:type="dcterms:W3CDTF">2020-05-06T16:08:00Z</dcterms:modified>
</cp:coreProperties>
</file>