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3A" w:rsidRDefault="00DD093A" w:rsidP="00CE0336">
      <w:pPr>
        <w:jc w:val="left"/>
        <w:rPr>
          <w:rFonts w:cs="Arial"/>
          <w:b/>
          <w:sz w:val="24"/>
          <w:szCs w:val="24"/>
        </w:rPr>
      </w:pPr>
    </w:p>
    <w:p w:rsidR="002B7452" w:rsidRPr="002B7452" w:rsidRDefault="002B7452" w:rsidP="002B7452">
      <w:pPr>
        <w:rPr>
          <w:rFonts w:ascii="Arial Narrow" w:hAnsi="Arial Narrow"/>
          <w:color w:val="000000"/>
          <w:sz w:val="26"/>
          <w:szCs w:val="26"/>
        </w:rPr>
      </w:pPr>
      <w:bookmarkStart w:id="0" w:name="_Hlk25739239"/>
      <w:bookmarkEnd w:id="0"/>
    </w:p>
    <w:p w:rsidR="002B7452" w:rsidRPr="002B7452" w:rsidRDefault="002B7452" w:rsidP="002B7452">
      <w:pPr>
        <w:rPr>
          <w:rFonts w:ascii="Arial Narrow" w:hAnsi="Arial Narrow"/>
          <w:b/>
          <w:color w:val="000000"/>
          <w:sz w:val="26"/>
          <w:szCs w:val="26"/>
        </w:rPr>
      </w:pPr>
      <w:r w:rsidRPr="002B7452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modifica el contenido de la fracción XIII del artículo 9 de la </w:t>
      </w:r>
      <w:r w:rsidRPr="002B7452">
        <w:rPr>
          <w:rFonts w:ascii="Arial Narrow" w:hAnsi="Arial Narrow"/>
          <w:b/>
          <w:color w:val="000000"/>
          <w:sz w:val="26"/>
          <w:szCs w:val="26"/>
        </w:rPr>
        <w:t>Ley del Sistema Anticorrupción del Estado.</w:t>
      </w:r>
    </w:p>
    <w:p w:rsidR="002B7452" w:rsidRDefault="002B7452" w:rsidP="002B7452">
      <w:pPr>
        <w:rPr>
          <w:rFonts w:ascii="Arial Narrow" w:hAnsi="Arial Narrow"/>
          <w:color w:val="000000"/>
          <w:sz w:val="26"/>
          <w:szCs w:val="26"/>
        </w:rPr>
      </w:pPr>
    </w:p>
    <w:p w:rsidR="002B7452" w:rsidRPr="002B7452" w:rsidRDefault="002B7452" w:rsidP="002B7452">
      <w:pPr>
        <w:numPr>
          <w:ilvl w:val="0"/>
          <w:numId w:val="7"/>
        </w:numPr>
        <w:contextualSpacing/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2B7452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Con objeto de establecer que el Comité Coordinador pueda emitir opiniones vinculantes.</w:t>
      </w:r>
    </w:p>
    <w:p w:rsidR="002B7452" w:rsidRDefault="002B7452" w:rsidP="002B7452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:rsidR="002B7452" w:rsidRPr="002B7452" w:rsidRDefault="002B7452" w:rsidP="002B7452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2B745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2B7452">
        <w:rPr>
          <w:rFonts w:ascii="Arial Narrow" w:hAnsi="Arial Narrow"/>
          <w:b/>
          <w:color w:val="000000"/>
          <w:sz w:val="26"/>
          <w:szCs w:val="26"/>
        </w:rPr>
        <w:t>Diputado Gerardo Abraham Aguado Gómez</w:t>
      </w:r>
      <w:r w:rsidRPr="002B7452">
        <w:rPr>
          <w:rFonts w:ascii="Arial Narrow" w:hAnsi="Arial Narrow"/>
          <w:color w:val="000000"/>
          <w:sz w:val="26"/>
          <w:szCs w:val="26"/>
        </w:rPr>
        <w:t>,</w:t>
      </w:r>
      <w:r w:rsidRPr="002B7452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2B7452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2B7452" w:rsidRPr="002B7452" w:rsidRDefault="002B7452" w:rsidP="002B7452">
      <w:pPr>
        <w:rPr>
          <w:rFonts w:ascii="Arial Narrow" w:hAnsi="Arial Narrow"/>
          <w:color w:val="000000"/>
          <w:sz w:val="26"/>
          <w:szCs w:val="26"/>
        </w:rPr>
      </w:pPr>
    </w:p>
    <w:p w:rsidR="002B7452" w:rsidRPr="002B7452" w:rsidRDefault="002B7452" w:rsidP="002B7452">
      <w:pPr>
        <w:rPr>
          <w:rFonts w:ascii="Arial Narrow" w:hAnsi="Arial Narrow"/>
          <w:b/>
          <w:color w:val="000000"/>
          <w:sz w:val="26"/>
          <w:szCs w:val="26"/>
        </w:rPr>
      </w:pPr>
      <w:r w:rsidRPr="002B745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2B7452">
        <w:rPr>
          <w:rFonts w:ascii="Arial Narrow" w:hAnsi="Arial Narrow"/>
          <w:b/>
          <w:color w:val="000000"/>
          <w:sz w:val="26"/>
          <w:szCs w:val="26"/>
        </w:rPr>
        <w:t xml:space="preserve">29 de </w:t>
      </w:r>
      <w:proofErr w:type="gramStart"/>
      <w:r w:rsidRPr="002B7452"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2B7452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2B7452" w:rsidRPr="002B7452" w:rsidRDefault="002B7452" w:rsidP="002B7452">
      <w:pPr>
        <w:rPr>
          <w:rFonts w:ascii="Arial Narrow" w:hAnsi="Arial Narrow" w:cs="Arial"/>
          <w:sz w:val="26"/>
          <w:szCs w:val="26"/>
        </w:rPr>
      </w:pPr>
    </w:p>
    <w:p w:rsidR="002B7452" w:rsidRPr="002B7452" w:rsidRDefault="002B7452" w:rsidP="002B7452">
      <w:pPr>
        <w:rPr>
          <w:rFonts w:ascii="Arial Narrow" w:hAnsi="Arial Narrow"/>
          <w:color w:val="000000"/>
          <w:sz w:val="26"/>
          <w:szCs w:val="26"/>
        </w:rPr>
      </w:pPr>
      <w:r w:rsidRPr="002B7452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2B7452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:rsidR="002B7452" w:rsidRPr="002B7452" w:rsidRDefault="002B7452" w:rsidP="002B7452">
      <w:pPr>
        <w:rPr>
          <w:rFonts w:ascii="Arial Narrow" w:hAnsi="Arial Narrow"/>
          <w:color w:val="000000"/>
          <w:sz w:val="26"/>
          <w:szCs w:val="26"/>
        </w:rPr>
      </w:pPr>
    </w:p>
    <w:p w:rsidR="00A96E6D" w:rsidRPr="003344F4" w:rsidRDefault="00A96E6D" w:rsidP="00A96E6D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21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Octubre</w:t>
      </w:r>
      <w:proofErr w:type="gramEnd"/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2020</w:t>
      </w:r>
    </w:p>
    <w:p w:rsidR="00A96E6D" w:rsidRPr="003344F4" w:rsidRDefault="00A96E6D" w:rsidP="00A96E6D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:rsidR="002B7452" w:rsidRPr="002B7452" w:rsidRDefault="002B7452" w:rsidP="002B7452">
      <w:pPr>
        <w:rPr>
          <w:rFonts w:ascii="Arial Narrow" w:hAnsi="Arial Narrow"/>
          <w:color w:val="000000"/>
          <w:sz w:val="26"/>
          <w:szCs w:val="26"/>
        </w:rPr>
      </w:pPr>
      <w:bookmarkStart w:id="1" w:name="_GoBack"/>
      <w:bookmarkEnd w:id="1"/>
    </w:p>
    <w:p w:rsidR="002B7452" w:rsidRPr="002B7452" w:rsidRDefault="002B7452" w:rsidP="002B7452">
      <w:pPr>
        <w:spacing w:line="360" w:lineRule="auto"/>
        <w:rPr>
          <w:rFonts w:cs="Arial"/>
          <w:b/>
          <w:sz w:val="28"/>
          <w:szCs w:val="28"/>
        </w:rPr>
      </w:pPr>
    </w:p>
    <w:p w:rsidR="002B7452" w:rsidRPr="002B7452" w:rsidRDefault="002B7452" w:rsidP="002B7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cs="Arial"/>
          <w:b/>
          <w:sz w:val="28"/>
          <w:szCs w:val="28"/>
        </w:rPr>
      </w:pPr>
    </w:p>
    <w:p w:rsidR="00CE0336" w:rsidRDefault="00CE0336" w:rsidP="00CE0336">
      <w:pPr>
        <w:jc w:val="left"/>
        <w:rPr>
          <w:rFonts w:cs="Arial"/>
          <w:b/>
          <w:sz w:val="24"/>
          <w:szCs w:val="24"/>
        </w:rPr>
      </w:pPr>
    </w:p>
    <w:p w:rsidR="00DD093A" w:rsidRDefault="00DD093A" w:rsidP="00CE0336">
      <w:pPr>
        <w:jc w:val="left"/>
        <w:rPr>
          <w:rFonts w:cs="Arial"/>
          <w:b/>
          <w:sz w:val="24"/>
          <w:szCs w:val="24"/>
        </w:rPr>
      </w:pPr>
    </w:p>
    <w:p w:rsidR="002B7452" w:rsidRDefault="002B7452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</w:p>
    <w:p w:rsidR="002B7452" w:rsidRDefault="002B7452">
      <w:pPr>
        <w:spacing w:after="160" w:line="259" w:lineRule="auto"/>
        <w:jc w:val="left"/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br w:type="page"/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  <w:r w:rsidRPr="00CE0336">
        <w:rPr>
          <w:rFonts w:eastAsia="Calibri" w:cs="Arial"/>
          <w:b/>
          <w:sz w:val="28"/>
          <w:szCs w:val="28"/>
          <w:lang w:eastAsia="en-US"/>
        </w:rPr>
        <w:lastRenderedPageBreak/>
        <w:t xml:space="preserve">H.  PLENO DEL CONGRESO DEL ESTADO </w:t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  <w:r w:rsidRPr="00CE0336">
        <w:rPr>
          <w:rFonts w:eastAsia="Calibri" w:cs="Arial"/>
          <w:b/>
          <w:sz w:val="28"/>
          <w:szCs w:val="28"/>
          <w:lang w:eastAsia="en-US"/>
        </w:rPr>
        <w:t>DE COAHUILA DE ZARAGOZA.</w:t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  <w:r w:rsidRPr="00CE0336">
        <w:rPr>
          <w:rFonts w:eastAsia="Calibri" w:cs="Arial"/>
          <w:b/>
          <w:sz w:val="28"/>
          <w:szCs w:val="28"/>
          <w:lang w:eastAsia="en-US"/>
        </w:rPr>
        <w:t xml:space="preserve">PRESENTE. – </w:t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</w:p>
    <w:p w:rsidR="00CE0336" w:rsidRDefault="00CE0336" w:rsidP="00CE0336">
      <w:pPr>
        <w:spacing w:after="200" w:line="360" w:lineRule="auto"/>
        <w:rPr>
          <w:rFonts w:cs="Arial"/>
          <w:b/>
          <w:sz w:val="28"/>
          <w:szCs w:val="28"/>
        </w:rPr>
      </w:pPr>
      <w:r w:rsidRPr="00CE0336">
        <w:rPr>
          <w:rFonts w:cs="Arial"/>
          <w:b/>
          <w:sz w:val="28"/>
          <w:szCs w:val="28"/>
        </w:rPr>
        <w:t xml:space="preserve">Iniciativa que presenta el  diputado Gerardo Abraham Aguado Gómez, conjuntamente con los diputados del Grupo Parlamentario “ Del Partido Acción Nacional”; en ejercicio de la facultad legislativa que nos concede el artículo 59 Fracción I, 67 Fracción I de la Constitución Política del Estado de Coahuila de Zaragoza, y con fundamento en los artículos </w:t>
      </w:r>
      <w:r w:rsidR="006500E5" w:rsidRPr="006500E5">
        <w:rPr>
          <w:rFonts w:cs="Arial"/>
          <w:b/>
          <w:sz w:val="28"/>
          <w:szCs w:val="28"/>
        </w:rPr>
        <w:t>21 Fracción IV y 152 fracción I  de la Ley Orgánica del Congreso del Estado Independiente, Libre y Soberano de Coahuila de Zaragoza</w:t>
      </w:r>
      <w:r w:rsidR="006500E5">
        <w:rPr>
          <w:rFonts w:cs="Arial"/>
          <w:b/>
          <w:sz w:val="28"/>
          <w:szCs w:val="28"/>
        </w:rPr>
        <w:t xml:space="preserve">, presentamos </w:t>
      </w:r>
      <w:r w:rsidRPr="00CE0336">
        <w:rPr>
          <w:rFonts w:cs="Arial"/>
          <w:b/>
          <w:sz w:val="28"/>
          <w:szCs w:val="28"/>
        </w:rPr>
        <w:t xml:space="preserve">INICIATIVA CON PROYECTO DE DECRETO  por la que </w:t>
      </w:r>
      <w:bookmarkStart w:id="2" w:name="_Hlk510431668"/>
      <w:r w:rsidRPr="00CE0336">
        <w:rPr>
          <w:rFonts w:cs="Arial"/>
          <w:b/>
          <w:sz w:val="28"/>
          <w:szCs w:val="28"/>
        </w:rPr>
        <w:t>se</w:t>
      </w:r>
      <w:r w:rsidR="00236240">
        <w:rPr>
          <w:rFonts w:cs="Arial"/>
          <w:b/>
          <w:sz w:val="28"/>
          <w:szCs w:val="28"/>
        </w:rPr>
        <w:t xml:space="preserve"> modifica el contenido</w:t>
      </w:r>
      <w:r w:rsidRPr="00CE0336">
        <w:rPr>
          <w:rFonts w:cs="Arial"/>
          <w:b/>
          <w:sz w:val="28"/>
          <w:szCs w:val="28"/>
        </w:rPr>
        <w:t xml:space="preserve"> </w:t>
      </w:r>
      <w:r w:rsidR="00655844">
        <w:rPr>
          <w:rFonts w:cs="Arial"/>
          <w:b/>
          <w:sz w:val="28"/>
          <w:szCs w:val="28"/>
        </w:rPr>
        <w:t>de la fracción XIII</w:t>
      </w:r>
      <w:r w:rsidR="005B17BA">
        <w:rPr>
          <w:rFonts w:cs="Arial"/>
          <w:b/>
          <w:sz w:val="28"/>
          <w:szCs w:val="28"/>
        </w:rPr>
        <w:t xml:space="preserve"> </w:t>
      </w:r>
      <w:r w:rsidR="00655844">
        <w:rPr>
          <w:rFonts w:cs="Arial"/>
          <w:b/>
          <w:sz w:val="28"/>
          <w:szCs w:val="28"/>
        </w:rPr>
        <w:t>del artículo 9</w:t>
      </w:r>
      <w:r w:rsidRPr="00CE0336">
        <w:rPr>
          <w:rFonts w:cs="Arial"/>
          <w:b/>
          <w:sz w:val="28"/>
          <w:szCs w:val="28"/>
        </w:rPr>
        <w:t xml:space="preserve"> de la Ley del Sistema Anticorrupción del Es</w:t>
      </w:r>
      <w:r w:rsidR="00236240">
        <w:rPr>
          <w:rFonts w:cs="Arial"/>
          <w:b/>
          <w:sz w:val="28"/>
          <w:szCs w:val="28"/>
        </w:rPr>
        <w:t>tado de Coahuila de Zaragoza, con</w:t>
      </w:r>
      <w:r w:rsidR="00B93C97">
        <w:rPr>
          <w:rFonts w:cs="Arial"/>
          <w:b/>
          <w:sz w:val="28"/>
          <w:szCs w:val="28"/>
        </w:rPr>
        <w:t xml:space="preserve"> base en</w:t>
      </w:r>
      <w:r w:rsidRPr="00CE0336">
        <w:rPr>
          <w:rFonts w:cs="Arial"/>
          <w:b/>
          <w:sz w:val="28"/>
          <w:szCs w:val="28"/>
        </w:rPr>
        <w:t xml:space="preserve"> la siguiente:</w:t>
      </w:r>
    </w:p>
    <w:p w:rsidR="00B93C97" w:rsidRDefault="00B93C97" w:rsidP="00B93C97">
      <w:pPr>
        <w:spacing w:after="200" w:line="360" w:lineRule="auto"/>
        <w:jc w:val="center"/>
        <w:rPr>
          <w:rFonts w:cs="Arial"/>
          <w:b/>
          <w:sz w:val="28"/>
          <w:szCs w:val="28"/>
        </w:rPr>
      </w:pPr>
      <w:r w:rsidRPr="00B93C97">
        <w:rPr>
          <w:rFonts w:cs="Arial"/>
          <w:b/>
          <w:sz w:val="28"/>
          <w:szCs w:val="28"/>
        </w:rPr>
        <w:t>Exposición de motivos</w:t>
      </w:r>
    </w:p>
    <w:p w:rsidR="005B17BA" w:rsidRDefault="008A19E1" w:rsidP="00CE0336">
      <w:pPr>
        <w:spacing w:after="200" w:line="360" w:lineRule="auto"/>
        <w:rPr>
          <w:rFonts w:cs="Arial"/>
          <w:sz w:val="28"/>
          <w:szCs w:val="28"/>
        </w:rPr>
      </w:pPr>
      <w:r w:rsidRPr="008A19E1">
        <w:rPr>
          <w:rFonts w:cs="Arial"/>
          <w:sz w:val="28"/>
          <w:szCs w:val="28"/>
        </w:rPr>
        <w:t>De acuerdo a la Ley del Sistema Anticorrupción del Estado de Coahuila, el Comité Coordinador se integra de la siguiente forma:</w:t>
      </w:r>
    </w:p>
    <w:p w:rsidR="008A19E1" w:rsidRPr="008A19E1" w:rsidRDefault="008A19E1" w:rsidP="008A19E1">
      <w:pPr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Artículo 10.</w:t>
      </w:r>
      <w:r w:rsidRPr="008A19E1">
        <w:rPr>
          <w:rFonts w:eastAsia="Calibri" w:cs="Arial"/>
          <w:i/>
          <w:sz w:val="28"/>
          <w:szCs w:val="28"/>
        </w:rPr>
        <w:t xml:space="preserve"> Son integrantes del Comité Coordinador:</w:t>
      </w:r>
    </w:p>
    <w:p w:rsidR="008A19E1" w:rsidRPr="008A19E1" w:rsidRDefault="008A19E1" w:rsidP="008A19E1">
      <w:pPr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I.</w:t>
      </w:r>
      <w:r w:rsidRPr="008A19E1">
        <w:rPr>
          <w:rFonts w:eastAsia="Calibri" w:cs="Arial"/>
          <w:i/>
          <w:sz w:val="28"/>
          <w:szCs w:val="28"/>
        </w:rPr>
        <w:tab/>
        <w:t xml:space="preserve">El Presidente del Consejo de Participación Ciudadana, quien lo presidirá;  </w:t>
      </w: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II.</w:t>
      </w:r>
      <w:r w:rsidRPr="008A19E1">
        <w:rPr>
          <w:rFonts w:eastAsia="Calibri" w:cs="Arial"/>
          <w:i/>
          <w:sz w:val="28"/>
          <w:szCs w:val="28"/>
        </w:rPr>
        <w:tab/>
        <w:t xml:space="preserve">El titular de la Auditoría Superior del Estado; </w:t>
      </w: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III.</w:t>
      </w:r>
      <w:r w:rsidRPr="008A19E1">
        <w:rPr>
          <w:rFonts w:eastAsia="Calibri" w:cs="Arial"/>
          <w:i/>
          <w:sz w:val="28"/>
          <w:szCs w:val="28"/>
        </w:rPr>
        <w:tab/>
        <w:t xml:space="preserve">El titular de la Fiscalía Especializada en Delitos por Hechos de Corrupción del Estado; </w:t>
      </w: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lastRenderedPageBreak/>
        <w:t>IV.</w:t>
      </w:r>
      <w:r w:rsidRPr="008A19E1">
        <w:rPr>
          <w:rFonts w:eastAsia="Calibri" w:cs="Arial"/>
          <w:i/>
          <w:sz w:val="28"/>
          <w:szCs w:val="28"/>
        </w:rPr>
        <w:tab/>
        <w:t xml:space="preserve">El titular de la Secretaría de Fiscalización y Rendición de Cuentas; </w:t>
      </w: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V.</w:t>
      </w:r>
      <w:r w:rsidRPr="008A19E1">
        <w:rPr>
          <w:rFonts w:eastAsia="Calibri" w:cs="Arial"/>
          <w:i/>
          <w:sz w:val="28"/>
          <w:szCs w:val="28"/>
        </w:rPr>
        <w:tab/>
        <w:t>El Presidente del Consejo de la Judicatura;</w:t>
      </w: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VI.</w:t>
      </w:r>
      <w:r w:rsidRPr="008A19E1">
        <w:rPr>
          <w:rFonts w:eastAsia="Calibri" w:cs="Arial"/>
          <w:i/>
          <w:sz w:val="28"/>
          <w:szCs w:val="28"/>
        </w:rPr>
        <w:tab/>
        <w:t xml:space="preserve">El Presidente del Instituto Coahuilense de Acceso a la Información Pública, y </w:t>
      </w: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</w:p>
    <w:p w:rsidR="008A19E1" w:rsidRPr="008A19E1" w:rsidRDefault="008A19E1" w:rsidP="008A19E1">
      <w:pPr>
        <w:ind w:left="397" w:hanging="397"/>
        <w:rPr>
          <w:rFonts w:eastAsia="Calibri" w:cs="Arial"/>
          <w:i/>
          <w:sz w:val="28"/>
          <w:szCs w:val="28"/>
        </w:rPr>
      </w:pPr>
      <w:r w:rsidRPr="008A19E1">
        <w:rPr>
          <w:rFonts w:eastAsia="Calibri" w:cs="Arial"/>
          <w:b/>
          <w:i/>
          <w:sz w:val="28"/>
          <w:szCs w:val="28"/>
        </w:rPr>
        <w:t>VII.</w:t>
      </w:r>
      <w:r w:rsidRPr="008A19E1">
        <w:rPr>
          <w:rFonts w:eastAsia="Calibri" w:cs="Arial"/>
          <w:i/>
          <w:sz w:val="28"/>
          <w:szCs w:val="28"/>
        </w:rPr>
        <w:tab/>
        <w:t xml:space="preserve">El Presidente del Tribunal de Justicia Administrativa de Coahuila de Zaragoza. </w:t>
      </w:r>
    </w:p>
    <w:p w:rsidR="008A19E1" w:rsidRPr="008A19E1" w:rsidRDefault="008A19E1" w:rsidP="00CE0336">
      <w:pPr>
        <w:spacing w:after="200" w:line="360" w:lineRule="auto"/>
        <w:rPr>
          <w:rFonts w:cs="Arial"/>
          <w:b/>
          <w:i/>
          <w:sz w:val="28"/>
          <w:szCs w:val="28"/>
        </w:rPr>
      </w:pPr>
    </w:p>
    <w:p w:rsidR="008A19E1" w:rsidRDefault="008A19E1" w:rsidP="00CE0336">
      <w:pPr>
        <w:spacing w:after="20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Asimismo, cuenta con las atribuciones que se enlistan: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 xml:space="preserve">Artículo 9. El Comité Coordinador tendrá las siguientes facultades: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I.</w:t>
      </w:r>
      <w:r w:rsidRPr="008A19E1">
        <w:rPr>
          <w:rFonts w:cs="Arial"/>
          <w:i/>
          <w:sz w:val="28"/>
          <w:szCs w:val="28"/>
        </w:rPr>
        <w:tab/>
        <w:t>Elaborar su programa anual de trabajo;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II.</w:t>
      </w:r>
      <w:r w:rsidRPr="008A19E1">
        <w:rPr>
          <w:rFonts w:cs="Arial"/>
          <w:i/>
          <w:sz w:val="28"/>
          <w:szCs w:val="28"/>
        </w:rPr>
        <w:tab/>
        <w:t xml:space="preserve">Establecer las bases y principios para la efectiva coordinación de sus integrantes;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III.</w:t>
      </w:r>
      <w:r w:rsidRPr="008A19E1">
        <w:rPr>
          <w:rFonts w:cs="Arial"/>
          <w:i/>
          <w:sz w:val="28"/>
          <w:szCs w:val="28"/>
        </w:rPr>
        <w:tab/>
        <w:t xml:space="preserve">El diseño, aprobación y promoción de la política estatal en la materia, así como su evaluación periódica, ajuste y modificación. Esta política deberá atender por lo menos la prevención, el fomento a la cultura de la legalidad, la debida administración de los recursos públicos, la adecuada administración de riesgos y la promoción de la cultura de integridad en el servicio público;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IV.</w:t>
      </w:r>
      <w:r w:rsidRPr="008A19E1">
        <w:rPr>
          <w:rFonts w:cs="Arial"/>
          <w:i/>
          <w:sz w:val="28"/>
          <w:szCs w:val="28"/>
        </w:rPr>
        <w:tab/>
        <w:t>Aprobar la metodología de los indicadores para la evaluación a que se refiere la fracción anterior, con base en la propuesta que le someta a consideración la Secretaría Ejecutiva;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V.</w:t>
      </w:r>
      <w:r w:rsidRPr="008A19E1">
        <w:rPr>
          <w:rFonts w:cs="Arial"/>
          <w:i/>
          <w:sz w:val="28"/>
          <w:szCs w:val="28"/>
        </w:rPr>
        <w:tab/>
        <w:t xml:space="preserve">Tener acceso a la información pública necesaria, adecuada y oportuna para el mejor desempeño de sus funciones;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lastRenderedPageBreak/>
        <w:t>VI.</w:t>
      </w:r>
      <w:r w:rsidRPr="008A19E1">
        <w:rPr>
          <w:rFonts w:cs="Arial"/>
          <w:i/>
          <w:sz w:val="28"/>
          <w:szCs w:val="28"/>
        </w:rPr>
        <w:tab/>
        <w:t>Establecer las bases para la determinación de perfiles de las áreas de riesgo de los distintos Entes Públicos;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VII.</w:t>
      </w:r>
      <w:r w:rsidRPr="008A19E1">
        <w:rPr>
          <w:rFonts w:cs="Arial"/>
          <w:i/>
          <w:sz w:val="28"/>
          <w:szCs w:val="28"/>
        </w:rPr>
        <w:tab/>
        <w:t>Conocer el resultado de las evaluaciones que realice la Secretaría Ejecutiva y, con base en las mismas, acordar las medidas a tomar o la modificación que corresponda a las políticas integrales;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VIII.</w:t>
      </w:r>
      <w:r w:rsidRPr="008A19E1">
        <w:rPr>
          <w:rFonts w:cs="Arial"/>
          <w:i/>
          <w:sz w:val="28"/>
          <w:szCs w:val="28"/>
        </w:rPr>
        <w:tab/>
        <w:t xml:space="preserve">Requerir información a los Entes Públicos respecto del cumplimiento de la política estatal y las demás políticas integrales implementadas; así como recabar datos, observaciones y propuestas requeridas para su evaluación, revisión o modificación de conformidad con los indicadores generados para tales efectos;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IX.</w:t>
      </w:r>
      <w:r w:rsidRPr="008A19E1">
        <w:rPr>
          <w:rFonts w:cs="Arial"/>
          <w:i/>
          <w:sz w:val="28"/>
          <w:szCs w:val="28"/>
        </w:rPr>
        <w:tab/>
        <w:t>Establecer un Sistema Estatal de Información que integre y conecte los diversos sistemas electrónicos que posean datos e información necesaria para que el Comité́ Coordinador pueda establecer políticas integrales, metodologías de medición y aprobar los indicadores necesarios para que se puedan evaluar las mismas;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X.</w:t>
      </w:r>
      <w:r w:rsidRPr="008A19E1">
        <w:rPr>
          <w:rFonts w:cs="Arial"/>
          <w:i/>
          <w:sz w:val="28"/>
          <w:szCs w:val="28"/>
        </w:rPr>
        <w:tab/>
        <w:t xml:space="preserve">Establecer un Sistema Estatal de Información que integre y conecte los diversos sistemas electrónicos que posean datos e información necesaria para que las autoridades competentes tengan acceso a los sistemas a que se refiere el Título Cuarto de esta ley, sin detrimento de los lineamientos que para estos efectos emita el Comité Coordinador del Sistema Nacional Anticorrupción;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XI.</w:t>
      </w:r>
      <w:r w:rsidRPr="008A19E1">
        <w:rPr>
          <w:rFonts w:cs="Arial"/>
          <w:i/>
          <w:sz w:val="28"/>
          <w:szCs w:val="28"/>
        </w:rPr>
        <w:tab/>
        <w:t>Celebrar convenios de coordinación, colaboración y concertación necesarios para el cumplimiento de los fines del Sistema Estatal;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lastRenderedPageBreak/>
        <w:t>XII.</w:t>
      </w:r>
      <w:r w:rsidRPr="008A19E1">
        <w:rPr>
          <w:rFonts w:cs="Arial"/>
          <w:i/>
          <w:sz w:val="28"/>
          <w:szCs w:val="28"/>
        </w:rPr>
        <w:tab/>
        <w:t xml:space="preserve">La emisión de un informe anual que contenga los avances y resultados del ejercicio de sus funciones y de la aplicación de políticas y programas en la materia, los riesgos identificados, los costos potenciales generados y los resultados de sus recomendaciones, en los cuales se incluirá las respuestas de los Entes Públicos. Dicho informe será el resultado de las evaluaciones realizadas por la Secretaría Ejecutiva y será aprobado por la mayoría de los integrantes del Comité Coordinador, los cuales podrán realizar votos particulares, concurrentes o disidentes, sobre el mismo y deberán ser incluidos dentro del informe anual; </w:t>
      </w:r>
    </w:p>
    <w:p w:rsidR="008A19E1" w:rsidRPr="008A19E1" w:rsidRDefault="008A19E1" w:rsidP="008A19E1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XIII.</w:t>
      </w:r>
      <w:r w:rsidRPr="008A19E1">
        <w:rPr>
          <w:rFonts w:cs="Arial"/>
          <w:i/>
          <w:sz w:val="28"/>
          <w:szCs w:val="28"/>
        </w:rPr>
        <w:tab/>
        <w:t xml:space="preserve">Con el objeto de garantizar la adopción de medidas dirigidas al fortalecimiento institucional para la prevención de faltas administrativas y hechos de corrupción, así como para mejorar el desempeño del control interno, el Comité Coordinador </w:t>
      </w:r>
      <w:r w:rsidRPr="008A19E1">
        <w:rPr>
          <w:rFonts w:cs="Arial"/>
          <w:b/>
          <w:i/>
          <w:sz w:val="28"/>
          <w:szCs w:val="28"/>
          <w:u w:val="single"/>
        </w:rPr>
        <w:t xml:space="preserve">emitirá recomendaciones públicas no vinculantes </w:t>
      </w:r>
      <w:r w:rsidRPr="008A19E1">
        <w:rPr>
          <w:rFonts w:cs="Arial"/>
          <w:i/>
          <w:sz w:val="28"/>
          <w:szCs w:val="28"/>
        </w:rPr>
        <w:t xml:space="preserve">ante las autoridades respectivas y les dará seguimiento en términos de esta ley; </w:t>
      </w:r>
    </w:p>
    <w:p w:rsidR="00CE0336" w:rsidRPr="008A19E1" w:rsidRDefault="008A19E1" w:rsidP="006500E5">
      <w:pPr>
        <w:spacing w:after="200" w:line="360" w:lineRule="auto"/>
        <w:rPr>
          <w:rFonts w:cs="Arial"/>
          <w:i/>
          <w:sz w:val="28"/>
          <w:szCs w:val="28"/>
        </w:rPr>
      </w:pPr>
      <w:r w:rsidRPr="008A19E1">
        <w:rPr>
          <w:rFonts w:cs="Arial"/>
          <w:i/>
          <w:sz w:val="28"/>
          <w:szCs w:val="28"/>
        </w:rPr>
        <w:t>XIV.</w:t>
      </w:r>
      <w:r w:rsidRPr="008A19E1">
        <w:rPr>
          <w:rFonts w:cs="Arial"/>
          <w:i/>
          <w:sz w:val="28"/>
          <w:szCs w:val="28"/>
        </w:rPr>
        <w:tab/>
        <w:t>El seguimiento y la aplicación a nivel local de los mecanismos de suministro, intercambio, sistematización y actualización de la información, elaborados por el Sistema Nacional que sobre estas materias generen las instituciones competentes de los órdenes de gobierno…</w:t>
      </w:r>
      <w:bookmarkEnd w:id="2"/>
    </w:p>
    <w:p w:rsidR="006A336A" w:rsidRDefault="006A336A" w:rsidP="006A336A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6A336A">
        <w:rPr>
          <w:rFonts w:cs="Arial"/>
          <w:b/>
          <w:sz w:val="28"/>
          <w:szCs w:val="28"/>
        </w:rPr>
        <w:t>El problema de los consejos y comités que solamente “opinan”</w:t>
      </w:r>
    </w:p>
    <w:p w:rsidR="006A336A" w:rsidRDefault="006A336A" w:rsidP="006A336A">
      <w:pPr>
        <w:spacing w:line="360" w:lineRule="auto"/>
        <w:jc w:val="left"/>
        <w:rPr>
          <w:rFonts w:cs="Arial"/>
          <w:b/>
          <w:sz w:val="28"/>
          <w:szCs w:val="28"/>
        </w:rPr>
      </w:pPr>
    </w:p>
    <w:p w:rsidR="006A336A" w:rsidRDefault="001F6315" w:rsidP="001F6315">
      <w:pPr>
        <w:spacing w:line="360" w:lineRule="auto"/>
        <w:rPr>
          <w:rFonts w:cs="Arial"/>
          <w:sz w:val="28"/>
          <w:szCs w:val="28"/>
        </w:rPr>
      </w:pPr>
      <w:r w:rsidRPr="001F6315">
        <w:rPr>
          <w:rFonts w:cs="Arial"/>
          <w:sz w:val="28"/>
          <w:szCs w:val="28"/>
        </w:rPr>
        <w:t>Desde hace muchos años, todas las leyes que contemplan la necesidad de crear un consejo  ciudadano o un comité de similar naturaleza, e</w:t>
      </w:r>
      <w:r w:rsidR="00236240">
        <w:rPr>
          <w:rFonts w:cs="Arial"/>
          <w:sz w:val="28"/>
          <w:szCs w:val="28"/>
        </w:rPr>
        <w:t>nfrentan el problema de que</w:t>
      </w:r>
      <w:r w:rsidRPr="001F6315">
        <w:rPr>
          <w:rFonts w:cs="Arial"/>
          <w:sz w:val="28"/>
          <w:szCs w:val="28"/>
        </w:rPr>
        <w:t xml:space="preserve"> el legislador</w:t>
      </w:r>
      <w:r w:rsidR="00236240">
        <w:rPr>
          <w:rFonts w:cs="Arial"/>
          <w:sz w:val="28"/>
          <w:szCs w:val="28"/>
        </w:rPr>
        <w:t xml:space="preserve"> crea</w:t>
      </w:r>
      <w:r w:rsidRPr="001F6315">
        <w:rPr>
          <w:rFonts w:cs="Arial"/>
          <w:sz w:val="28"/>
          <w:szCs w:val="28"/>
        </w:rPr>
        <w:t xml:space="preserve"> dichos organismos despojándolos de </w:t>
      </w:r>
      <w:r w:rsidRPr="001F6315">
        <w:rPr>
          <w:rFonts w:cs="Arial"/>
          <w:sz w:val="28"/>
          <w:szCs w:val="28"/>
        </w:rPr>
        <w:lastRenderedPageBreak/>
        <w:t>inicio</w:t>
      </w:r>
      <w:r w:rsidR="00F3399C">
        <w:rPr>
          <w:rFonts w:cs="Arial"/>
          <w:sz w:val="28"/>
          <w:szCs w:val="28"/>
        </w:rPr>
        <w:t xml:space="preserve"> de la posibilidad</w:t>
      </w:r>
      <w:r w:rsidRPr="001F6315">
        <w:rPr>
          <w:rFonts w:cs="Arial"/>
          <w:sz w:val="28"/>
          <w:szCs w:val="28"/>
        </w:rPr>
        <w:t xml:space="preserve"> de que sus opiniones o requerimientos sean vinculantes.</w:t>
      </w:r>
      <w:r>
        <w:rPr>
          <w:rFonts w:cs="Arial"/>
          <w:sz w:val="28"/>
          <w:szCs w:val="28"/>
        </w:rPr>
        <w:t xml:space="preserve"> Con lo cual los convierten en estructuras virtualmente de adorno, elefantes blancos; espacios de participación y de consenso que al final no tienen ni tendrán ningún efecto jurídico, ninguna consecuencia en favor de los ciudadanos.</w:t>
      </w:r>
    </w:p>
    <w:p w:rsidR="001F6315" w:rsidRDefault="001F6315" w:rsidP="001F6315">
      <w:pPr>
        <w:spacing w:line="360" w:lineRule="auto"/>
        <w:rPr>
          <w:rFonts w:cs="Arial"/>
          <w:sz w:val="28"/>
          <w:szCs w:val="28"/>
        </w:rPr>
      </w:pPr>
    </w:p>
    <w:p w:rsidR="001F6315" w:rsidRDefault="001F6315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Tenemos muchos ejemplos: consejos de seguridad pública, consejos del transporte, consejos del deporte, consejos de planeación, consejos del agua potable, consejos de salud, comités de planeación, comités de desarrollo urbano, comités de movili</w:t>
      </w:r>
      <w:r w:rsidR="00236240">
        <w:rPr>
          <w:rFonts w:cs="Arial"/>
          <w:sz w:val="28"/>
          <w:szCs w:val="28"/>
        </w:rPr>
        <w:t xml:space="preserve">dad sustentable, comités </w:t>
      </w:r>
      <w:r w:rsidR="006500E5">
        <w:rPr>
          <w:rFonts w:cs="Arial"/>
          <w:sz w:val="28"/>
          <w:szCs w:val="28"/>
        </w:rPr>
        <w:t>financieros</w:t>
      </w:r>
      <w:r>
        <w:rPr>
          <w:rFonts w:cs="Arial"/>
          <w:sz w:val="28"/>
          <w:szCs w:val="28"/>
        </w:rPr>
        <w:t>, etc</w:t>
      </w:r>
      <w:r w:rsidR="00B93C97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, etcétera.</w:t>
      </w:r>
    </w:p>
    <w:p w:rsidR="001F6315" w:rsidRDefault="001F6315" w:rsidP="001F6315">
      <w:pPr>
        <w:spacing w:line="360" w:lineRule="auto"/>
        <w:rPr>
          <w:rFonts w:cs="Arial"/>
          <w:sz w:val="28"/>
          <w:szCs w:val="28"/>
        </w:rPr>
      </w:pPr>
    </w:p>
    <w:p w:rsidR="001F6315" w:rsidRDefault="001F6315" w:rsidP="001F6315">
      <w:pPr>
        <w:spacing w:line="360" w:lineRule="auto"/>
        <w:rPr>
          <w:rFonts w:cs="Arial"/>
          <w:b/>
          <w:sz w:val="28"/>
          <w:szCs w:val="28"/>
        </w:rPr>
      </w:pPr>
      <w:r w:rsidRPr="001F6315">
        <w:rPr>
          <w:rFonts w:cs="Arial"/>
          <w:b/>
          <w:sz w:val="28"/>
          <w:szCs w:val="28"/>
        </w:rPr>
        <w:t>¿Cuáles son las consecuencias de que un consejo o comité no posea atribuciones vinculantes en cuanto a sus opiniones, recomendaciones o requerimientos?</w:t>
      </w:r>
    </w:p>
    <w:p w:rsidR="001F6315" w:rsidRDefault="001F6315" w:rsidP="001F6315">
      <w:pPr>
        <w:spacing w:line="360" w:lineRule="auto"/>
        <w:rPr>
          <w:rFonts w:cs="Arial"/>
          <w:b/>
          <w:sz w:val="28"/>
          <w:szCs w:val="28"/>
        </w:rPr>
      </w:pP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  <w:r w:rsidRPr="0023379D">
        <w:rPr>
          <w:rFonts w:cs="Arial"/>
          <w:sz w:val="28"/>
          <w:szCs w:val="28"/>
        </w:rPr>
        <w:t xml:space="preserve">I.- </w:t>
      </w:r>
      <w:r>
        <w:rPr>
          <w:rFonts w:cs="Arial"/>
          <w:sz w:val="28"/>
          <w:szCs w:val="28"/>
        </w:rPr>
        <w:t>Sus actos no tienen repercusiones ni consecuencias legales.</w:t>
      </w: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II.- La no atención a sus opiniones o recomendaciones no genera la posibilidad de reclamos en la vía legal para los afectados,  especialmente para el ciudadano representado en ellos.</w:t>
      </w: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III.- Se desperdicia mucho trabajo valioso, proyectos, ideas, planes.</w:t>
      </w: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IV.- La representación ciudadana queda convertida en simulación.</w:t>
      </w: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V.- La aportación proveniente de voces calificadas y expertas termina por no servir de nada.</w:t>
      </w:r>
    </w:p>
    <w:p w:rsidR="0023379D" w:rsidRDefault="0023379D" w:rsidP="001F6315">
      <w:pPr>
        <w:spacing w:line="360" w:lineRule="auto"/>
        <w:rPr>
          <w:rFonts w:cs="Arial"/>
          <w:sz w:val="28"/>
          <w:szCs w:val="28"/>
        </w:rPr>
      </w:pPr>
    </w:p>
    <w:p w:rsidR="00D62EE4" w:rsidRPr="00D62EE4" w:rsidRDefault="00D62EE4" w:rsidP="001F6315">
      <w:pPr>
        <w:spacing w:line="360" w:lineRule="auto"/>
        <w:rPr>
          <w:rFonts w:cs="Arial"/>
          <w:b/>
          <w:sz w:val="28"/>
          <w:szCs w:val="28"/>
        </w:rPr>
      </w:pPr>
      <w:r w:rsidRPr="00D62EE4">
        <w:rPr>
          <w:rFonts w:cs="Arial"/>
          <w:b/>
          <w:sz w:val="28"/>
          <w:szCs w:val="28"/>
        </w:rPr>
        <w:t>Ventajas de que un consejo o un comité puedan emitir opiniones</w:t>
      </w:r>
      <w:r>
        <w:rPr>
          <w:rFonts w:cs="Arial"/>
          <w:b/>
          <w:sz w:val="28"/>
          <w:szCs w:val="28"/>
        </w:rPr>
        <w:t xml:space="preserve"> o recomendaciones</w:t>
      </w:r>
      <w:r w:rsidRPr="00D62EE4">
        <w:rPr>
          <w:rFonts w:cs="Arial"/>
          <w:b/>
          <w:sz w:val="28"/>
          <w:szCs w:val="28"/>
        </w:rPr>
        <w:t xml:space="preserve"> vinculantes</w:t>
      </w:r>
    </w:p>
    <w:p w:rsidR="001F6315" w:rsidRDefault="001F6315" w:rsidP="001F6315">
      <w:pPr>
        <w:spacing w:line="360" w:lineRule="auto"/>
        <w:rPr>
          <w:rFonts w:cs="Arial"/>
          <w:b/>
          <w:sz w:val="28"/>
          <w:szCs w:val="28"/>
        </w:rPr>
      </w:pP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I.- Generan consecuencias legales.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II.- Se deben acatar obligatoriamente las opiniones y recomendaciones.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III.- La negativa a acatar las recomendaciones abre la posibilidad de la interposición de medios de defensa.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IV.- Las ideas y proyectos de los miembros de dichos órganos se transforman en realidad.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D62EE4" w:rsidRDefault="00236240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V.- </w:t>
      </w:r>
      <w:r w:rsidR="00D62EE4">
        <w:rPr>
          <w:rFonts w:cs="Arial"/>
          <w:sz w:val="28"/>
          <w:szCs w:val="28"/>
        </w:rPr>
        <w:t>La experiencia, talento y conocimiento de los integrantes de los consejos y comités es aprovechado de manera positiva y realista.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D62EE4" w:rsidRPr="00D62EE4" w:rsidRDefault="00D62EE4" w:rsidP="00D62EE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D62EE4">
        <w:rPr>
          <w:rFonts w:cs="Arial"/>
          <w:b/>
          <w:sz w:val="28"/>
          <w:szCs w:val="28"/>
        </w:rPr>
        <w:t>Deficiencias de los Sistemas Anticorrupción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Desde su creación, el Sistema Nacional Anticorrupción ha enfrentado diversas críticas de parte de sectores sociales y de organismos especializados; para efectos de la presente, nos interesa de manera particular el que se refiere a la falta de vinculación de las opiniones emitid</w:t>
      </w:r>
      <w:r w:rsidR="00236240">
        <w:rPr>
          <w:rFonts w:cs="Arial"/>
          <w:sz w:val="28"/>
          <w:szCs w:val="28"/>
        </w:rPr>
        <w:t xml:space="preserve">as </w:t>
      </w:r>
      <w:r w:rsidR="00236240">
        <w:rPr>
          <w:rFonts w:cs="Arial"/>
          <w:sz w:val="28"/>
          <w:szCs w:val="28"/>
        </w:rPr>
        <w:lastRenderedPageBreak/>
        <w:t>por los Comités Coordinadores</w:t>
      </w:r>
      <w:r>
        <w:rPr>
          <w:rFonts w:cs="Arial"/>
          <w:sz w:val="28"/>
          <w:szCs w:val="28"/>
        </w:rPr>
        <w:t xml:space="preserve"> y por los Consejos de Participación Ciudadana.</w:t>
      </w:r>
    </w:p>
    <w:p w:rsidR="00D62EE4" w:rsidRDefault="00D62EE4" w:rsidP="001F6315">
      <w:pPr>
        <w:spacing w:line="360" w:lineRule="auto"/>
        <w:rPr>
          <w:rFonts w:cs="Arial"/>
          <w:sz w:val="28"/>
          <w:szCs w:val="28"/>
        </w:rPr>
      </w:pPr>
    </w:p>
    <w:p w:rsidR="00390FAE" w:rsidRDefault="00390FAE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Los motivos son los ya explicados; si no pueden emitir opiniones y recomendaciones vinculantes, entonces están de adorno, no sirven para nada o casi nada, y punto.</w:t>
      </w:r>
    </w:p>
    <w:p w:rsidR="00390FAE" w:rsidRDefault="00390FAE" w:rsidP="001F6315">
      <w:pPr>
        <w:spacing w:line="360" w:lineRule="auto"/>
        <w:rPr>
          <w:rFonts w:cs="Arial"/>
          <w:sz w:val="28"/>
          <w:szCs w:val="28"/>
        </w:rPr>
      </w:pPr>
    </w:p>
    <w:p w:rsidR="00390FAE" w:rsidRDefault="009C5D3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 este caso, no debemos dejar de lado la naturaleza del  Comité Coordinador, que posee las atribuciones ya señaladas con anterioridad, y su conformación consta de  todas las autoridades que encabezan el abanico de dependencias encargadas del aparato anticorrupción, además del presidente del Consejo de Participación Ciudadana, que a su vez representa a dicho consejo.</w:t>
      </w:r>
    </w:p>
    <w:p w:rsidR="009C5D34" w:rsidRDefault="009C5D34" w:rsidP="001F6315">
      <w:pPr>
        <w:spacing w:line="360" w:lineRule="auto"/>
        <w:rPr>
          <w:rFonts w:cs="Arial"/>
          <w:sz w:val="28"/>
          <w:szCs w:val="28"/>
        </w:rPr>
      </w:pPr>
    </w:p>
    <w:p w:rsidR="009C5D34" w:rsidRDefault="009C5D3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Revisamos por derecho comparado más de 14 leyes de sistemas anticorrupción locales. Y en efecto, de un modo o de otro evaden darle al Comité Coordinador la posibilidad de emitir recomendaciones vinculantes.</w:t>
      </w:r>
    </w:p>
    <w:p w:rsidR="009C5D34" w:rsidRDefault="009C5D34" w:rsidP="001F6315">
      <w:pPr>
        <w:spacing w:line="360" w:lineRule="auto"/>
        <w:rPr>
          <w:rFonts w:cs="Arial"/>
          <w:sz w:val="28"/>
          <w:szCs w:val="28"/>
        </w:rPr>
      </w:pPr>
    </w:p>
    <w:p w:rsidR="009C5D34" w:rsidRDefault="009C5D3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Encontramos el caso de excepción siguiente:</w:t>
      </w:r>
    </w:p>
    <w:p w:rsidR="009C5D34" w:rsidRPr="009C5D34" w:rsidRDefault="009C5D34" w:rsidP="001F6315">
      <w:pPr>
        <w:spacing w:line="360" w:lineRule="auto"/>
        <w:rPr>
          <w:rFonts w:cs="Arial"/>
          <w:i/>
          <w:sz w:val="28"/>
          <w:szCs w:val="28"/>
        </w:rPr>
      </w:pP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LEY DEL SISTEMA ESTATAL ANTICORRUPCIÓN DE BAJA CALIFORNIA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Artículo 9. El Comité Coordinador tendrá las siguientes facultades: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I…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II…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III….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lastRenderedPageBreak/>
        <w:t>IV…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….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>….</w:t>
      </w:r>
    </w:p>
    <w:p w:rsidR="009C5D34" w:rsidRPr="009C5D34" w:rsidRDefault="009C5D34" w:rsidP="009C5D34">
      <w:pPr>
        <w:spacing w:line="360" w:lineRule="auto"/>
        <w:rPr>
          <w:rFonts w:cs="Arial"/>
          <w:i/>
          <w:sz w:val="28"/>
          <w:szCs w:val="28"/>
        </w:rPr>
      </w:pPr>
      <w:r w:rsidRPr="009C5D34">
        <w:rPr>
          <w:rFonts w:cs="Arial"/>
          <w:i/>
          <w:sz w:val="28"/>
          <w:szCs w:val="28"/>
        </w:rPr>
        <w:t xml:space="preserve">IX. Con el objeto de garantizar la adopción de medidas dirigidas al fortalecimiento institucional para la prevención de faltas administrativas y hechos de corrupción, así como para mejorar el desempeño del control interno, el Comité Coordinador </w:t>
      </w:r>
      <w:r w:rsidRPr="009C5D34">
        <w:rPr>
          <w:rFonts w:cs="Arial"/>
          <w:b/>
          <w:i/>
          <w:sz w:val="28"/>
          <w:szCs w:val="28"/>
          <w:u w:val="single"/>
        </w:rPr>
        <w:t>emitirá recomendaciones públicas vinculantes</w:t>
      </w:r>
      <w:r w:rsidRPr="009C5D34">
        <w:rPr>
          <w:rFonts w:cs="Arial"/>
          <w:i/>
          <w:sz w:val="28"/>
          <w:szCs w:val="28"/>
        </w:rPr>
        <w:t xml:space="preserve"> ante las autoridades respectivas y les dará seguimiento en términos de esta Ley;</w:t>
      </w:r>
    </w:p>
    <w:p w:rsidR="009C5D34" w:rsidRDefault="009C5D34" w:rsidP="001F6315">
      <w:pPr>
        <w:spacing w:line="360" w:lineRule="auto"/>
        <w:rPr>
          <w:rFonts w:cs="Arial"/>
          <w:sz w:val="28"/>
          <w:szCs w:val="28"/>
        </w:rPr>
      </w:pPr>
    </w:p>
    <w:p w:rsidR="009C5D34" w:rsidRPr="009C5D34" w:rsidRDefault="009C5D34" w:rsidP="001F631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así que consideramos más que fundada la necesidad de modificar el contenido de la fracción XIII del artículo 9 de la Ley del Sistema Anticorrupción del Estado de Coahuila.</w:t>
      </w:r>
    </w:p>
    <w:p w:rsidR="009C5D34" w:rsidRPr="00D62EE4" w:rsidRDefault="009C5D34" w:rsidP="001F6315">
      <w:pPr>
        <w:spacing w:line="360" w:lineRule="auto"/>
        <w:rPr>
          <w:rFonts w:cs="Arial"/>
          <w:sz w:val="28"/>
          <w:szCs w:val="28"/>
        </w:rPr>
      </w:pPr>
    </w:p>
    <w:p w:rsidR="00CE0336" w:rsidRPr="00CE0336" w:rsidRDefault="00CE0336" w:rsidP="00CE0336">
      <w:pPr>
        <w:spacing w:line="360" w:lineRule="auto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Por todo lo expuesto, tenemos a bien presentar la presente iniciativa con proyecto de:</w:t>
      </w:r>
    </w:p>
    <w:p w:rsidR="00CE0336" w:rsidRPr="00CE0336" w:rsidRDefault="00CE0336" w:rsidP="00CE0336">
      <w:pPr>
        <w:spacing w:line="360" w:lineRule="auto"/>
        <w:jc w:val="center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DECRETO</w:t>
      </w:r>
    </w:p>
    <w:p w:rsidR="00CE0336" w:rsidRPr="00CE0336" w:rsidRDefault="00CE0336" w:rsidP="00CE0336">
      <w:pPr>
        <w:spacing w:line="360" w:lineRule="auto"/>
        <w:rPr>
          <w:rFonts w:cs="Arial"/>
          <w:b/>
          <w:sz w:val="28"/>
          <w:szCs w:val="28"/>
        </w:rPr>
      </w:pPr>
    </w:p>
    <w:p w:rsidR="00CE0336" w:rsidRPr="00CE0336" w:rsidRDefault="00CE0336" w:rsidP="00CE0336">
      <w:pPr>
        <w:spacing w:after="200" w:line="360" w:lineRule="auto"/>
        <w:rPr>
          <w:rFonts w:cs="Arial"/>
          <w:sz w:val="28"/>
          <w:szCs w:val="28"/>
        </w:rPr>
      </w:pPr>
      <w:r w:rsidRPr="00CE0336">
        <w:rPr>
          <w:rFonts w:cs="Arial"/>
          <w:b/>
          <w:sz w:val="28"/>
          <w:szCs w:val="28"/>
        </w:rPr>
        <w:t>ARTÍCULO ÚNICO:</w:t>
      </w:r>
      <w:r w:rsidR="009C5D34">
        <w:rPr>
          <w:rFonts w:cs="Arial"/>
          <w:sz w:val="28"/>
          <w:szCs w:val="28"/>
        </w:rPr>
        <w:t xml:space="preserve"> Se modifica el contenido </w:t>
      </w:r>
      <w:r w:rsidRPr="00CE0336">
        <w:rPr>
          <w:rFonts w:cs="Arial"/>
          <w:sz w:val="28"/>
          <w:szCs w:val="28"/>
        </w:rPr>
        <w:t xml:space="preserve">de la fracción </w:t>
      </w:r>
      <w:r w:rsidR="009C5D34">
        <w:rPr>
          <w:rFonts w:cs="Arial"/>
          <w:sz w:val="28"/>
          <w:szCs w:val="28"/>
        </w:rPr>
        <w:t>XIII del artículo 9</w:t>
      </w:r>
      <w:r w:rsidR="00236240">
        <w:rPr>
          <w:rFonts w:cs="Arial"/>
          <w:sz w:val="28"/>
          <w:szCs w:val="28"/>
        </w:rPr>
        <w:t xml:space="preserve"> de la Ley del Sistema</w:t>
      </w:r>
      <w:r w:rsidRPr="00CE0336">
        <w:rPr>
          <w:rFonts w:cs="Arial"/>
          <w:sz w:val="28"/>
          <w:szCs w:val="28"/>
        </w:rPr>
        <w:t xml:space="preserve"> Anticorrupción del Estado de Coahuila de Zaragoza, para quedar como sigue:</w:t>
      </w:r>
    </w:p>
    <w:p w:rsidR="009C5D34" w:rsidRPr="009C5D34" w:rsidRDefault="00B93C97" w:rsidP="009C5D34">
      <w:pPr>
        <w:rPr>
          <w:rFonts w:eastAsia="Calibri" w:cs="Arial"/>
          <w:sz w:val="32"/>
          <w:szCs w:val="32"/>
          <w:lang w:eastAsia="en-US"/>
        </w:rPr>
      </w:pPr>
      <w:r>
        <w:rPr>
          <w:rFonts w:eastAsia="Calibri" w:cs="Arial"/>
          <w:sz w:val="32"/>
          <w:szCs w:val="32"/>
          <w:lang w:eastAsia="en-US"/>
        </w:rPr>
        <w:t>Artículo 9…..</w:t>
      </w:r>
    </w:p>
    <w:p w:rsidR="009C5D34" w:rsidRPr="009C5D34" w:rsidRDefault="009C5D34" w:rsidP="009C5D34">
      <w:pPr>
        <w:rPr>
          <w:rFonts w:eastAsia="Calibri" w:cs="Arial"/>
          <w:sz w:val="32"/>
          <w:szCs w:val="32"/>
          <w:lang w:eastAsia="en-US"/>
        </w:rPr>
      </w:pPr>
    </w:p>
    <w:p w:rsidR="00CE0336" w:rsidRDefault="009C5D34" w:rsidP="00CE0336">
      <w:pPr>
        <w:spacing w:after="200" w:line="276" w:lineRule="auto"/>
        <w:rPr>
          <w:rFonts w:eastAsia="Calibri" w:cs="Arial"/>
          <w:sz w:val="32"/>
          <w:szCs w:val="32"/>
          <w:lang w:eastAsia="en-US"/>
        </w:rPr>
      </w:pPr>
      <w:r w:rsidRPr="009C5D34">
        <w:rPr>
          <w:rFonts w:eastAsia="Calibri" w:cs="Arial"/>
          <w:sz w:val="32"/>
          <w:szCs w:val="32"/>
          <w:lang w:eastAsia="en-US"/>
        </w:rPr>
        <w:t>I a la XII…</w:t>
      </w:r>
    </w:p>
    <w:p w:rsidR="003A0E33" w:rsidRPr="009C5D34" w:rsidRDefault="009C5D34" w:rsidP="009C5D34">
      <w:pPr>
        <w:rPr>
          <w:rFonts w:eastAsia="Calibri" w:cs="Arial"/>
          <w:sz w:val="32"/>
          <w:szCs w:val="32"/>
          <w:lang w:eastAsia="en-US"/>
        </w:rPr>
      </w:pPr>
      <w:r w:rsidRPr="009C5D34">
        <w:rPr>
          <w:rFonts w:eastAsia="Calibri" w:cs="Arial"/>
          <w:sz w:val="32"/>
          <w:szCs w:val="32"/>
          <w:lang w:eastAsia="en-US"/>
        </w:rPr>
        <w:lastRenderedPageBreak/>
        <w:t>XIII.</w:t>
      </w:r>
      <w:r w:rsidRPr="009C5D34">
        <w:rPr>
          <w:rFonts w:eastAsia="Calibri" w:cs="Arial"/>
          <w:sz w:val="32"/>
          <w:szCs w:val="32"/>
          <w:lang w:eastAsia="en-US"/>
        </w:rPr>
        <w:tab/>
        <w:t>Con el objeto de garantizar la adopción de medidas dirigidas al fortalecimiento institucional para la prevención de faltas administrativas y hechos de corrupción, así como para mejorar el desempeño del control interno, el Comité Coordinador emitirá recomendaciones</w:t>
      </w:r>
      <w:r w:rsidR="003A0E33">
        <w:rPr>
          <w:rFonts w:eastAsia="Calibri" w:cs="Arial"/>
          <w:sz w:val="32"/>
          <w:szCs w:val="32"/>
          <w:lang w:eastAsia="en-US"/>
        </w:rPr>
        <w:t xml:space="preserve"> públicas</w:t>
      </w:r>
      <w:r w:rsidRPr="009C5D34">
        <w:rPr>
          <w:rFonts w:eastAsia="Calibri" w:cs="Arial"/>
          <w:sz w:val="32"/>
          <w:szCs w:val="32"/>
          <w:lang w:eastAsia="en-US"/>
        </w:rPr>
        <w:t xml:space="preserve"> </w:t>
      </w:r>
      <w:r w:rsidRPr="003A0E33">
        <w:rPr>
          <w:rFonts w:eastAsia="Calibri" w:cs="Arial"/>
          <w:b/>
          <w:sz w:val="32"/>
          <w:szCs w:val="32"/>
          <w:lang w:eastAsia="en-US"/>
        </w:rPr>
        <w:t>vinculantes</w:t>
      </w:r>
      <w:r w:rsidRPr="009C5D34">
        <w:rPr>
          <w:rFonts w:eastAsia="Calibri" w:cs="Arial"/>
          <w:sz w:val="32"/>
          <w:szCs w:val="32"/>
          <w:lang w:eastAsia="en-US"/>
        </w:rPr>
        <w:t xml:space="preserve"> ante las autoridades respectivas y les dará seguimiento en términos de esta ley; </w:t>
      </w:r>
    </w:p>
    <w:p w:rsidR="009C5D34" w:rsidRDefault="009C5D34" w:rsidP="00CE0336">
      <w:pPr>
        <w:spacing w:after="200" w:line="276" w:lineRule="auto"/>
        <w:rPr>
          <w:rFonts w:eastAsia="Calibri" w:cs="Arial"/>
          <w:sz w:val="32"/>
          <w:szCs w:val="32"/>
          <w:lang w:eastAsia="en-US"/>
        </w:rPr>
      </w:pPr>
    </w:p>
    <w:p w:rsidR="003A0E33" w:rsidRPr="009C5D34" w:rsidRDefault="003A0E33" w:rsidP="00CE0336">
      <w:pPr>
        <w:spacing w:after="200" w:line="276" w:lineRule="auto"/>
        <w:rPr>
          <w:rFonts w:eastAsia="Calibri" w:cs="Arial"/>
          <w:sz w:val="32"/>
          <w:szCs w:val="32"/>
          <w:lang w:eastAsia="en-US"/>
        </w:rPr>
      </w:pPr>
      <w:r>
        <w:rPr>
          <w:rFonts w:eastAsia="Calibri" w:cs="Arial"/>
          <w:sz w:val="32"/>
          <w:szCs w:val="32"/>
          <w:lang w:eastAsia="en-US"/>
        </w:rPr>
        <w:t>XIV……</w:t>
      </w:r>
    </w:p>
    <w:p w:rsidR="00CE0336" w:rsidRPr="00CE0336" w:rsidRDefault="00CE0336" w:rsidP="00CE0336">
      <w:pPr>
        <w:spacing w:line="360" w:lineRule="auto"/>
        <w:jc w:val="center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TRANSITORIOS</w:t>
      </w:r>
    </w:p>
    <w:p w:rsidR="00CE0336" w:rsidRPr="00CE0336" w:rsidRDefault="00CE0336" w:rsidP="00CE0336">
      <w:pPr>
        <w:spacing w:line="360" w:lineRule="auto"/>
        <w:rPr>
          <w:rFonts w:cs="Arial"/>
          <w:sz w:val="28"/>
          <w:szCs w:val="28"/>
        </w:rPr>
      </w:pPr>
    </w:p>
    <w:p w:rsidR="00CE0336" w:rsidRPr="00CE0336" w:rsidRDefault="00CE0336" w:rsidP="00CE0336">
      <w:pPr>
        <w:spacing w:line="360" w:lineRule="auto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Primero. -  El presente Decreto entrará en vigor al día siguiente de su publicación en el Periódico Oficial del Estado.</w:t>
      </w:r>
    </w:p>
    <w:p w:rsidR="00CE0336" w:rsidRPr="00236240" w:rsidRDefault="00CE0336" w:rsidP="005B17BA">
      <w:pPr>
        <w:spacing w:line="360" w:lineRule="auto"/>
        <w:rPr>
          <w:rFonts w:cs="Arial"/>
          <w:sz w:val="28"/>
          <w:szCs w:val="28"/>
        </w:rPr>
      </w:pPr>
      <w:r w:rsidRPr="00236240">
        <w:rPr>
          <w:rFonts w:cs="Arial"/>
          <w:sz w:val="28"/>
          <w:szCs w:val="28"/>
        </w:rPr>
        <w:t xml:space="preserve">Segundo.-  </w:t>
      </w:r>
      <w:r w:rsidR="005B17BA" w:rsidRPr="00236240">
        <w:rPr>
          <w:rFonts w:cs="Arial"/>
          <w:sz w:val="28"/>
          <w:szCs w:val="28"/>
        </w:rPr>
        <w:t xml:space="preserve"> </w:t>
      </w:r>
      <w:r w:rsidR="003A0E33" w:rsidRPr="00236240">
        <w:rPr>
          <w:rFonts w:cs="Arial"/>
          <w:sz w:val="28"/>
          <w:szCs w:val="28"/>
        </w:rPr>
        <w:t>Las recomendaciones emitidas por el Comité Coordinador en los términos de la fracción XIII del artículo 9, tendrán carácter vinculante todas las que sean emitidas en fecha posterior a la entrada en vigor del presente decreto.</w:t>
      </w:r>
    </w:p>
    <w:p w:rsidR="003A0E33" w:rsidRPr="00236240" w:rsidRDefault="003A0E33" w:rsidP="005B17BA">
      <w:pPr>
        <w:spacing w:line="360" w:lineRule="auto"/>
        <w:rPr>
          <w:rFonts w:cs="Arial"/>
          <w:sz w:val="28"/>
          <w:szCs w:val="28"/>
        </w:rPr>
      </w:pPr>
    </w:p>
    <w:p w:rsidR="00CE0336" w:rsidRPr="00236240" w:rsidRDefault="003A0E33" w:rsidP="00CE0336">
      <w:pPr>
        <w:spacing w:line="360" w:lineRule="auto"/>
        <w:rPr>
          <w:rFonts w:cs="Arial"/>
          <w:sz w:val="28"/>
          <w:szCs w:val="28"/>
        </w:rPr>
      </w:pPr>
      <w:r w:rsidRPr="00236240">
        <w:rPr>
          <w:rFonts w:cs="Arial"/>
          <w:sz w:val="28"/>
          <w:szCs w:val="28"/>
        </w:rPr>
        <w:t>Tercero.- Se derogan todas las disposiciones que se opongan al presente decreto.</w:t>
      </w:r>
    </w:p>
    <w:p w:rsidR="00CE0336" w:rsidRPr="00CE0336" w:rsidRDefault="00CE0336" w:rsidP="00736F98">
      <w:pPr>
        <w:keepNext/>
        <w:keepLines/>
        <w:spacing w:before="200" w:line="360" w:lineRule="auto"/>
        <w:jc w:val="center"/>
        <w:outlineLvl w:val="4"/>
        <w:rPr>
          <w:rFonts w:cs="Arial"/>
          <w:sz w:val="28"/>
          <w:szCs w:val="28"/>
          <w:lang w:val="es-ES_tradnl"/>
        </w:rPr>
      </w:pPr>
      <w:r w:rsidRPr="00CE0336">
        <w:rPr>
          <w:rFonts w:cs="Arial"/>
          <w:sz w:val="28"/>
          <w:szCs w:val="28"/>
          <w:lang w:val="es-ES_tradnl"/>
        </w:rPr>
        <w:t>ATENTAMENTE</w:t>
      </w:r>
    </w:p>
    <w:p w:rsidR="00CE0336" w:rsidRPr="00CE0336" w:rsidRDefault="00CE0336" w:rsidP="00736F98">
      <w:pPr>
        <w:spacing w:after="200" w:line="360" w:lineRule="auto"/>
        <w:jc w:val="center"/>
        <w:rPr>
          <w:rFonts w:eastAsia="Calibri" w:cs="Arial"/>
          <w:sz w:val="28"/>
          <w:szCs w:val="28"/>
          <w:lang w:eastAsia="en-US"/>
        </w:rPr>
      </w:pPr>
      <w:r w:rsidRPr="00CE0336">
        <w:rPr>
          <w:rFonts w:eastAsia="Calibri" w:cs="Arial"/>
          <w:sz w:val="28"/>
          <w:szCs w:val="28"/>
          <w:lang w:eastAsia="en-US"/>
        </w:rPr>
        <w:t>“POR UNA PATRIA ORDENADA Y GENEROSA Y UNA VIDA MEJOR Y MÁS DIGNA PARA TODOS”</w:t>
      </w:r>
    </w:p>
    <w:p w:rsidR="00CE0336" w:rsidRPr="00CE0336" w:rsidRDefault="00CE0336" w:rsidP="00736F98">
      <w:pPr>
        <w:spacing w:after="200" w:line="360" w:lineRule="auto"/>
        <w:jc w:val="center"/>
        <w:rPr>
          <w:rFonts w:eastAsia="Calibri" w:cs="Arial"/>
          <w:b/>
          <w:noProof/>
          <w:sz w:val="28"/>
          <w:szCs w:val="28"/>
          <w:lang w:eastAsia="es-MX"/>
        </w:rPr>
      </w:pPr>
      <w:r w:rsidRPr="00CE0336">
        <w:rPr>
          <w:rFonts w:eastAsia="Calibri" w:cs="Arial"/>
          <w:b/>
          <w:bCs/>
          <w:sz w:val="28"/>
          <w:szCs w:val="28"/>
          <w:lang w:eastAsia="en-US"/>
        </w:rPr>
        <w:t>GRUPO PARLAMENTARIO “DEL PARTIDO ACCION NACIONAL</w:t>
      </w:r>
      <w:r w:rsidR="00736F98">
        <w:rPr>
          <w:rFonts w:eastAsia="Calibri" w:cs="Arial"/>
          <w:b/>
          <w:bCs/>
          <w:sz w:val="28"/>
          <w:szCs w:val="28"/>
          <w:lang w:eastAsia="en-US"/>
        </w:rPr>
        <w:t>”</w:t>
      </w:r>
    </w:p>
    <w:p w:rsidR="00C543AD" w:rsidRDefault="00C543AD" w:rsidP="00C543AD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Saltillo, Coahuila de Zaragoza, 29 de noviembre de 2019</w:t>
      </w:r>
    </w:p>
    <w:p w:rsidR="00C543AD" w:rsidRDefault="00C543AD" w:rsidP="00C543AD">
      <w:pPr>
        <w:jc w:val="center"/>
      </w:pPr>
      <w:r>
        <w:rPr>
          <w:noProof/>
          <w:lang w:eastAsia="es-MX"/>
        </w:rPr>
        <w:t xml:space="preserve"> </w:t>
      </w:r>
    </w:p>
    <w:p w:rsidR="00C543AD" w:rsidRDefault="00C543AD" w:rsidP="00C543AD">
      <w:pPr>
        <w:tabs>
          <w:tab w:val="left" w:pos="5056"/>
        </w:tabs>
        <w:rPr>
          <w:rFonts w:cs="Arial"/>
          <w:b/>
        </w:rPr>
      </w:pPr>
    </w:p>
    <w:p w:rsidR="00C543AD" w:rsidRDefault="00C543AD" w:rsidP="00C543AD"/>
    <w:p w:rsidR="00C543AD" w:rsidRDefault="00C543AD" w:rsidP="00C543AD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543AD" w:rsidRDefault="00C543AD" w:rsidP="00C543AD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543AD" w:rsidRPr="00C543AD" w:rsidRDefault="00C543AD" w:rsidP="00C543AD">
      <w:pPr>
        <w:pStyle w:val="Cuerpo"/>
        <w:spacing w:line="360" w:lineRule="auto"/>
        <w:jc w:val="center"/>
        <w:rPr>
          <w:rFonts w:asciiTheme="minorHAnsi" w:hAnsiTheme="minorHAnsi" w:cstheme="minorHAnsi"/>
        </w:rPr>
      </w:pPr>
      <w:r w:rsidRPr="00C543AD">
        <w:rPr>
          <w:rFonts w:asciiTheme="minorHAnsi" w:hAnsiTheme="minorHAnsi" w:cstheme="minorHAnsi"/>
        </w:rPr>
        <w:t xml:space="preserve">DIP. </w:t>
      </w:r>
      <w:r w:rsidRPr="00C543AD">
        <w:rPr>
          <w:rFonts w:cstheme="minorHAnsi"/>
          <w:lang w:val="pt-BR"/>
        </w:rPr>
        <w:t xml:space="preserve">GERARDO ABRAHAM AGUADO GÓMEZ </w:t>
      </w:r>
    </w:p>
    <w:p w:rsidR="00C543AD" w:rsidRPr="00C543AD" w:rsidRDefault="00C543AD" w:rsidP="00C543AD">
      <w:pPr>
        <w:pStyle w:val="Cuerpo"/>
        <w:spacing w:line="360" w:lineRule="auto"/>
        <w:jc w:val="center"/>
        <w:rPr>
          <w:rFonts w:asciiTheme="minorHAnsi" w:eastAsia="Arial" w:hAnsiTheme="minorHAnsi" w:cstheme="minorHAnsi"/>
          <w:color w:val="auto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C543AD" w:rsidRPr="00C543AD" w:rsidTr="00C543AD">
        <w:trPr>
          <w:trHeight w:val="1570"/>
        </w:trPr>
        <w:tc>
          <w:tcPr>
            <w:tcW w:w="5471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ab/>
            </w:r>
            <w:r w:rsidRPr="00C543AD">
              <w:rPr>
                <w:rFonts w:cstheme="minorHAnsi"/>
                <w:sz w:val="22"/>
                <w:szCs w:val="22"/>
              </w:rPr>
              <w:tab/>
            </w: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MARCELO DE JESÚS TORRES COFIÑO</w:t>
            </w:r>
          </w:p>
        </w:tc>
        <w:tc>
          <w:tcPr>
            <w:tcW w:w="4594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MARÍA EUGENIA CÁZARES MARTÍNEZ</w:t>
            </w:r>
          </w:p>
        </w:tc>
      </w:tr>
      <w:tr w:rsidR="00C543AD" w:rsidRPr="00C543AD" w:rsidTr="00C543AD">
        <w:trPr>
          <w:trHeight w:val="398"/>
        </w:trPr>
        <w:tc>
          <w:tcPr>
            <w:tcW w:w="5471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ROSA NILDA GONZÁLEZ NORIEGA</w:t>
            </w:r>
          </w:p>
        </w:tc>
        <w:tc>
          <w:tcPr>
            <w:tcW w:w="4594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BLANCA EPPEN CANALES</w:t>
            </w:r>
          </w:p>
        </w:tc>
      </w:tr>
      <w:tr w:rsidR="00C543AD" w:rsidRPr="00C543AD" w:rsidTr="00C543AD">
        <w:trPr>
          <w:trHeight w:val="398"/>
        </w:trPr>
        <w:tc>
          <w:tcPr>
            <w:tcW w:w="5471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FERNANDO IZAGUIRRE VALDÉS</w:t>
            </w:r>
          </w:p>
        </w:tc>
        <w:tc>
          <w:tcPr>
            <w:tcW w:w="4594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  <w:lang w:val="pt-BR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  <w:lang w:val="pt-BR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  <w:lang w:val="pt-BR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  <w:lang w:val="pt-BR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  <w:lang w:val="pt-BR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GABRIELA ZAPOPAN GARZA GALVÁN</w:t>
            </w:r>
          </w:p>
        </w:tc>
      </w:tr>
      <w:tr w:rsidR="00C543AD" w:rsidRPr="00C543AD" w:rsidTr="00C543AD">
        <w:trPr>
          <w:trHeight w:val="398"/>
        </w:trPr>
        <w:tc>
          <w:tcPr>
            <w:tcW w:w="5471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JUAN ANTONIO GARCÍA VILLA</w:t>
            </w:r>
          </w:p>
        </w:tc>
        <w:tc>
          <w:tcPr>
            <w:tcW w:w="4594" w:type="dxa"/>
          </w:tcPr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C543AD" w:rsidRPr="00C543AD" w:rsidRDefault="00C543A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C543AD">
              <w:rPr>
                <w:rFonts w:cstheme="minorHAnsi"/>
                <w:sz w:val="22"/>
                <w:szCs w:val="22"/>
              </w:rPr>
              <w:t>DIP. JUAN CARLOS GUERRA LÓPEZ NEGRETE</w:t>
            </w:r>
          </w:p>
        </w:tc>
      </w:tr>
    </w:tbl>
    <w:p w:rsidR="00C543AD" w:rsidRPr="00C543AD" w:rsidRDefault="00C543AD" w:rsidP="00C543AD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theme="minorHAnsi"/>
          <w:b/>
          <w:sz w:val="22"/>
          <w:szCs w:val="22"/>
        </w:rPr>
      </w:pPr>
    </w:p>
    <w:sectPr w:rsidR="00C543AD" w:rsidRPr="00C543AD" w:rsidSect="002B7452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F1" w:rsidRDefault="00A95FF1" w:rsidP="005F5CDF">
      <w:r>
        <w:separator/>
      </w:r>
    </w:p>
  </w:endnote>
  <w:endnote w:type="continuationSeparator" w:id="0">
    <w:p w:rsidR="00A95FF1" w:rsidRDefault="00A95FF1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F1" w:rsidRDefault="00A95FF1" w:rsidP="005F5CDF">
      <w:r>
        <w:separator/>
      </w:r>
    </w:p>
  </w:footnote>
  <w:footnote w:type="continuationSeparator" w:id="0">
    <w:p w:rsidR="00A95FF1" w:rsidRDefault="00A95FF1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2B7452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BB7610A" wp14:editId="7512BEDB">
          <wp:simplePos x="0" y="0"/>
          <wp:positionH relativeFrom="column">
            <wp:posOffset>-344983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0FD83C8" wp14:editId="18B539D8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A97"/>
    <w:multiLevelType w:val="hybridMultilevel"/>
    <w:tmpl w:val="744617D4"/>
    <w:lvl w:ilvl="0" w:tplc="F3CC7518">
      <w:start w:val="1"/>
      <w:numFmt w:val="lowerLetter"/>
      <w:lvlText w:val="%1)"/>
      <w:lvlJc w:val="left"/>
      <w:pPr>
        <w:ind w:left="802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68A1922"/>
    <w:multiLevelType w:val="hybridMultilevel"/>
    <w:tmpl w:val="43E8A7FC"/>
    <w:lvl w:ilvl="0" w:tplc="96C8E5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6B2"/>
    <w:multiLevelType w:val="hybridMultilevel"/>
    <w:tmpl w:val="47B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0101"/>
    <w:multiLevelType w:val="hybridMultilevel"/>
    <w:tmpl w:val="133899D8"/>
    <w:lvl w:ilvl="0" w:tplc="75CED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E94"/>
    <w:multiLevelType w:val="hybridMultilevel"/>
    <w:tmpl w:val="E0FE0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D384B"/>
    <w:multiLevelType w:val="hybridMultilevel"/>
    <w:tmpl w:val="C4326B0E"/>
    <w:lvl w:ilvl="0" w:tplc="5C54721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D7B3D88"/>
    <w:multiLevelType w:val="hybridMultilevel"/>
    <w:tmpl w:val="1D800660"/>
    <w:lvl w:ilvl="0" w:tplc="CC8CD0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21E9"/>
    <w:rsid w:val="00025D38"/>
    <w:rsid w:val="00026EE4"/>
    <w:rsid w:val="00027600"/>
    <w:rsid w:val="000320ED"/>
    <w:rsid w:val="00073FE7"/>
    <w:rsid w:val="0008011D"/>
    <w:rsid w:val="00087107"/>
    <w:rsid w:val="000A345E"/>
    <w:rsid w:val="000C3EA9"/>
    <w:rsid w:val="000D5FD7"/>
    <w:rsid w:val="000F5359"/>
    <w:rsid w:val="000F671A"/>
    <w:rsid w:val="000F7DD7"/>
    <w:rsid w:val="00106A1B"/>
    <w:rsid w:val="0012459C"/>
    <w:rsid w:val="00130E7A"/>
    <w:rsid w:val="00194D49"/>
    <w:rsid w:val="001A0425"/>
    <w:rsid w:val="001B0AAF"/>
    <w:rsid w:val="001C0895"/>
    <w:rsid w:val="001C262D"/>
    <w:rsid w:val="001C7A9D"/>
    <w:rsid w:val="001F6315"/>
    <w:rsid w:val="0021060F"/>
    <w:rsid w:val="00221F1D"/>
    <w:rsid w:val="00232165"/>
    <w:rsid w:val="0023379D"/>
    <w:rsid w:val="00236240"/>
    <w:rsid w:val="00254652"/>
    <w:rsid w:val="00254ABD"/>
    <w:rsid w:val="00254FBA"/>
    <w:rsid w:val="00262AB9"/>
    <w:rsid w:val="00264118"/>
    <w:rsid w:val="002669ED"/>
    <w:rsid w:val="00274CCC"/>
    <w:rsid w:val="00281D9E"/>
    <w:rsid w:val="00285962"/>
    <w:rsid w:val="0028784F"/>
    <w:rsid w:val="00290F49"/>
    <w:rsid w:val="00296A0E"/>
    <w:rsid w:val="002A4080"/>
    <w:rsid w:val="002B0ED2"/>
    <w:rsid w:val="002B31BE"/>
    <w:rsid w:val="002B7452"/>
    <w:rsid w:val="002C4603"/>
    <w:rsid w:val="002F49C3"/>
    <w:rsid w:val="003504A1"/>
    <w:rsid w:val="00353ED9"/>
    <w:rsid w:val="003555B0"/>
    <w:rsid w:val="00390FAE"/>
    <w:rsid w:val="0039353D"/>
    <w:rsid w:val="0039486D"/>
    <w:rsid w:val="003A0E33"/>
    <w:rsid w:val="003A5DF3"/>
    <w:rsid w:val="003A645F"/>
    <w:rsid w:val="003B1838"/>
    <w:rsid w:val="003B5446"/>
    <w:rsid w:val="003C3D60"/>
    <w:rsid w:val="003D06B0"/>
    <w:rsid w:val="003D2FDB"/>
    <w:rsid w:val="003E51F3"/>
    <w:rsid w:val="003F0059"/>
    <w:rsid w:val="004151A8"/>
    <w:rsid w:val="00425852"/>
    <w:rsid w:val="00426999"/>
    <w:rsid w:val="00426CFC"/>
    <w:rsid w:val="00441C0B"/>
    <w:rsid w:val="004738AA"/>
    <w:rsid w:val="00474F12"/>
    <w:rsid w:val="00480AC4"/>
    <w:rsid w:val="004937AE"/>
    <w:rsid w:val="004A1E19"/>
    <w:rsid w:val="004B0334"/>
    <w:rsid w:val="004C3AEE"/>
    <w:rsid w:val="004D02FF"/>
    <w:rsid w:val="004D6508"/>
    <w:rsid w:val="004D7D18"/>
    <w:rsid w:val="004F599A"/>
    <w:rsid w:val="00516565"/>
    <w:rsid w:val="005A48AC"/>
    <w:rsid w:val="005A782D"/>
    <w:rsid w:val="005B17BA"/>
    <w:rsid w:val="005B4F9D"/>
    <w:rsid w:val="005C2676"/>
    <w:rsid w:val="005C4D8C"/>
    <w:rsid w:val="005F5CDF"/>
    <w:rsid w:val="00635C3B"/>
    <w:rsid w:val="006500E5"/>
    <w:rsid w:val="00652894"/>
    <w:rsid w:val="00655844"/>
    <w:rsid w:val="006A336A"/>
    <w:rsid w:val="006B0FB2"/>
    <w:rsid w:val="006B1699"/>
    <w:rsid w:val="006C6358"/>
    <w:rsid w:val="006E0959"/>
    <w:rsid w:val="007052DB"/>
    <w:rsid w:val="007239B0"/>
    <w:rsid w:val="0072632C"/>
    <w:rsid w:val="00735D63"/>
    <w:rsid w:val="00736F98"/>
    <w:rsid w:val="00791C4D"/>
    <w:rsid w:val="00791DB3"/>
    <w:rsid w:val="00793BBA"/>
    <w:rsid w:val="007954C9"/>
    <w:rsid w:val="0079564A"/>
    <w:rsid w:val="007A54A0"/>
    <w:rsid w:val="007B25CC"/>
    <w:rsid w:val="007D59A5"/>
    <w:rsid w:val="007E08F9"/>
    <w:rsid w:val="007E336A"/>
    <w:rsid w:val="007F15B5"/>
    <w:rsid w:val="007F55D4"/>
    <w:rsid w:val="007F5817"/>
    <w:rsid w:val="007F6A4E"/>
    <w:rsid w:val="00814FCC"/>
    <w:rsid w:val="00837BCB"/>
    <w:rsid w:val="008471FA"/>
    <w:rsid w:val="00856A42"/>
    <w:rsid w:val="00867A01"/>
    <w:rsid w:val="00876CF2"/>
    <w:rsid w:val="0088184B"/>
    <w:rsid w:val="008A19E1"/>
    <w:rsid w:val="008B4A15"/>
    <w:rsid w:val="008B4A6D"/>
    <w:rsid w:val="008E7DDC"/>
    <w:rsid w:val="008F7F57"/>
    <w:rsid w:val="0092296C"/>
    <w:rsid w:val="009345E5"/>
    <w:rsid w:val="00947B84"/>
    <w:rsid w:val="009534A7"/>
    <w:rsid w:val="00954C50"/>
    <w:rsid w:val="00956F1D"/>
    <w:rsid w:val="00957E69"/>
    <w:rsid w:val="00981067"/>
    <w:rsid w:val="00994D5B"/>
    <w:rsid w:val="00996355"/>
    <w:rsid w:val="009A5E64"/>
    <w:rsid w:val="009A72B8"/>
    <w:rsid w:val="009A76A7"/>
    <w:rsid w:val="009C5D34"/>
    <w:rsid w:val="009E019F"/>
    <w:rsid w:val="00A14D63"/>
    <w:rsid w:val="00A20864"/>
    <w:rsid w:val="00A60E21"/>
    <w:rsid w:val="00A75D02"/>
    <w:rsid w:val="00A86435"/>
    <w:rsid w:val="00A95FF1"/>
    <w:rsid w:val="00A96E6D"/>
    <w:rsid w:val="00AA6CAF"/>
    <w:rsid w:val="00AB178D"/>
    <w:rsid w:val="00AF180C"/>
    <w:rsid w:val="00AF54DC"/>
    <w:rsid w:val="00AF6E20"/>
    <w:rsid w:val="00B32DCB"/>
    <w:rsid w:val="00B40E60"/>
    <w:rsid w:val="00B93C97"/>
    <w:rsid w:val="00BB6574"/>
    <w:rsid w:val="00BB6977"/>
    <w:rsid w:val="00BE7054"/>
    <w:rsid w:val="00C105D3"/>
    <w:rsid w:val="00C345B3"/>
    <w:rsid w:val="00C35F98"/>
    <w:rsid w:val="00C511FE"/>
    <w:rsid w:val="00C543AD"/>
    <w:rsid w:val="00C65C3E"/>
    <w:rsid w:val="00C735B2"/>
    <w:rsid w:val="00C77BA8"/>
    <w:rsid w:val="00C97127"/>
    <w:rsid w:val="00C97FF6"/>
    <w:rsid w:val="00CC6CDE"/>
    <w:rsid w:val="00CD4F0C"/>
    <w:rsid w:val="00CE0336"/>
    <w:rsid w:val="00CE1CDB"/>
    <w:rsid w:val="00CF4E80"/>
    <w:rsid w:val="00CF5F37"/>
    <w:rsid w:val="00D0211C"/>
    <w:rsid w:val="00D023D6"/>
    <w:rsid w:val="00D07273"/>
    <w:rsid w:val="00D07DDA"/>
    <w:rsid w:val="00D46F67"/>
    <w:rsid w:val="00D62EE4"/>
    <w:rsid w:val="00D72149"/>
    <w:rsid w:val="00D93EAD"/>
    <w:rsid w:val="00DA6402"/>
    <w:rsid w:val="00DB5A30"/>
    <w:rsid w:val="00DC5E78"/>
    <w:rsid w:val="00DC7192"/>
    <w:rsid w:val="00DD093A"/>
    <w:rsid w:val="00DD1B31"/>
    <w:rsid w:val="00DE58AD"/>
    <w:rsid w:val="00DF5D80"/>
    <w:rsid w:val="00E00FBC"/>
    <w:rsid w:val="00E16665"/>
    <w:rsid w:val="00E2259C"/>
    <w:rsid w:val="00E235EE"/>
    <w:rsid w:val="00E31C39"/>
    <w:rsid w:val="00E32B2D"/>
    <w:rsid w:val="00E34A49"/>
    <w:rsid w:val="00E37FE8"/>
    <w:rsid w:val="00E44062"/>
    <w:rsid w:val="00E46AF9"/>
    <w:rsid w:val="00E50303"/>
    <w:rsid w:val="00E64808"/>
    <w:rsid w:val="00E7452C"/>
    <w:rsid w:val="00EA17F9"/>
    <w:rsid w:val="00EB71D1"/>
    <w:rsid w:val="00EC227F"/>
    <w:rsid w:val="00ED30EE"/>
    <w:rsid w:val="00EF3371"/>
    <w:rsid w:val="00F0496A"/>
    <w:rsid w:val="00F16D84"/>
    <w:rsid w:val="00F23A78"/>
    <w:rsid w:val="00F3399C"/>
    <w:rsid w:val="00F37CEB"/>
    <w:rsid w:val="00F65866"/>
    <w:rsid w:val="00F728AE"/>
    <w:rsid w:val="00F73A0E"/>
    <w:rsid w:val="00F92018"/>
    <w:rsid w:val="00F92913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45B3"/>
    <w:pPr>
      <w:ind w:left="720"/>
      <w:contextualSpacing/>
    </w:pPr>
  </w:style>
  <w:style w:type="paragraph" w:styleId="Sinespaciado">
    <w:name w:val="No Spacing"/>
    <w:uiPriority w:val="1"/>
    <w:qFormat/>
    <w:rsid w:val="00DD093A"/>
    <w:pPr>
      <w:spacing w:after="0" w:line="240" w:lineRule="auto"/>
    </w:pPr>
  </w:style>
  <w:style w:type="paragraph" w:customStyle="1" w:styleId="Cuerpo">
    <w:name w:val="Cuerpo"/>
    <w:rsid w:val="00C543AD"/>
    <w:pPr>
      <w:spacing w:line="256" w:lineRule="auto"/>
    </w:pPr>
    <w:rPr>
      <w:rFonts w:ascii="Calibri" w:eastAsia="Calibri" w:hAnsi="Calibri" w:cs="Calibri"/>
      <w:color w:val="000000"/>
      <w:u w:color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 Teniente</cp:lastModifiedBy>
  <cp:revision>4</cp:revision>
  <cp:lastPrinted>2019-11-27T15:35:00Z</cp:lastPrinted>
  <dcterms:created xsi:type="dcterms:W3CDTF">2019-11-29T18:12:00Z</dcterms:created>
  <dcterms:modified xsi:type="dcterms:W3CDTF">2020-10-23T03:37:00Z</dcterms:modified>
</cp:coreProperties>
</file>