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7B" w:rsidRDefault="006C067B" w:rsidP="006C067B">
      <w:pPr>
        <w:tabs>
          <w:tab w:val="left" w:pos="5056"/>
        </w:tabs>
        <w:rPr>
          <w:rFonts w:ascii="Arial Narrow" w:hAnsi="Arial Narrow" w:cs="Times New Roman"/>
          <w:color w:val="000000"/>
          <w:sz w:val="26"/>
          <w:szCs w:val="26"/>
          <w:lang w:val="es-MX" w:eastAsia="es-ES"/>
        </w:rPr>
      </w:pPr>
      <w:r w:rsidRPr="006C067B">
        <w:rPr>
          <w:rFonts w:ascii="Arial Narrow" w:hAnsi="Arial Narrow" w:cs="Times New Roman"/>
          <w:color w:val="000000"/>
          <w:sz w:val="26"/>
          <w:szCs w:val="26"/>
          <w:lang w:val="es-MX" w:eastAsia="es-ES"/>
        </w:rPr>
        <w:t xml:space="preserve">Iniciativa con Proyecto de Decreto, por la que modifica la fracción II del artículo 117, y se modifica el contenido del artículo 122 de la </w:t>
      </w:r>
      <w:r w:rsidRPr="006C067B">
        <w:rPr>
          <w:rFonts w:ascii="Arial Narrow" w:hAnsi="Arial Narrow" w:cs="Times New Roman"/>
          <w:b/>
          <w:color w:val="000000"/>
          <w:sz w:val="26"/>
          <w:szCs w:val="26"/>
          <w:lang w:val="es-MX" w:eastAsia="es-ES"/>
        </w:rPr>
        <w:t>Ley de Acceso a la Información Pública para el Estado de Coahuila de Zaragoza</w:t>
      </w:r>
      <w:r>
        <w:rPr>
          <w:rFonts w:ascii="Arial Narrow" w:hAnsi="Arial Narrow" w:cs="Times New Roman"/>
          <w:color w:val="000000"/>
          <w:sz w:val="26"/>
          <w:szCs w:val="26"/>
          <w:lang w:val="es-MX" w:eastAsia="es-ES"/>
        </w:rPr>
        <w:t>.</w:t>
      </w:r>
    </w:p>
    <w:p w:rsidR="006C067B" w:rsidRDefault="006C067B" w:rsidP="006C067B">
      <w:pPr>
        <w:tabs>
          <w:tab w:val="left" w:pos="5056"/>
        </w:tabs>
        <w:rPr>
          <w:rFonts w:ascii="Arial Narrow" w:hAnsi="Arial Narrow" w:cs="Times New Roman"/>
          <w:color w:val="000000"/>
          <w:sz w:val="26"/>
          <w:szCs w:val="26"/>
          <w:lang w:val="es-MX" w:eastAsia="es-ES"/>
        </w:rPr>
      </w:pPr>
    </w:p>
    <w:p w:rsidR="006C067B" w:rsidRPr="006C067B" w:rsidRDefault="006C067B" w:rsidP="006C067B">
      <w:pPr>
        <w:widowControl w:val="0"/>
        <w:numPr>
          <w:ilvl w:val="0"/>
          <w:numId w:val="20"/>
        </w:numPr>
        <w:tabs>
          <w:tab w:val="left" w:pos="5056"/>
        </w:tabs>
        <w:contextualSpacing/>
        <w:rPr>
          <w:rFonts w:ascii="Arial Narrow" w:hAnsi="Arial Narrow" w:cs="Times New Roman"/>
          <w:b/>
          <w:snapToGrid w:val="0"/>
          <w:color w:val="000000"/>
          <w:sz w:val="26"/>
          <w:szCs w:val="26"/>
          <w:lang w:val="es-MX" w:eastAsia="es-ES"/>
        </w:rPr>
      </w:pPr>
      <w:r w:rsidRPr="006C067B">
        <w:rPr>
          <w:rFonts w:ascii="Arial Narrow" w:hAnsi="Arial Narrow" w:cs="Times New Roman"/>
          <w:b/>
          <w:snapToGrid w:val="0"/>
          <w:color w:val="000000"/>
          <w:sz w:val="26"/>
          <w:szCs w:val="26"/>
          <w:lang w:val="es-MX" w:eastAsia="es-ES"/>
        </w:rPr>
        <w:t>C</w:t>
      </w:r>
      <w:r w:rsidRPr="006C067B">
        <w:rPr>
          <w:rFonts w:ascii="Arial Narrow" w:hAnsi="Arial Narrow" w:cs="Times New Roman"/>
          <w:b/>
          <w:snapToGrid w:val="0"/>
          <w:color w:val="000000"/>
          <w:sz w:val="26"/>
          <w:szCs w:val="26"/>
          <w:lang w:val="es-MX" w:eastAsia="es-ES"/>
        </w:rPr>
        <w:t xml:space="preserve">on la finalidad de establecer el deber del Instituto de verificar en los resolutivos recaídos a los recursos de revisión, </w:t>
      </w:r>
      <w:proofErr w:type="gramStart"/>
      <w:r w:rsidRPr="006C067B">
        <w:rPr>
          <w:rFonts w:ascii="Arial Narrow" w:hAnsi="Arial Narrow" w:cs="Times New Roman"/>
          <w:b/>
          <w:snapToGrid w:val="0"/>
          <w:color w:val="000000"/>
          <w:sz w:val="26"/>
          <w:szCs w:val="26"/>
          <w:lang w:val="es-MX" w:eastAsia="es-ES"/>
        </w:rPr>
        <w:t>los referente</w:t>
      </w:r>
      <w:proofErr w:type="gramEnd"/>
      <w:r w:rsidRPr="006C067B">
        <w:rPr>
          <w:rFonts w:ascii="Arial Narrow" w:hAnsi="Arial Narrow" w:cs="Times New Roman"/>
          <w:b/>
          <w:snapToGrid w:val="0"/>
          <w:color w:val="000000"/>
          <w:sz w:val="26"/>
          <w:szCs w:val="26"/>
          <w:lang w:val="es-MX" w:eastAsia="es-ES"/>
        </w:rPr>
        <w:t xml:space="preserve"> a la entrega de la información de parte del sujeto obligado, y en su caso, analizar las atribuciones esgrimidas para declararse incompetente.</w:t>
      </w:r>
    </w:p>
    <w:p w:rsidR="006C067B" w:rsidRDefault="006C067B" w:rsidP="006C067B">
      <w:pPr>
        <w:tabs>
          <w:tab w:val="left" w:pos="5056"/>
        </w:tabs>
        <w:rPr>
          <w:rFonts w:ascii="Arial Narrow" w:hAnsi="Arial Narrow" w:cs="Times New Roman"/>
          <w:color w:val="000000"/>
          <w:sz w:val="26"/>
          <w:szCs w:val="26"/>
          <w:lang w:val="es-MX" w:eastAsia="es-ES"/>
        </w:rPr>
      </w:pPr>
    </w:p>
    <w:p w:rsidR="006C067B" w:rsidRPr="00644079" w:rsidRDefault="006C067B" w:rsidP="006C067B">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6C067B">
        <w:rPr>
          <w:rFonts w:ascii="Arial Narrow" w:hAnsi="Arial Narrow" w:cs="Times New Roman"/>
          <w:b/>
          <w:color w:val="000000"/>
          <w:sz w:val="26"/>
          <w:szCs w:val="26"/>
          <w:lang w:val="es-MX" w:eastAsia="es-ES"/>
        </w:rPr>
        <w:t>María Eugenia Cázares Martínez</w:t>
      </w:r>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6C067B" w:rsidRPr="00644079" w:rsidRDefault="006C067B" w:rsidP="006C067B">
      <w:pPr>
        <w:rPr>
          <w:rFonts w:ascii="Arial Narrow" w:hAnsi="Arial Narrow" w:cs="Times New Roman"/>
          <w:color w:val="000000"/>
          <w:sz w:val="26"/>
          <w:szCs w:val="26"/>
          <w:lang w:val="es-MX" w:eastAsia="es-ES"/>
        </w:rPr>
      </w:pPr>
    </w:p>
    <w:p w:rsidR="006C067B" w:rsidRPr="00644079" w:rsidRDefault="006C067B" w:rsidP="006C067B">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21</w:t>
      </w:r>
      <w:r w:rsidRPr="00644079">
        <w:rPr>
          <w:rFonts w:ascii="Arial Narrow" w:hAnsi="Arial Narrow" w:cs="Times New Roman"/>
          <w:b/>
          <w:color w:val="000000"/>
          <w:sz w:val="26"/>
          <w:szCs w:val="26"/>
          <w:lang w:val="es-MX" w:eastAsia="es-ES"/>
        </w:rPr>
        <w:t xml:space="preserve"> de </w:t>
      </w:r>
      <w:proofErr w:type="gramStart"/>
      <w:r w:rsidRPr="00644079">
        <w:rPr>
          <w:rFonts w:ascii="Arial Narrow" w:hAnsi="Arial Narrow" w:cs="Times New Roman"/>
          <w:b/>
          <w:color w:val="000000"/>
          <w:sz w:val="26"/>
          <w:szCs w:val="26"/>
          <w:lang w:val="es-MX" w:eastAsia="es-ES"/>
        </w:rPr>
        <w:t>Mayo</w:t>
      </w:r>
      <w:proofErr w:type="gramEnd"/>
      <w:r w:rsidRPr="00644079">
        <w:rPr>
          <w:rFonts w:ascii="Arial Narrow" w:hAnsi="Arial Narrow" w:cs="Times New Roman"/>
          <w:b/>
          <w:color w:val="000000"/>
          <w:sz w:val="26"/>
          <w:szCs w:val="26"/>
          <w:lang w:val="es-MX" w:eastAsia="es-ES"/>
        </w:rPr>
        <w:t xml:space="preserve"> de 2020.</w:t>
      </w:r>
    </w:p>
    <w:p w:rsidR="006C067B" w:rsidRPr="00644079" w:rsidRDefault="006C067B" w:rsidP="006C067B">
      <w:pPr>
        <w:rPr>
          <w:rFonts w:ascii="Arial Narrow" w:hAnsi="Arial Narrow"/>
          <w:sz w:val="26"/>
          <w:szCs w:val="26"/>
          <w:lang w:val="es-MX" w:eastAsia="es-ES"/>
        </w:rPr>
      </w:pPr>
    </w:p>
    <w:p w:rsidR="006C067B" w:rsidRPr="006C067B" w:rsidRDefault="006C067B" w:rsidP="006C067B">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6C067B">
        <w:rPr>
          <w:rFonts w:ascii="Arial Narrow" w:hAnsi="Arial Narrow" w:cs="Times New Roman"/>
          <w:b/>
          <w:color w:val="000000"/>
          <w:sz w:val="26"/>
          <w:szCs w:val="26"/>
          <w:lang w:val="es-MX" w:eastAsia="es-ES"/>
        </w:rPr>
        <w:t>Comisión de Transparencia y Acceso a la Información.</w:t>
      </w:r>
    </w:p>
    <w:p w:rsidR="006C067B" w:rsidRPr="00644079" w:rsidRDefault="006C067B" w:rsidP="006C067B">
      <w:pPr>
        <w:tabs>
          <w:tab w:val="left" w:pos="5056"/>
        </w:tabs>
        <w:rPr>
          <w:rFonts w:ascii="Arial Narrow" w:hAnsi="Arial Narrow" w:cs="Times New Roman"/>
          <w:color w:val="000000"/>
          <w:sz w:val="26"/>
          <w:szCs w:val="26"/>
          <w:lang w:val="es-MX" w:eastAsia="es-ES"/>
        </w:rPr>
      </w:pPr>
    </w:p>
    <w:p w:rsidR="006C067B" w:rsidRPr="00644079" w:rsidRDefault="006C067B" w:rsidP="006C067B">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Lectura del Dictamen: </w:t>
      </w:r>
    </w:p>
    <w:p w:rsidR="006C067B" w:rsidRPr="00644079" w:rsidRDefault="006C067B" w:rsidP="006C067B">
      <w:pPr>
        <w:rPr>
          <w:rFonts w:ascii="Arial Narrow" w:hAnsi="Arial Narrow" w:cs="Times New Roman"/>
          <w:b/>
          <w:color w:val="000000"/>
          <w:sz w:val="26"/>
          <w:szCs w:val="26"/>
          <w:lang w:val="es-MX" w:eastAsia="es-ES"/>
        </w:rPr>
      </w:pPr>
    </w:p>
    <w:p w:rsidR="006C067B" w:rsidRPr="00644079" w:rsidRDefault="006C067B" w:rsidP="006C067B">
      <w:pPr>
        <w:rPr>
          <w:rFonts w:ascii="Arial Narrow" w:hAnsi="Arial Narrow" w:cs="Times New Roman"/>
          <w:b/>
          <w:color w:val="000000"/>
          <w:sz w:val="26"/>
          <w:szCs w:val="26"/>
          <w:lang w:val="es-MX" w:eastAsia="es-ES"/>
        </w:rPr>
      </w:pPr>
      <w:r w:rsidRPr="00644079">
        <w:rPr>
          <w:rFonts w:ascii="Arial Narrow" w:hAnsi="Arial Narrow" w:cs="Times New Roman"/>
          <w:b/>
          <w:color w:val="000000"/>
          <w:sz w:val="26"/>
          <w:szCs w:val="26"/>
          <w:lang w:val="es-MX" w:eastAsia="es-ES"/>
        </w:rPr>
        <w:t xml:space="preserve">Decreto No. </w:t>
      </w:r>
    </w:p>
    <w:p w:rsidR="006C067B" w:rsidRPr="00644079" w:rsidRDefault="006C067B" w:rsidP="006C067B">
      <w:pPr>
        <w:rPr>
          <w:rFonts w:ascii="Arial Narrow" w:hAnsi="Arial Narrow" w:cs="Times New Roman"/>
          <w:b/>
          <w:color w:val="000000"/>
          <w:sz w:val="26"/>
          <w:szCs w:val="26"/>
          <w:lang w:val="es-MX" w:eastAsia="es-ES"/>
        </w:rPr>
      </w:pPr>
    </w:p>
    <w:p w:rsidR="006C067B" w:rsidRPr="00644079" w:rsidRDefault="006C067B" w:rsidP="006C067B">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Publicación en el Periódico Oficial del Gobierno del Estado:</w:t>
      </w:r>
      <w:r w:rsidRPr="00644079">
        <w:rPr>
          <w:rFonts w:ascii="Arial Narrow" w:hAnsi="Arial Narrow" w:cs="Times New Roman"/>
          <w:b/>
          <w:color w:val="000000"/>
          <w:sz w:val="26"/>
          <w:szCs w:val="26"/>
          <w:lang w:val="es-MX" w:eastAsia="es-ES"/>
        </w:rPr>
        <w:t xml:space="preserve"> </w:t>
      </w:r>
    </w:p>
    <w:p w:rsidR="006C067B" w:rsidRPr="006C067B" w:rsidRDefault="006C067B"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lang w:val="es-MX"/>
        </w:rPr>
      </w:pPr>
    </w:p>
    <w:p w:rsidR="006C067B" w:rsidRDefault="006C067B"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6C067B" w:rsidRDefault="006C067B">
      <w:pPr>
        <w:jc w:val="left"/>
        <w:rPr>
          <w:b/>
          <w:sz w:val="24"/>
          <w:szCs w:val="24"/>
        </w:rPr>
      </w:pPr>
      <w:r>
        <w:rPr>
          <w:b/>
          <w:sz w:val="24"/>
          <w:szCs w:val="24"/>
        </w:rPr>
        <w:br w:type="page"/>
      </w:r>
    </w:p>
    <w:p w:rsidR="00AB498D" w:rsidRPr="00656963"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656963">
        <w:rPr>
          <w:b/>
          <w:sz w:val="24"/>
          <w:szCs w:val="24"/>
        </w:rPr>
        <w:lastRenderedPageBreak/>
        <w:t xml:space="preserve">H. PLENO DEL CONGRESO DEL ESTADO </w:t>
      </w:r>
    </w:p>
    <w:p w:rsidR="00AB498D" w:rsidRPr="00656963"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656963">
        <w:rPr>
          <w:b/>
          <w:sz w:val="24"/>
          <w:szCs w:val="24"/>
        </w:rPr>
        <w:t>DE COAHUILA DE ZARAGOZA.</w:t>
      </w:r>
    </w:p>
    <w:p w:rsidR="00AB498D" w:rsidRPr="00656963"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r w:rsidRPr="00656963">
        <w:rPr>
          <w:b/>
          <w:sz w:val="24"/>
          <w:szCs w:val="24"/>
        </w:rPr>
        <w:t xml:space="preserve">PRESENTE. – </w:t>
      </w:r>
    </w:p>
    <w:p w:rsidR="00AB498D" w:rsidRPr="00656963" w:rsidRDefault="00AB498D" w:rsidP="00AB4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rsidR="00AB498D" w:rsidRPr="00656963" w:rsidRDefault="00550DE2" w:rsidP="00AB498D">
      <w:pPr>
        <w:spacing w:line="360" w:lineRule="auto"/>
        <w:rPr>
          <w:b/>
          <w:sz w:val="24"/>
          <w:szCs w:val="24"/>
          <w:lang w:eastAsia="es-ES"/>
        </w:rPr>
      </w:pPr>
      <w:r w:rsidRPr="00656963">
        <w:rPr>
          <w:b/>
          <w:sz w:val="24"/>
          <w:szCs w:val="24"/>
          <w:lang w:eastAsia="es-ES"/>
        </w:rPr>
        <w:t>Iniciativa que presenta la diputada</w:t>
      </w:r>
      <w:r w:rsidR="00AB498D" w:rsidRPr="00656963">
        <w:rPr>
          <w:b/>
          <w:sz w:val="24"/>
          <w:szCs w:val="24"/>
          <w:lang w:eastAsia="es-ES"/>
        </w:rPr>
        <w:t xml:space="preserve"> </w:t>
      </w:r>
      <w:r w:rsidRPr="00656963">
        <w:rPr>
          <w:b/>
          <w:sz w:val="24"/>
          <w:szCs w:val="24"/>
          <w:lang w:eastAsia="es-ES"/>
        </w:rPr>
        <w:t xml:space="preserve"> María Eugenia Cázares Martínez</w:t>
      </w:r>
      <w:r w:rsidR="00AB498D" w:rsidRPr="00656963">
        <w:rPr>
          <w:b/>
          <w:sz w:val="24"/>
          <w:szCs w:val="24"/>
          <w:lang w:eastAsia="es-ES"/>
        </w:rPr>
        <w:t>, conjuntamente con los diputados del Grupo Parlamentario “Del Parti</w:t>
      </w:r>
      <w:r w:rsidR="006F488C" w:rsidRPr="00656963">
        <w:rPr>
          <w:b/>
          <w:sz w:val="24"/>
          <w:szCs w:val="24"/>
          <w:lang w:eastAsia="es-ES"/>
        </w:rPr>
        <w:t xml:space="preserve">do Acción Nacional”; </w:t>
      </w:r>
      <w:r w:rsidR="00AB498D" w:rsidRPr="00656963">
        <w:rPr>
          <w:b/>
          <w:sz w:val="24"/>
          <w:szCs w:val="24"/>
          <w:lang w:eastAsia="es-ES"/>
        </w:rPr>
        <w:t xml:space="preserve"> de conformidad a las atribuciones establecidas  en los  artículos 59 Fracción I,  y 67 Fracción I de la Constitución Política del Estado de Coahuila de Zaragoza, y con fundamento en los artículos </w:t>
      </w:r>
      <w:r w:rsidR="00CA2C11" w:rsidRPr="00656963">
        <w:rPr>
          <w:b/>
          <w:sz w:val="24"/>
          <w:szCs w:val="24"/>
          <w:lang w:eastAsia="es-ES"/>
        </w:rPr>
        <w:t xml:space="preserve">21 Fracción IV y 152 fracción I </w:t>
      </w:r>
      <w:r w:rsidR="00AB498D" w:rsidRPr="00656963">
        <w:rPr>
          <w:b/>
          <w:sz w:val="24"/>
          <w:szCs w:val="24"/>
          <w:lang w:eastAsia="es-ES"/>
        </w:rPr>
        <w:t xml:space="preserve"> de la Ley Orgánica del Congreso Local, presentamos  </w:t>
      </w:r>
      <w:bookmarkStart w:id="0" w:name="_Hlk35801407"/>
      <w:r w:rsidR="00AB498D" w:rsidRPr="00656963">
        <w:rPr>
          <w:b/>
          <w:sz w:val="24"/>
          <w:szCs w:val="24"/>
          <w:lang w:eastAsia="es-ES"/>
        </w:rPr>
        <w:t xml:space="preserve">INICIATIVA CON PROYECTO DE DECRETO  por la que </w:t>
      </w:r>
      <w:bookmarkStart w:id="1" w:name="_Hlk510431668"/>
      <w:bookmarkEnd w:id="0"/>
      <w:r w:rsidR="00EB592E" w:rsidRPr="00656963">
        <w:rPr>
          <w:b/>
          <w:sz w:val="24"/>
          <w:szCs w:val="24"/>
          <w:lang w:eastAsia="es-ES"/>
        </w:rPr>
        <w:t xml:space="preserve">modifica la fracción II del artículo 117, y se modifica el contenido del artículo 122 </w:t>
      </w:r>
      <w:r w:rsidR="00E45087" w:rsidRPr="00656963">
        <w:rPr>
          <w:b/>
          <w:sz w:val="24"/>
          <w:szCs w:val="24"/>
          <w:lang w:eastAsia="es-ES"/>
        </w:rPr>
        <w:t>de la Ley de Acceso a la Información Pública para el Estado de Coahuila de Zaragoza</w:t>
      </w:r>
      <w:r w:rsidR="00AB498D" w:rsidRPr="00656963">
        <w:rPr>
          <w:b/>
          <w:sz w:val="24"/>
          <w:szCs w:val="24"/>
          <w:lang w:eastAsia="es-ES"/>
        </w:rPr>
        <w:t>, con</w:t>
      </w:r>
      <w:r w:rsidR="00CA2C11" w:rsidRPr="00656963">
        <w:rPr>
          <w:b/>
          <w:sz w:val="24"/>
          <w:szCs w:val="24"/>
          <w:lang w:eastAsia="es-ES"/>
        </w:rPr>
        <w:t xml:space="preserve"> base en</w:t>
      </w:r>
      <w:r w:rsidR="00AB498D" w:rsidRPr="00656963">
        <w:rPr>
          <w:b/>
          <w:sz w:val="24"/>
          <w:szCs w:val="24"/>
          <w:lang w:eastAsia="es-ES"/>
        </w:rPr>
        <w:t xml:space="preserve"> la siguiente:</w:t>
      </w:r>
    </w:p>
    <w:p w:rsidR="006F488C" w:rsidRPr="00656963" w:rsidRDefault="006F488C" w:rsidP="00AB498D">
      <w:pPr>
        <w:spacing w:line="360" w:lineRule="auto"/>
        <w:rPr>
          <w:b/>
          <w:sz w:val="24"/>
          <w:szCs w:val="24"/>
          <w:lang w:eastAsia="es-ES"/>
        </w:rPr>
      </w:pPr>
    </w:p>
    <w:bookmarkEnd w:id="1"/>
    <w:p w:rsidR="00902F44" w:rsidRPr="00656963" w:rsidRDefault="00AB498D" w:rsidP="00DD6C02">
      <w:pPr>
        <w:spacing w:line="360" w:lineRule="auto"/>
        <w:jc w:val="center"/>
        <w:rPr>
          <w:sz w:val="24"/>
          <w:szCs w:val="24"/>
          <w:lang w:eastAsia="es-ES"/>
        </w:rPr>
      </w:pPr>
      <w:r w:rsidRPr="00656963">
        <w:rPr>
          <w:sz w:val="24"/>
          <w:szCs w:val="24"/>
          <w:lang w:eastAsia="es-ES"/>
        </w:rPr>
        <w:t>Exposición de motivos</w:t>
      </w:r>
    </w:p>
    <w:p w:rsidR="006757AC" w:rsidRPr="00656963" w:rsidRDefault="00D94CE2" w:rsidP="00D94CE2">
      <w:pPr>
        <w:spacing w:line="360" w:lineRule="auto"/>
        <w:jc w:val="left"/>
        <w:rPr>
          <w:sz w:val="24"/>
          <w:szCs w:val="24"/>
          <w:lang w:eastAsia="es-ES"/>
        </w:rPr>
      </w:pPr>
      <w:r w:rsidRPr="00656963">
        <w:rPr>
          <w:sz w:val="24"/>
          <w:szCs w:val="24"/>
          <w:lang w:eastAsia="es-ES"/>
        </w:rPr>
        <w:t>En fecha 12 de junio de 2019, presentamos una proposición con puntos de acuerdo, que en su petitorio refería lo siguiente:</w:t>
      </w:r>
    </w:p>
    <w:p w:rsidR="00D94CE2" w:rsidRPr="00656963" w:rsidRDefault="00D94CE2" w:rsidP="00D94CE2">
      <w:pPr>
        <w:spacing w:line="360" w:lineRule="auto"/>
        <w:jc w:val="left"/>
        <w:rPr>
          <w:sz w:val="24"/>
          <w:szCs w:val="24"/>
          <w:lang w:eastAsia="es-ES"/>
        </w:rPr>
      </w:pPr>
    </w:p>
    <w:p w:rsidR="00D94CE2" w:rsidRPr="00656963" w:rsidRDefault="00D94CE2" w:rsidP="00D94CE2">
      <w:pPr>
        <w:spacing w:line="360" w:lineRule="auto"/>
        <w:rPr>
          <w:sz w:val="24"/>
          <w:szCs w:val="24"/>
          <w:lang w:eastAsia="es-ES"/>
        </w:rPr>
      </w:pPr>
      <w:r w:rsidRPr="00656963">
        <w:rPr>
          <w:sz w:val="24"/>
          <w:szCs w:val="24"/>
          <w:lang w:eastAsia="es-ES"/>
        </w:rPr>
        <w:t>“…Se solicita al Consejo del Instituto Coahuilense de Acceso a la Información Pública que, una vez que realice el cumplimiento del acuerdo del INAI, recaído en el expediente RIA 0069/2019, relativo al destino y aplicación de la deuda Coahuilense contraída en el periodo 2010/2011, informe a este Poder Legislativo del mismo, así como de la información entregada por el sujeto obligado.”</w:t>
      </w:r>
      <w:r w:rsidR="00902F44" w:rsidRPr="00656963">
        <w:rPr>
          <w:sz w:val="24"/>
          <w:szCs w:val="24"/>
          <w:lang w:eastAsia="es-ES"/>
        </w:rPr>
        <w:t xml:space="preserve"> Fin de la cita.</w:t>
      </w:r>
    </w:p>
    <w:p w:rsidR="00902F44" w:rsidRPr="00656963" w:rsidRDefault="00902F44" w:rsidP="00D94CE2">
      <w:pPr>
        <w:spacing w:line="360" w:lineRule="auto"/>
        <w:rPr>
          <w:sz w:val="24"/>
          <w:szCs w:val="24"/>
          <w:lang w:eastAsia="es-ES"/>
        </w:rPr>
      </w:pPr>
    </w:p>
    <w:p w:rsidR="00D94CE2" w:rsidRPr="00656963" w:rsidRDefault="00D94CE2" w:rsidP="00D94CE2">
      <w:pPr>
        <w:spacing w:line="360" w:lineRule="auto"/>
        <w:rPr>
          <w:sz w:val="24"/>
          <w:szCs w:val="24"/>
          <w:lang w:eastAsia="es-ES"/>
        </w:rPr>
      </w:pPr>
      <w:r w:rsidRPr="00656963">
        <w:rPr>
          <w:sz w:val="24"/>
          <w:szCs w:val="24"/>
          <w:lang w:eastAsia="es-ES"/>
        </w:rPr>
        <w:t>Se trataba</w:t>
      </w:r>
      <w:r w:rsidR="00902F44" w:rsidRPr="00656963">
        <w:rPr>
          <w:sz w:val="24"/>
          <w:szCs w:val="24"/>
          <w:lang w:eastAsia="es-ES"/>
        </w:rPr>
        <w:t>,</w:t>
      </w:r>
      <w:r w:rsidRPr="00656963">
        <w:rPr>
          <w:sz w:val="24"/>
          <w:szCs w:val="24"/>
          <w:lang w:eastAsia="es-ES"/>
        </w:rPr>
        <w:t xml:space="preserve"> en pocas palabras, de un asunto donde el INAI le ordena al ICAI, emitir una nueva resolución en un caso donde tanto la ASE como la Secretaría de Finanzas negaban poseer información relativa al destino del pasivo coahuilense. Esto porque el ICAI, contrario a derecho, hizo oídos sordos ante los soli</w:t>
      </w:r>
      <w:r w:rsidR="00186888" w:rsidRPr="00656963">
        <w:rPr>
          <w:sz w:val="24"/>
          <w:szCs w:val="24"/>
          <w:lang w:eastAsia="es-ES"/>
        </w:rPr>
        <w:t>citantes, y pretendía convalidar</w:t>
      </w:r>
      <w:r w:rsidRPr="00656963">
        <w:rPr>
          <w:sz w:val="24"/>
          <w:szCs w:val="24"/>
          <w:lang w:eastAsia="es-ES"/>
        </w:rPr>
        <w:t xml:space="preserve"> </w:t>
      </w:r>
      <w:r w:rsidRPr="00656963">
        <w:rPr>
          <w:sz w:val="24"/>
          <w:szCs w:val="24"/>
          <w:lang w:eastAsia="es-ES"/>
        </w:rPr>
        <w:lastRenderedPageBreak/>
        <w:t>la negativa de existencia de la información, e</w:t>
      </w:r>
      <w:r w:rsidR="00902F44" w:rsidRPr="00656963">
        <w:rPr>
          <w:sz w:val="24"/>
          <w:szCs w:val="24"/>
          <w:lang w:eastAsia="es-ES"/>
        </w:rPr>
        <w:t>specialmente de parte de la ASE;</w:t>
      </w:r>
      <w:r w:rsidRPr="00656963">
        <w:rPr>
          <w:sz w:val="24"/>
          <w:szCs w:val="24"/>
          <w:lang w:eastAsia="es-ES"/>
        </w:rPr>
        <w:t xml:space="preserve"> que el INAI determinó que sí poseía la información solicitada.</w:t>
      </w:r>
    </w:p>
    <w:p w:rsidR="00902F44" w:rsidRPr="00656963" w:rsidRDefault="00902F44" w:rsidP="00D94CE2">
      <w:pPr>
        <w:spacing w:line="360" w:lineRule="auto"/>
        <w:rPr>
          <w:sz w:val="24"/>
          <w:szCs w:val="24"/>
          <w:lang w:eastAsia="es-ES"/>
        </w:rPr>
      </w:pPr>
    </w:p>
    <w:p w:rsidR="00D94CE2" w:rsidRPr="00656963" w:rsidRDefault="00186888" w:rsidP="00D94CE2">
      <w:pPr>
        <w:spacing w:line="360" w:lineRule="auto"/>
        <w:rPr>
          <w:sz w:val="24"/>
          <w:szCs w:val="24"/>
          <w:lang w:eastAsia="es-ES"/>
        </w:rPr>
      </w:pPr>
      <w:r w:rsidRPr="00656963">
        <w:rPr>
          <w:sz w:val="24"/>
          <w:szCs w:val="24"/>
          <w:lang w:eastAsia="es-ES"/>
        </w:rPr>
        <w:t>Hace días, se publicó un trabajo de investigación, sustentada en un documento denominado “ICAI: cómplice de la opacidad en Coahuila”.</w:t>
      </w:r>
    </w:p>
    <w:p w:rsidR="00186888" w:rsidRPr="00656963" w:rsidRDefault="00186888" w:rsidP="00D94CE2">
      <w:pPr>
        <w:spacing w:line="360" w:lineRule="auto"/>
        <w:rPr>
          <w:sz w:val="24"/>
          <w:szCs w:val="24"/>
          <w:lang w:eastAsia="es-ES"/>
        </w:rPr>
      </w:pPr>
    </w:p>
    <w:p w:rsidR="00186888" w:rsidRPr="00656963" w:rsidRDefault="00186888" w:rsidP="00D94CE2">
      <w:pPr>
        <w:spacing w:line="360" w:lineRule="auto"/>
        <w:rPr>
          <w:sz w:val="24"/>
          <w:szCs w:val="24"/>
          <w:lang w:eastAsia="es-ES"/>
        </w:rPr>
      </w:pPr>
      <w:r w:rsidRPr="00656963">
        <w:rPr>
          <w:sz w:val="24"/>
          <w:szCs w:val="24"/>
          <w:lang w:eastAsia="es-ES"/>
        </w:rPr>
        <w:t>El documento refiere entre otras cosas, lo siguiente:</w:t>
      </w:r>
    </w:p>
    <w:p w:rsidR="00186888" w:rsidRPr="00656963" w:rsidRDefault="00186888" w:rsidP="00D94CE2">
      <w:pPr>
        <w:spacing w:line="360" w:lineRule="auto"/>
        <w:rPr>
          <w:sz w:val="24"/>
          <w:szCs w:val="24"/>
          <w:lang w:eastAsia="es-ES"/>
        </w:rPr>
      </w:pPr>
      <w:r w:rsidRPr="00656963">
        <w:rPr>
          <w:sz w:val="24"/>
          <w:szCs w:val="24"/>
          <w:lang w:eastAsia="es-ES"/>
        </w:rPr>
        <w:t xml:space="preserve">Fuente: </w:t>
      </w:r>
      <w:hyperlink r:id="rId8" w:history="1">
        <w:r w:rsidRPr="00656963">
          <w:rPr>
            <w:rStyle w:val="Hipervnculo"/>
            <w:sz w:val="24"/>
            <w:szCs w:val="24"/>
            <w:lang w:eastAsia="es-ES"/>
          </w:rPr>
          <w:t>https://www.borderhub.org/</w:t>
        </w:r>
      </w:hyperlink>
    </w:p>
    <w:p w:rsidR="00186888" w:rsidRPr="00656963" w:rsidRDefault="00186888" w:rsidP="00D94CE2">
      <w:pPr>
        <w:spacing w:line="360" w:lineRule="auto"/>
        <w:rPr>
          <w:sz w:val="24"/>
          <w:szCs w:val="24"/>
          <w:lang w:eastAsia="es-ES"/>
        </w:rPr>
      </w:pPr>
    </w:p>
    <w:p w:rsidR="00186888" w:rsidRPr="00656963" w:rsidRDefault="00186888" w:rsidP="00D94CE2">
      <w:pPr>
        <w:spacing w:line="360" w:lineRule="auto"/>
        <w:rPr>
          <w:sz w:val="24"/>
          <w:szCs w:val="24"/>
          <w:lang w:eastAsia="es-ES"/>
        </w:rPr>
      </w:pPr>
      <w:r w:rsidRPr="00656963">
        <w:rPr>
          <w:sz w:val="24"/>
          <w:szCs w:val="24"/>
          <w:lang w:eastAsia="es-ES"/>
        </w:rPr>
        <w:t>El desempeño del Instituto Coahuilense de Acceso a la Información ayudó a que dependencias de los tres poderes del estado, órganos autónomos y el mismo ICAI lograran evadir posibles sanciones por obstruir el derecho a la información, en temas tan sensible como la deuda pública, las desapariciones forzadas y la violencia en Coahuila, de acuerdo con el análisis de una base de datos construida por este equipo de investigación.</w:t>
      </w:r>
    </w:p>
    <w:p w:rsidR="00186888" w:rsidRPr="00656963" w:rsidRDefault="00186888" w:rsidP="00D94CE2">
      <w:pPr>
        <w:spacing w:line="360" w:lineRule="auto"/>
        <w:rPr>
          <w:sz w:val="24"/>
          <w:szCs w:val="24"/>
          <w:lang w:eastAsia="es-ES"/>
        </w:rPr>
      </w:pPr>
    </w:p>
    <w:p w:rsidR="00186888" w:rsidRPr="00656963" w:rsidRDefault="00186888" w:rsidP="00186888">
      <w:pPr>
        <w:spacing w:line="360" w:lineRule="auto"/>
        <w:rPr>
          <w:sz w:val="24"/>
          <w:szCs w:val="24"/>
          <w:lang w:eastAsia="es-ES"/>
        </w:rPr>
      </w:pPr>
      <w:r w:rsidRPr="00656963">
        <w:rPr>
          <w:sz w:val="24"/>
          <w:szCs w:val="24"/>
          <w:lang w:eastAsia="es-ES"/>
        </w:rPr>
        <w:t xml:space="preserve">En mayo de 2019 el derecho al acceso a la información en Coahuila quedó en entredicho. Una negativa y reserva contundente ante una solicitante que buscaba conocer el destino de la deuda pública adquirida durante la administración estatal de Humberto Moreira hizo que los reflectores cayeran sobre el Instituto Coahuilense de Acceso a la Información (ICAI) y sus resoluciones. </w:t>
      </w:r>
    </w:p>
    <w:p w:rsidR="00186888" w:rsidRPr="00656963" w:rsidRDefault="00186888" w:rsidP="00186888">
      <w:pPr>
        <w:spacing w:line="360" w:lineRule="auto"/>
        <w:rPr>
          <w:sz w:val="24"/>
          <w:szCs w:val="24"/>
          <w:lang w:eastAsia="es-ES"/>
        </w:rPr>
      </w:pPr>
    </w:p>
    <w:p w:rsidR="00186888" w:rsidRPr="00656963" w:rsidRDefault="00186888" w:rsidP="00186888">
      <w:pPr>
        <w:spacing w:line="360" w:lineRule="auto"/>
        <w:rPr>
          <w:sz w:val="24"/>
          <w:szCs w:val="24"/>
          <w:lang w:eastAsia="es-ES"/>
        </w:rPr>
      </w:pPr>
      <w:r w:rsidRPr="00656963">
        <w:rPr>
          <w:sz w:val="24"/>
          <w:szCs w:val="24"/>
          <w:lang w:eastAsia="es-ES"/>
        </w:rPr>
        <w:t>La ciudadana tuvo que recurrir al Instituto Nacional de Acceso a la Información (INAI) y ahí vino el revés para el ICAI; se obligó al órgano coahuilense a aceptar públicamente que no procedió conforme a derecho y a modificar varios acuerdos del recurso de revisión en los que avaló la reserva de la información.</w:t>
      </w:r>
    </w:p>
    <w:p w:rsidR="00186888" w:rsidRPr="00656963" w:rsidRDefault="00186888" w:rsidP="00186888">
      <w:pPr>
        <w:spacing w:line="360" w:lineRule="auto"/>
        <w:rPr>
          <w:sz w:val="24"/>
          <w:szCs w:val="24"/>
          <w:lang w:eastAsia="es-ES"/>
        </w:rPr>
      </w:pPr>
    </w:p>
    <w:p w:rsidR="00186888" w:rsidRPr="00656963" w:rsidRDefault="00186888" w:rsidP="00186888">
      <w:pPr>
        <w:spacing w:line="360" w:lineRule="auto"/>
        <w:rPr>
          <w:sz w:val="24"/>
          <w:szCs w:val="24"/>
          <w:lang w:eastAsia="es-ES"/>
        </w:rPr>
      </w:pPr>
      <w:r w:rsidRPr="00656963">
        <w:rPr>
          <w:sz w:val="24"/>
          <w:szCs w:val="24"/>
          <w:lang w:eastAsia="es-ES"/>
        </w:rPr>
        <w:t xml:space="preserve">Una revisión hecha a mil 214 expedientes de inconformidad interpuestos por ciudadanos entre 2014 y 2018 ante el Consejo General del ICAI por las respuestas que obtuvieron </w:t>
      </w:r>
      <w:r w:rsidRPr="00656963">
        <w:rPr>
          <w:sz w:val="24"/>
          <w:szCs w:val="24"/>
          <w:lang w:eastAsia="es-ES"/>
        </w:rPr>
        <w:lastRenderedPageBreak/>
        <w:t xml:space="preserve">de las dependencias, muestra que este caso es solo uno de los tantos ejemplos de la ambigüedad con la que los consejeros del ICAI han trabajado por más de una década. </w:t>
      </w:r>
    </w:p>
    <w:p w:rsidR="00186888" w:rsidRPr="00656963" w:rsidRDefault="00186888" w:rsidP="00186888">
      <w:pPr>
        <w:spacing w:line="360" w:lineRule="auto"/>
        <w:rPr>
          <w:sz w:val="24"/>
          <w:szCs w:val="24"/>
          <w:lang w:eastAsia="es-ES"/>
        </w:rPr>
      </w:pPr>
    </w:p>
    <w:p w:rsidR="00186888" w:rsidRPr="00656963" w:rsidRDefault="00186888" w:rsidP="00186888">
      <w:pPr>
        <w:spacing w:line="360" w:lineRule="auto"/>
        <w:rPr>
          <w:sz w:val="24"/>
          <w:szCs w:val="24"/>
          <w:lang w:eastAsia="es-ES"/>
        </w:rPr>
      </w:pPr>
      <w:r w:rsidRPr="00656963">
        <w:rPr>
          <w:sz w:val="24"/>
          <w:szCs w:val="24"/>
          <w:lang w:eastAsia="es-ES"/>
        </w:rPr>
        <w:t xml:space="preserve">En los más de mil recursos de revisión analizados se encontró que en 720 se emitió un dictamen, es decir que la dependencia estaba obligada a entregar la información. De estos, en 615 el Consejo General del ICAI dio por cumplida la entrega de los datos, pero los expedientes muestran que en realidad en el 61%, es decir en 369, no se encontraron pruebas de que las dependencias realmente cumplieran, aunque el instituto asegurara lo contrario en su momento. </w:t>
      </w:r>
    </w:p>
    <w:p w:rsidR="00186888" w:rsidRPr="00656963" w:rsidRDefault="00186888" w:rsidP="00186888">
      <w:pPr>
        <w:spacing w:line="360" w:lineRule="auto"/>
        <w:rPr>
          <w:sz w:val="24"/>
          <w:szCs w:val="24"/>
          <w:lang w:eastAsia="es-ES"/>
        </w:rPr>
      </w:pPr>
      <w:r w:rsidRPr="00656963">
        <w:rPr>
          <w:noProof/>
          <w:sz w:val="24"/>
          <w:szCs w:val="24"/>
          <w:lang w:val="es-MX"/>
        </w:rPr>
        <w:drawing>
          <wp:inline distT="0" distB="0" distL="0" distR="0" wp14:anchorId="1EB4B0B8" wp14:editId="1CAA959A">
            <wp:extent cx="5971540" cy="336994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1540" cy="3369945"/>
                    </a:xfrm>
                    <a:prstGeom prst="rect">
                      <a:avLst/>
                    </a:prstGeom>
                  </pic:spPr>
                </pic:pic>
              </a:graphicData>
            </a:graphic>
          </wp:inline>
        </w:drawing>
      </w:r>
    </w:p>
    <w:p w:rsidR="00186888" w:rsidRPr="00656963" w:rsidRDefault="00186888" w:rsidP="00186888">
      <w:pPr>
        <w:spacing w:line="360" w:lineRule="auto"/>
        <w:rPr>
          <w:sz w:val="24"/>
          <w:szCs w:val="24"/>
          <w:lang w:eastAsia="es-ES"/>
        </w:rPr>
      </w:pPr>
      <w:r w:rsidRPr="00656963">
        <w:rPr>
          <w:sz w:val="24"/>
          <w:szCs w:val="24"/>
          <w:lang w:eastAsia="es-ES"/>
        </w:rPr>
        <w:t xml:space="preserve">A pesar de estos hallazgos, los actuales integrantes y ex consejeros del ICAI aseguran que su actuación ha sido apegada a derecho. Incluso minimizan la intervención del INAI sobre la forma en la que abordaron algunos casos. </w:t>
      </w:r>
    </w:p>
    <w:p w:rsidR="00186888" w:rsidRPr="00656963" w:rsidRDefault="00186888" w:rsidP="00186888">
      <w:pPr>
        <w:spacing w:line="360" w:lineRule="auto"/>
        <w:rPr>
          <w:sz w:val="24"/>
          <w:szCs w:val="24"/>
          <w:lang w:eastAsia="es-ES"/>
        </w:rPr>
      </w:pPr>
    </w:p>
    <w:p w:rsidR="00186888" w:rsidRPr="00656963" w:rsidRDefault="00186888" w:rsidP="00186888">
      <w:pPr>
        <w:spacing w:line="360" w:lineRule="auto"/>
        <w:rPr>
          <w:sz w:val="24"/>
          <w:szCs w:val="24"/>
          <w:lang w:eastAsia="es-ES"/>
        </w:rPr>
      </w:pPr>
      <w:r w:rsidRPr="00656963">
        <w:rPr>
          <w:sz w:val="24"/>
          <w:szCs w:val="24"/>
          <w:lang w:eastAsia="es-ES"/>
        </w:rPr>
        <w:t xml:space="preserve">“Nosotros llevamos más o menos 850 recursos en lo que va de este año (2019), y te puedo decir que solamente </w:t>
      </w:r>
      <w:proofErr w:type="gramStart"/>
      <w:r w:rsidRPr="00656963">
        <w:rPr>
          <w:sz w:val="24"/>
          <w:szCs w:val="24"/>
          <w:lang w:eastAsia="es-ES"/>
        </w:rPr>
        <w:t>han</w:t>
      </w:r>
      <w:proofErr w:type="gramEnd"/>
      <w:r w:rsidRPr="00656963">
        <w:rPr>
          <w:sz w:val="24"/>
          <w:szCs w:val="24"/>
          <w:lang w:eastAsia="es-ES"/>
        </w:rPr>
        <w:t xml:space="preserve"> habido ocho recursos de inconformidad ante el Instituto Nacional [...] estamos garantizando el derecho a la información y este es un parámetro </w:t>
      </w:r>
      <w:r w:rsidRPr="00656963">
        <w:rPr>
          <w:sz w:val="24"/>
          <w:szCs w:val="24"/>
          <w:lang w:eastAsia="es-ES"/>
        </w:rPr>
        <w:lastRenderedPageBreak/>
        <w:t>muy importante. No necesariamente le asiste la razón a quien impugna, porque además de esos ocho, solamente tres han sido revocados a efectos de que se emita una nueva medida”, explica el Consejero Presidente Luis González Briseño.</w:t>
      </w:r>
    </w:p>
    <w:p w:rsidR="00186888" w:rsidRPr="00656963" w:rsidRDefault="00186888" w:rsidP="00186888">
      <w:pPr>
        <w:spacing w:line="360" w:lineRule="auto"/>
        <w:rPr>
          <w:sz w:val="24"/>
          <w:szCs w:val="24"/>
          <w:lang w:eastAsia="es-ES"/>
        </w:rPr>
      </w:pPr>
    </w:p>
    <w:p w:rsidR="00186888" w:rsidRPr="00656963" w:rsidRDefault="00186888" w:rsidP="00186888">
      <w:pPr>
        <w:spacing w:line="360" w:lineRule="auto"/>
        <w:rPr>
          <w:sz w:val="24"/>
          <w:szCs w:val="24"/>
          <w:lang w:eastAsia="es-ES"/>
        </w:rPr>
      </w:pPr>
      <w:r w:rsidRPr="00656963">
        <w:rPr>
          <w:sz w:val="24"/>
          <w:szCs w:val="24"/>
          <w:lang w:eastAsia="es-ES"/>
        </w:rPr>
        <w:t xml:space="preserve">En la revisión y el análisis de estos más de mil expedientes también se encontró un patrón de comportamiento del organismo local: resoluciones a medias, pronunciamientos poco contundentes sobre la opacidad de las dependencias y soporte a medidas de reserva que no están fundamentadas. </w:t>
      </w:r>
    </w:p>
    <w:p w:rsidR="00186888" w:rsidRPr="00656963" w:rsidRDefault="00186888" w:rsidP="00186888">
      <w:pPr>
        <w:spacing w:line="360" w:lineRule="auto"/>
        <w:rPr>
          <w:sz w:val="24"/>
          <w:szCs w:val="24"/>
          <w:lang w:eastAsia="es-ES"/>
        </w:rPr>
      </w:pPr>
    </w:p>
    <w:p w:rsidR="00186888" w:rsidRPr="00656963" w:rsidRDefault="00186888" w:rsidP="00186888">
      <w:pPr>
        <w:spacing w:line="360" w:lineRule="auto"/>
        <w:rPr>
          <w:b/>
          <w:sz w:val="24"/>
          <w:szCs w:val="24"/>
          <w:lang w:eastAsia="es-ES"/>
        </w:rPr>
      </w:pPr>
      <w:r w:rsidRPr="00656963">
        <w:rPr>
          <w:sz w:val="24"/>
          <w:szCs w:val="24"/>
          <w:lang w:eastAsia="es-ES"/>
        </w:rPr>
        <w:t xml:space="preserve">Además, se encontró que en Coahuila el bloqueo de la información se da principalmente en temas como la entrega de programas sociales, adquisiciones, deuda pública, padrón de proveedores, desapariciones forzadas y violencia. Temas que han calado en la sociedad en los últimos diez años…” </w:t>
      </w:r>
      <w:r w:rsidRPr="00656963">
        <w:rPr>
          <w:b/>
          <w:sz w:val="24"/>
          <w:szCs w:val="24"/>
          <w:lang w:eastAsia="es-ES"/>
        </w:rPr>
        <w:t>Fin de la cita textual.</w:t>
      </w:r>
    </w:p>
    <w:p w:rsidR="00D94CE2" w:rsidRPr="00656963" w:rsidRDefault="00D94CE2" w:rsidP="00D94CE2">
      <w:pPr>
        <w:spacing w:line="360" w:lineRule="auto"/>
        <w:rPr>
          <w:sz w:val="24"/>
          <w:szCs w:val="24"/>
          <w:lang w:eastAsia="es-ES"/>
        </w:rPr>
      </w:pPr>
    </w:p>
    <w:p w:rsidR="00186888" w:rsidRPr="00656963" w:rsidRDefault="00186888" w:rsidP="00D94CE2">
      <w:pPr>
        <w:spacing w:line="360" w:lineRule="auto"/>
        <w:rPr>
          <w:sz w:val="24"/>
          <w:szCs w:val="24"/>
          <w:lang w:eastAsia="es-ES"/>
        </w:rPr>
      </w:pPr>
      <w:r w:rsidRPr="00656963">
        <w:rPr>
          <w:sz w:val="24"/>
          <w:szCs w:val="24"/>
          <w:lang w:eastAsia="es-ES"/>
        </w:rPr>
        <w:t>En otras ocasiones hemos presentado iniciativas para tratar de corregir muchas de las fallas que aún persisten en materia de Acceso a la Información; de manera muy breve destacamos:</w:t>
      </w:r>
    </w:p>
    <w:p w:rsidR="00186888" w:rsidRPr="00656963" w:rsidRDefault="00186888" w:rsidP="00D94CE2">
      <w:pPr>
        <w:spacing w:line="360" w:lineRule="auto"/>
        <w:rPr>
          <w:sz w:val="24"/>
          <w:szCs w:val="24"/>
          <w:lang w:eastAsia="es-ES"/>
        </w:rPr>
      </w:pPr>
    </w:p>
    <w:p w:rsidR="00186888" w:rsidRPr="00656963" w:rsidRDefault="00186888" w:rsidP="00D94CE2">
      <w:pPr>
        <w:spacing w:line="360" w:lineRule="auto"/>
        <w:rPr>
          <w:sz w:val="24"/>
          <w:szCs w:val="24"/>
          <w:lang w:eastAsia="es-ES"/>
        </w:rPr>
      </w:pPr>
      <w:r w:rsidRPr="00656963">
        <w:rPr>
          <w:sz w:val="24"/>
          <w:szCs w:val="24"/>
          <w:lang w:eastAsia="es-ES"/>
        </w:rPr>
        <w:t>I.- Simular de parte del sujeto obligado que la información no existe.</w:t>
      </w:r>
    </w:p>
    <w:p w:rsidR="00186888" w:rsidRPr="00656963" w:rsidRDefault="00186888" w:rsidP="00D94CE2">
      <w:pPr>
        <w:spacing w:line="360" w:lineRule="auto"/>
        <w:rPr>
          <w:sz w:val="24"/>
          <w:szCs w:val="24"/>
          <w:lang w:eastAsia="es-ES"/>
        </w:rPr>
      </w:pPr>
    </w:p>
    <w:p w:rsidR="00186888" w:rsidRPr="00656963" w:rsidRDefault="00186888" w:rsidP="00D94CE2">
      <w:pPr>
        <w:spacing w:line="360" w:lineRule="auto"/>
        <w:rPr>
          <w:sz w:val="24"/>
          <w:szCs w:val="24"/>
          <w:lang w:eastAsia="es-ES"/>
        </w:rPr>
      </w:pPr>
      <w:r w:rsidRPr="00656963">
        <w:rPr>
          <w:sz w:val="24"/>
          <w:szCs w:val="24"/>
          <w:lang w:eastAsia="es-ES"/>
        </w:rPr>
        <w:t xml:space="preserve">II.- Afirmar que compilarla </w:t>
      </w:r>
      <w:r w:rsidR="00D31C00" w:rsidRPr="00656963">
        <w:rPr>
          <w:sz w:val="24"/>
          <w:szCs w:val="24"/>
          <w:lang w:eastAsia="es-ES"/>
        </w:rPr>
        <w:t>es imposible para el sujeto obligado.</w:t>
      </w:r>
    </w:p>
    <w:p w:rsidR="00D31C00" w:rsidRPr="00656963" w:rsidRDefault="00D31C00" w:rsidP="00D94CE2">
      <w:pPr>
        <w:spacing w:line="360" w:lineRule="auto"/>
        <w:rPr>
          <w:sz w:val="24"/>
          <w:szCs w:val="24"/>
          <w:lang w:eastAsia="es-ES"/>
        </w:rPr>
      </w:pPr>
    </w:p>
    <w:p w:rsidR="00D31C00" w:rsidRPr="00656963" w:rsidRDefault="00D31C00" w:rsidP="00D94CE2">
      <w:pPr>
        <w:spacing w:line="360" w:lineRule="auto"/>
        <w:rPr>
          <w:sz w:val="24"/>
          <w:szCs w:val="24"/>
          <w:lang w:eastAsia="es-ES"/>
        </w:rPr>
      </w:pPr>
      <w:r w:rsidRPr="00656963">
        <w:rPr>
          <w:sz w:val="24"/>
          <w:szCs w:val="24"/>
          <w:lang w:eastAsia="es-ES"/>
        </w:rPr>
        <w:t>III.- Ponerla in situ en grandes volúmenes y con horarios limitados, de tal suerte que se haga imposible verificar todo y se obligue al solicitante a desistir.</w:t>
      </w:r>
    </w:p>
    <w:p w:rsidR="00D31C00" w:rsidRPr="00656963" w:rsidRDefault="00D31C00" w:rsidP="00D94CE2">
      <w:pPr>
        <w:spacing w:line="360" w:lineRule="auto"/>
        <w:rPr>
          <w:sz w:val="24"/>
          <w:szCs w:val="24"/>
          <w:lang w:eastAsia="es-ES"/>
        </w:rPr>
      </w:pPr>
    </w:p>
    <w:p w:rsidR="00D31C00" w:rsidRPr="00656963" w:rsidRDefault="00D31C00" w:rsidP="00D94CE2">
      <w:pPr>
        <w:spacing w:line="360" w:lineRule="auto"/>
        <w:rPr>
          <w:sz w:val="24"/>
          <w:szCs w:val="24"/>
          <w:lang w:eastAsia="es-ES"/>
        </w:rPr>
      </w:pPr>
      <w:r w:rsidRPr="00656963">
        <w:rPr>
          <w:sz w:val="24"/>
          <w:szCs w:val="24"/>
          <w:lang w:eastAsia="es-ES"/>
        </w:rPr>
        <w:t>IV.- Proporcionar al solicitante links múltiples y ocultos unos de</w:t>
      </w:r>
      <w:r w:rsidR="00902F44" w:rsidRPr="00656963">
        <w:rPr>
          <w:sz w:val="24"/>
          <w:szCs w:val="24"/>
          <w:lang w:eastAsia="es-ES"/>
        </w:rPr>
        <w:t>ntro de otros, donde finalmente</w:t>
      </w:r>
      <w:r w:rsidRPr="00656963">
        <w:rPr>
          <w:sz w:val="24"/>
          <w:szCs w:val="24"/>
          <w:lang w:eastAsia="es-ES"/>
        </w:rPr>
        <w:t xml:space="preserve"> la información solicitada no está.</w:t>
      </w:r>
    </w:p>
    <w:p w:rsidR="00D31C00" w:rsidRPr="00656963" w:rsidRDefault="00D31C00" w:rsidP="00D94CE2">
      <w:pPr>
        <w:spacing w:line="360" w:lineRule="auto"/>
        <w:rPr>
          <w:sz w:val="24"/>
          <w:szCs w:val="24"/>
          <w:lang w:eastAsia="es-ES"/>
        </w:rPr>
      </w:pPr>
    </w:p>
    <w:p w:rsidR="00D31C00" w:rsidRPr="00656963" w:rsidRDefault="00D31C00" w:rsidP="00D94CE2">
      <w:pPr>
        <w:spacing w:line="360" w:lineRule="auto"/>
        <w:rPr>
          <w:sz w:val="24"/>
          <w:szCs w:val="24"/>
          <w:lang w:eastAsia="es-ES"/>
        </w:rPr>
      </w:pPr>
      <w:r w:rsidRPr="00656963">
        <w:rPr>
          <w:sz w:val="24"/>
          <w:szCs w:val="24"/>
          <w:lang w:eastAsia="es-ES"/>
        </w:rPr>
        <w:lastRenderedPageBreak/>
        <w:t>V.- Inventar elevados costos por reproducción, que resultan imposibles de pagar para el interesado.</w:t>
      </w:r>
      <w:r w:rsidR="00FF4C80" w:rsidRPr="00656963">
        <w:rPr>
          <w:sz w:val="24"/>
          <w:szCs w:val="24"/>
          <w:lang w:eastAsia="es-ES"/>
        </w:rPr>
        <w:t xml:space="preserve"> Y;</w:t>
      </w:r>
    </w:p>
    <w:p w:rsidR="00D31C00" w:rsidRPr="00656963" w:rsidRDefault="00D31C00" w:rsidP="00D94CE2">
      <w:pPr>
        <w:spacing w:line="360" w:lineRule="auto"/>
        <w:rPr>
          <w:sz w:val="24"/>
          <w:szCs w:val="24"/>
          <w:lang w:eastAsia="es-ES"/>
        </w:rPr>
      </w:pPr>
    </w:p>
    <w:p w:rsidR="00D31C00" w:rsidRPr="00656963" w:rsidRDefault="00D31C00" w:rsidP="00D94CE2">
      <w:pPr>
        <w:spacing w:line="360" w:lineRule="auto"/>
        <w:rPr>
          <w:sz w:val="24"/>
          <w:szCs w:val="24"/>
          <w:lang w:eastAsia="es-ES"/>
        </w:rPr>
      </w:pPr>
      <w:r w:rsidRPr="00656963">
        <w:rPr>
          <w:sz w:val="24"/>
          <w:szCs w:val="24"/>
          <w:lang w:eastAsia="es-ES"/>
        </w:rPr>
        <w:t>VI.- Enviar al solicitante a otras dependencias, a sabiendas de que no tienen la información.</w:t>
      </w:r>
    </w:p>
    <w:p w:rsidR="00D31C00" w:rsidRPr="00656963" w:rsidRDefault="00D31C00" w:rsidP="00D94CE2">
      <w:pPr>
        <w:spacing w:line="360" w:lineRule="auto"/>
        <w:rPr>
          <w:sz w:val="24"/>
          <w:szCs w:val="24"/>
          <w:lang w:eastAsia="es-ES"/>
        </w:rPr>
      </w:pPr>
    </w:p>
    <w:p w:rsidR="00FF4C80" w:rsidRPr="00656963" w:rsidRDefault="00FF4C80" w:rsidP="00D94CE2">
      <w:pPr>
        <w:spacing w:line="360" w:lineRule="auto"/>
        <w:rPr>
          <w:sz w:val="24"/>
          <w:szCs w:val="24"/>
          <w:lang w:eastAsia="es-ES"/>
        </w:rPr>
      </w:pPr>
      <w:r w:rsidRPr="00656963">
        <w:rPr>
          <w:sz w:val="24"/>
          <w:szCs w:val="24"/>
          <w:lang w:eastAsia="es-ES"/>
        </w:rPr>
        <w:t xml:space="preserve">Sin embargo, en todo esto también existen errores, fallas o vicios de parte de los organismos garantes del acceso a la información; en este caso concreto a que hacemos referencia, destaca uno: Solapar o no verificar, quizá con dolo o sin </w:t>
      </w:r>
      <w:proofErr w:type="spellStart"/>
      <w:r w:rsidRPr="00656963">
        <w:rPr>
          <w:sz w:val="24"/>
          <w:szCs w:val="24"/>
          <w:lang w:eastAsia="es-ES"/>
        </w:rPr>
        <w:t>el</w:t>
      </w:r>
      <w:proofErr w:type="spellEnd"/>
      <w:r w:rsidRPr="00656963">
        <w:rPr>
          <w:sz w:val="24"/>
          <w:szCs w:val="24"/>
          <w:lang w:eastAsia="es-ES"/>
        </w:rPr>
        <w:t>, que el sujeto obl</w:t>
      </w:r>
      <w:r w:rsidR="005B1BCD" w:rsidRPr="00656963">
        <w:rPr>
          <w:sz w:val="24"/>
          <w:szCs w:val="24"/>
          <w:lang w:eastAsia="es-ES"/>
        </w:rPr>
        <w:t>igado realmente haya entregado la información solicitada, dando por hecho que así fue, dejando al solicitante en estado de indefensión relativa, ya que deberá acudir al amparo o al INAI en recurso de alzada, prolongando el proceso por más y más meses.</w:t>
      </w:r>
    </w:p>
    <w:p w:rsidR="005B1BCD" w:rsidRPr="00656963" w:rsidRDefault="005B1BCD" w:rsidP="00D94CE2">
      <w:pPr>
        <w:spacing w:line="360" w:lineRule="auto"/>
        <w:rPr>
          <w:sz w:val="24"/>
          <w:szCs w:val="24"/>
          <w:lang w:eastAsia="es-ES"/>
        </w:rPr>
      </w:pPr>
    </w:p>
    <w:p w:rsidR="00C52557" w:rsidRPr="00656963" w:rsidRDefault="005B1BCD" w:rsidP="00D94CE2">
      <w:pPr>
        <w:spacing w:line="360" w:lineRule="auto"/>
        <w:rPr>
          <w:sz w:val="24"/>
          <w:szCs w:val="24"/>
          <w:lang w:eastAsia="es-ES"/>
        </w:rPr>
      </w:pPr>
      <w:r w:rsidRPr="00656963">
        <w:rPr>
          <w:sz w:val="24"/>
          <w:szCs w:val="24"/>
          <w:lang w:eastAsia="es-ES"/>
        </w:rPr>
        <w:t>Cuando el órgano garante no verifica ni constata que la información o la respuesta del sujeto obligado se apegue a derecho</w:t>
      </w:r>
      <w:r w:rsidR="00902F44" w:rsidRPr="00656963">
        <w:rPr>
          <w:sz w:val="24"/>
          <w:szCs w:val="24"/>
          <w:lang w:eastAsia="es-ES"/>
        </w:rPr>
        <w:t xml:space="preserve"> y la información o datos entregados sean los verdaderos</w:t>
      </w:r>
      <w:r w:rsidRPr="00656963">
        <w:rPr>
          <w:sz w:val="24"/>
          <w:szCs w:val="24"/>
          <w:lang w:eastAsia="es-ES"/>
        </w:rPr>
        <w:t>,</w:t>
      </w:r>
      <w:r w:rsidR="00C52557" w:rsidRPr="00656963">
        <w:rPr>
          <w:sz w:val="24"/>
          <w:szCs w:val="24"/>
          <w:lang w:eastAsia="es-ES"/>
        </w:rPr>
        <w:t xml:space="preserve"> ocurre lo siguiente:</w:t>
      </w:r>
    </w:p>
    <w:p w:rsidR="00C52557" w:rsidRPr="00656963" w:rsidRDefault="00C52557" w:rsidP="00D94CE2">
      <w:pPr>
        <w:spacing w:line="360" w:lineRule="auto"/>
        <w:rPr>
          <w:sz w:val="24"/>
          <w:szCs w:val="24"/>
          <w:lang w:eastAsia="es-ES"/>
        </w:rPr>
      </w:pPr>
    </w:p>
    <w:p w:rsidR="005B1BCD" w:rsidRPr="00656963" w:rsidRDefault="00C52557" w:rsidP="00C52557">
      <w:pPr>
        <w:pStyle w:val="Prrafodelista"/>
        <w:numPr>
          <w:ilvl w:val="0"/>
          <w:numId w:val="19"/>
        </w:numPr>
        <w:spacing w:line="360" w:lineRule="auto"/>
        <w:rPr>
          <w:b w:val="0"/>
          <w:sz w:val="24"/>
          <w:szCs w:val="24"/>
        </w:rPr>
      </w:pPr>
      <w:r w:rsidRPr="00656963">
        <w:rPr>
          <w:b w:val="0"/>
          <w:sz w:val="24"/>
          <w:szCs w:val="24"/>
        </w:rPr>
        <w:t>S</w:t>
      </w:r>
      <w:r w:rsidR="005B1BCD" w:rsidRPr="00656963">
        <w:rPr>
          <w:b w:val="0"/>
          <w:sz w:val="24"/>
          <w:szCs w:val="24"/>
        </w:rPr>
        <w:t>e vulnera el derecho del ciudadano de acceso a la información</w:t>
      </w:r>
      <w:r w:rsidRPr="00656963">
        <w:rPr>
          <w:b w:val="0"/>
          <w:sz w:val="24"/>
          <w:szCs w:val="24"/>
        </w:rPr>
        <w:t>.</w:t>
      </w:r>
    </w:p>
    <w:p w:rsidR="00C52557" w:rsidRPr="00656963" w:rsidRDefault="00C52557" w:rsidP="00C52557">
      <w:pPr>
        <w:pStyle w:val="Prrafodelista"/>
        <w:numPr>
          <w:ilvl w:val="0"/>
          <w:numId w:val="19"/>
        </w:numPr>
        <w:spacing w:line="360" w:lineRule="auto"/>
        <w:rPr>
          <w:b w:val="0"/>
          <w:sz w:val="24"/>
          <w:szCs w:val="24"/>
        </w:rPr>
      </w:pPr>
      <w:r w:rsidRPr="00656963">
        <w:rPr>
          <w:b w:val="0"/>
          <w:sz w:val="24"/>
          <w:szCs w:val="24"/>
        </w:rPr>
        <w:t>Se vulnera el principio de rendición de cuentas que debe imperar en toda la administración pública.</w:t>
      </w:r>
    </w:p>
    <w:p w:rsidR="00C52557" w:rsidRPr="00656963" w:rsidRDefault="00C52557" w:rsidP="00C52557">
      <w:pPr>
        <w:pStyle w:val="Prrafodelista"/>
        <w:numPr>
          <w:ilvl w:val="0"/>
          <w:numId w:val="19"/>
        </w:numPr>
        <w:spacing w:line="360" w:lineRule="auto"/>
        <w:rPr>
          <w:b w:val="0"/>
          <w:sz w:val="24"/>
          <w:szCs w:val="24"/>
        </w:rPr>
      </w:pPr>
      <w:r w:rsidRPr="00656963">
        <w:rPr>
          <w:b w:val="0"/>
          <w:sz w:val="24"/>
          <w:szCs w:val="24"/>
        </w:rPr>
        <w:t>Se rompe el principio de transparencia.</w:t>
      </w:r>
    </w:p>
    <w:p w:rsidR="00C52557" w:rsidRPr="00656963" w:rsidRDefault="00C52557" w:rsidP="00C52557">
      <w:pPr>
        <w:pStyle w:val="Prrafodelista"/>
        <w:numPr>
          <w:ilvl w:val="0"/>
          <w:numId w:val="19"/>
        </w:numPr>
        <w:spacing w:line="360" w:lineRule="auto"/>
        <w:rPr>
          <w:b w:val="0"/>
          <w:sz w:val="24"/>
          <w:szCs w:val="24"/>
        </w:rPr>
      </w:pPr>
      <w:r w:rsidRPr="00656963">
        <w:rPr>
          <w:b w:val="0"/>
          <w:sz w:val="24"/>
          <w:szCs w:val="24"/>
        </w:rPr>
        <w:t>Se privilegia la opacidad y la corrupción.</w:t>
      </w:r>
    </w:p>
    <w:p w:rsidR="00C52557" w:rsidRPr="00656963" w:rsidRDefault="00C52557" w:rsidP="00C52557">
      <w:pPr>
        <w:spacing w:line="360" w:lineRule="auto"/>
        <w:rPr>
          <w:sz w:val="24"/>
          <w:szCs w:val="24"/>
        </w:rPr>
      </w:pPr>
    </w:p>
    <w:p w:rsidR="00C52557" w:rsidRPr="00656963" w:rsidRDefault="00C52557" w:rsidP="00C52557">
      <w:pPr>
        <w:spacing w:line="360" w:lineRule="auto"/>
        <w:rPr>
          <w:sz w:val="24"/>
          <w:szCs w:val="24"/>
        </w:rPr>
      </w:pPr>
      <w:r w:rsidRPr="00656963">
        <w:rPr>
          <w:sz w:val="24"/>
          <w:szCs w:val="24"/>
        </w:rPr>
        <w:t>Si el órgano garante no hace su trabajo, todo está perdido, y la transparencia, la rendición de cuentas y el acceso la información terminan siendo una simulación.</w:t>
      </w:r>
    </w:p>
    <w:p w:rsidR="00C52557" w:rsidRPr="00656963" w:rsidRDefault="00C52557" w:rsidP="00C52557">
      <w:pPr>
        <w:spacing w:line="360" w:lineRule="auto"/>
        <w:rPr>
          <w:sz w:val="24"/>
          <w:szCs w:val="24"/>
        </w:rPr>
      </w:pPr>
    </w:p>
    <w:p w:rsidR="00C52557" w:rsidRPr="00656963" w:rsidRDefault="00A97C07" w:rsidP="00C52557">
      <w:pPr>
        <w:spacing w:line="360" w:lineRule="auto"/>
        <w:rPr>
          <w:sz w:val="24"/>
          <w:szCs w:val="24"/>
        </w:rPr>
      </w:pPr>
      <w:r w:rsidRPr="00656963">
        <w:rPr>
          <w:sz w:val="24"/>
          <w:szCs w:val="24"/>
        </w:rPr>
        <w:t>La Ley de Acceso a la Información Pública para el Estado de Coahuila, establece:</w:t>
      </w:r>
    </w:p>
    <w:p w:rsidR="00216C94" w:rsidRPr="00656963" w:rsidRDefault="00216C94" w:rsidP="00C52557">
      <w:pPr>
        <w:spacing w:line="360" w:lineRule="auto"/>
        <w:rPr>
          <w:sz w:val="24"/>
          <w:szCs w:val="24"/>
        </w:rPr>
      </w:pPr>
    </w:p>
    <w:p w:rsidR="00216C94" w:rsidRPr="00656963" w:rsidRDefault="00216C94" w:rsidP="004F5710">
      <w:pPr>
        <w:spacing w:line="360" w:lineRule="auto"/>
        <w:rPr>
          <w:i/>
          <w:sz w:val="24"/>
          <w:szCs w:val="24"/>
        </w:rPr>
      </w:pPr>
      <w:r w:rsidRPr="00656963">
        <w:rPr>
          <w:i/>
          <w:sz w:val="24"/>
          <w:szCs w:val="24"/>
        </w:rPr>
        <w:lastRenderedPageBreak/>
        <w:t xml:space="preserve">Artículo 89. Los procedimientos relativos al acceso a la información se regirán por los principios: de máxima publicidad, eficacia, </w:t>
      </w:r>
      <w:proofErr w:type="spellStart"/>
      <w:r w:rsidRPr="00656963">
        <w:rPr>
          <w:i/>
          <w:sz w:val="24"/>
          <w:szCs w:val="24"/>
        </w:rPr>
        <w:t>antiformalidad</w:t>
      </w:r>
      <w:proofErr w:type="spellEnd"/>
      <w:r w:rsidRPr="00656963">
        <w:rPr>
          <w:i/>
          <w:sz w:val="24"/>
          <w:szCs w:val="24"/>
        </w:rPr>
        <w:t>, gratuidad, sencillez, prontitud, expedites y libertad de información.</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 xml:space="preserve">Artículo 109. El recurso de revisión procede por cualquiera de las siguientes causas:  </w:t>
      </w:r>
    </w:p>
    <w:p w:rsidR="00A97C07" w:rsidRPr="00656963" w:rsidRDefault="004158C8" w:rsidP="00C52557">
      <w:pPr>
        <w:spacing w:line="360" w:lineRule="auto"/>
        <w:rPr>
          <w:i/>
          <w:sz w:val="24"/>
          <w:szCs w:val="24"/>
        </w:rPr>
      </w:pPr>
      <w:r w:rsidRPr="00656963">
        <w:rPr>
          <w:i/>
          <w:sz w:val="24"/>
          <w:szCs w:val="24"/>
        </w:rPr>
        <w:t>…</w:t>
      </w:r>
    </w:p>
    <w:p w:rsidR="004158C8" w:rsidRPr="00656963" w:rsidRDefault="004158C8" w:rsidP="004158C8">
      <w:pPr>
        <w:spacing w:line="360" w:lineRule="auto"/>
        <w:rPr>
          <w:i/>
          <w:sz w:val="24"/>
          <w:szCs w:val="24"/>
        </w:rPr>
      </w:pPr>
      <w:r w:rsidRPr="00656963">
        <w:rPr>
          <w:i/>
          <w:sz w:val="24"/>
          <w:szCs w:val="24"/>
        </w:rPr>
        <w:t>II.</w:t>
      </w:r>
      <w:r w:rsidRPr="00656963">
        <w:rPr>
          <w:i/>
          <w:sz w:val="24"/>
          <w:szCs w:val="24"/>
        </w:rPr>
        <w:tab/>
        <w:t>La declaración de inexistencia de información;</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III.</w:t>
      </w:r>
      <w:r w:rsidRPr="00656963">
        <w:rPr>
          <w:i/>
          <w:sz w:val="24"/>
          <w:szCs w:val="24"/>
        </w:rPr>
        <w:tab/>
        <w:t xml:space="preserve">La declaración de incompetencia del sujeto obligado; </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IV.</w:t>
      </w:r>
      <w:r w:rsidRPr="00656963">
        <w:rPr>
          <w:i/>
          <w:sz w:val="24"/>
          <w:szCs w:val="24"/>
        </w:rPr>
        <w:tab/>
        <w:t xml:space="preserve">La entrega de información incompleta; </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V.</w:t>
      </w:r>
      <w:r w:rsidRPr="00656963">
        <w:rPr>
          <w:i/>
          <w:sz w:val="24"/>
          <w:szCs w:val="24"/>
        </w:rPr>
        <w:tab/>
        <w:t xml:space="preserve">La entrega de información que no corresponda con lo solicitado; </w:t>
      </w:r>
    </w:p>
    <w:p w:rsidR="004158C8" w:rsidRPr="00656963" w:rsidRDefault="004158C8" w:rsidP="004158C8">
      <w:pPr>
        <w:spacing w:line="360" w:lineRule="auto"/>
        <w:rPr>
          <w:i/>
          <w:sz w:val="24"/>
          <w:szCs w:val="24"/>
        </w:rPr>
      </w:pPr>
    </w:p>
    <w:p w:rsidR="004158C8" w:rsidRPr="00656963" w:rsidRDefault="004158C8" w:rsidP="00C52557">
      <w:pPr>
        <w:spacing w:line="360" w:lineRule="auto"/>
        <w:rPr>
          <w:i/>
          <w:sz w:val="24"/>
          <w:szCs w:val="24"/>
        </w:rPr>
      </w:pPr>
      <w:r w:rsidRPr="00656963">
        <w:rPr>
          <w:i/>
          <w:sz w:val="24"/>
          <w:szCs w:val="24"/>
        </w:rPr>
        <w:t>XII.</w:t>
      </w:r>
      <w:r w:rsidRPr="00656963">
        <w:rPr>
          <w:i/>
          <w:sz w:val="24"/>
          <w:szCs w:val="24"/>
        </w:rPr>
        <w:tab/>
        <w:t>La falta, deficiencia o insuficiencia de la fundamentación y/o motivación en la respuesta;</w:t>
      </w:r>
    </w:p>
    <w:p w:rsidR="004158C8" w:rsidRPr="00656963" w:rsidRDefault="004158C8" w:rsidP="00C52557">
      <w:pPr>
        <w:spacing w:line="360" w:lineRule="auto"/>
        <w:rPr>
          <w:i/>
          <w:sz w:val="24"/>
          <w:szCs w:val="24"/>
        </w:rPr>
      </w:pPr>
    </w:p>
    <w:p w:rsidR="004158C8" w:rsidRPr="00656963" w:rsidRDefault="004158C8" w:rsidP="00C52557">
      <w:pPr>
        <w:spacing w:line="360" w:lineRule="auto"/>
        <w:rPr>
          <w:i/>
          <w:sz w:val="24"/>
          <w:szCs w:val="24"/>
        </w:rPr>
      </w:pPr>
      <w:r w:rsidRPr="00656963">
        <w:rPr>
          <w:i/>
          <w:sz w:val="24"/>
          <w:szCs w:val="24"/>
        </w:rPr>
        <w:t xml:space="preserve">La respuesta que den los sujetos obligados derivada de la resolución a un recurso de revisión que proceda por las causales señaladas en las </w:t>
      </w:r>
      <w:proofErr w:type="gramStart"/>
      <w:r w:rsidRPr="00656963">
        <w:rPr>
          <w:i/>
          <w:sz w:val="24"/>
          <w:szCs w:val="24"/>
        </w:rPr>
        <w:t>fracciones  III</w:t>
      </w:r>
      <w:proofErr w:type="gramEnd"/>
      <w:r w:rsidRPr="00656963">
        <w:rPr>
          <w:i/>
          <w:sz w:val="24"/>
          <w:szCs w:val="24"/>
        </w:rPr>
        <w:t xml:space="preserve">, VI, VIII, IX, X y XI, es susceptible de ser impugnada de nueva cuenta mediante recurso de revisión ante el instituto.  </w:t>
      </w:r>
    </w:p>
    <w:p w:rsidR="004158C8" w:rsidRPr="00656963" w:rsidRDefault="004158C8" w:rsidP="00C52557">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 xml:space="preserve">Artículo 115. Presentado el recurso ante el instituto, se estará a lo siguiente: </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IX.</w:t>
      </w:r>
      <w:r w:rsidRPr="00656963">
        <w:rPr>
          <w:i/>
          <w:sz w:val="24"/>
          <w:szCs w:val="24"/>
        </w:rPr>
        <w:tab/>
      </w:r>
      <w:r w:rsidRPr="00656963">
        <w:rPr>
          <w:b/>
          <w:i/>
          <w:sz w:val="24"/>
          <w:szCs w:val="24"/>
        </w:rPr>
        <w:t>El Consejo General del instituto, bajo su más estricta responsabilidad, deberá emitir la resolución debidamente fundada y motivada</w:t>
      </w:r>
      <w:r w:rsidRPr="00656963">
        <w:rPr>
          <w:i/>
          <w:sz w:val="24"/>
          <w:szCs w:val="24"/>
        </w:rPr>
        <w:t xml:space="preserve">, en un término no mayor de veinte días, contados a partir de la interposición del recurso. Este plazo podrá, en </w:t>
      </w:r>
      <w:r w:rsidRPr="00656963">
        <w:rPr>
          <w:i/>
          <w:sz w:val="24"/>
          <w:szCs w:val="24"/>
        </w:rPr>
        <w:lastRenderedPageBreak/>
        <w:t>casos excepcionales, ser ampliado hasta por otros diez días cuando existan razones que lo motiven y éstas se le notifiquen al recurrente y al sujeto obligado.</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 xml:space="preserve">Artículo 117. Las resoluciones del instituto deberán contener como mínimo lo siguiente: </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I.</w:t>
      </w:r>
      <w:r w:rsidRPr="00656963">
        <w:rPr>
          <w:i/>
          <w:sz w:val="24"/>
          <w:szCs w:val="24"/>
        </w:rPr>
        <w:tab/>
        <w:t xml:space="preserve">Lugar, fecha en que se pronuncia, el nombre del recurrente, sujeto obligado y extracto breve de los hechos recurridos; </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II.</w:t>
      </w:r>
      <w:r w:rsidRPr="00656963">
        <w:rPr>
          <w:i/>
          <w:sz w:val="24"/>
          <w:szCs w:val="24"/>
        </w:rPr>
        <w:tab/>
        <w:t xml:space="preserve">Los preceptos que la fundamenten y las consideraciones que la sustenten; </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III.</w:t>
      </w:r>
      <w:r w:rsidRPr="00656963">
        <w:rPr>
          <w:i/>
          <w:sz w:val="24"/>
          <w:szCs w:val="24"/>
        </w:rPr>
        <w:tab/>
        <w:t>Los alcances y efectos de la resolución, fijando los plazos y procedimientos necesarios para su cumplimiento;</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IV.</w:t>
      </w:r>
      <w:r w:rsidRPr="00656963">
        <w:rPr>
          <w:i/>
          <w:sz w:val="24"/>
          <w:szCs w:val="24"/>
        </w:rPr>
        <w:tab/>
        <w:t>El plazo otorgado para su cumplimiento, que no podrá ser mayor a diez días, a partir de que surta efectos la notificación. Excepcionalmente, previa fundamentación y motivación, se podrá ampliar este plazo cuando el asunto así lo requiera;</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V.</w:t>
      </w:r>
      <w:r w:rsidRPr="00656963">
        <w:rPr>
          <w:i/>
          <w:sz w:val="24"/>
          <w:szCs w:val="24"/>
        </w:rPr>
        <w:tab/>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rsidR="004158C8" w:rsidRPr="00656963" w:rsidRDefault="004158C8" w:rsidP="004158C8">
      <w:pPr>
        <w:spacing w:line="360" w:lineRule="auto"/>
        <w:rPr>
          <w:i/>
          <w:sz w:val="24"/>
          <w:szCs w:val="24"/>
        </w:rPr>
      </w:pPr>
    </w:p>
    <w:p w:rsidR="004158C8" w:rsidRPr="00656963" w:rsidRDefault="004158C8" w:rsidP="004158C8">
      <w:pPr>
        <w:spacing w:line="360" w:lineRule="auto"/>
        <w:rPr>
          <w:i/>
          <w:sz w:val="24"/>
          <w:szCs w:val="24"/>
        </w:rPr>
      </w:pPr>
      <w:r w:rsidRPr="00656963">
        <w:rPr>
          <w:i/>
          <w:sz w:val="24"/>
          <w:szCs w:val="24"/>
        </w:rPr>
        <w:t>VI.</w:t>
      </w:r>
      <w:r w:rsidRPr="00656963">
        <w:rPr>
          <w:i/>
          <w:sz w:val="24"/>
          <w:szCs w:val="24"/>
        </w:rPr>
        <w:tab/>
        <w:t>Los puntos resolutivos.</w:t>
      </w:r>
    </w:p>
    <w:p w:rsidR="00A97C07" w:rsidRPr="00656963" w:rsidRDefault="00A97C07" w:rsidP="00C52557">
      <w:pPr>
        <w:spacing w:line="360" w:lineRule="auto"/>
        <w:rPr>
          <w:i/>
          <w:sz w:val="24"/>
          <w:szCs w:val="24"/>
        </w:rPr>
      </w:pPr>
    </w:p>
    <w:p w:rsidR="004158C8" w:rsidRPr="00656963" w:rsidRDefault="004158C8" w:rsidP="004158C8">
      <w:pPr>
        <w:spacing w:line="360" w:lineRule="auto"/>
        <w:rPr>
          <w:i/>
          <w:sz w:val="24"/>
          <w:szCs w:val="24"/>
          <w:lang w:eastAsia="es-ES"/>
        </w:rPr>
      </w:pPr>
      <w:r w:rsidRPr="00656963">
        <w:rPr>
          <w:i/>
          <w:sz w:val="24"/>
          <w:szCs w:val="24"/>
          <w:lang w:eastAsia="es-ES"/>
        </w:rPr>
        <w:t xml:space="preserve">Artículo 121. 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 </w:t>
      </w:r>
    </w:p>
    <w:p w:rsidR="004158C8" w:rsidRPr="00656963" w:rsidRDefault="004158C8" w:rsidP="004158C8">
      <w:pPr>
        <w:spacing w:line="360" w:lineRule="auto"/>
        <w:rPr>
          <w:i/>
          <w:sz w:val="24"/>
          <w:szCs w:val="24"/>
          <w:lang w:eastAsia="es-ES"/>
        </w:rPr>
      </w:pPr>
    </w:p>
    <w:p w:rsidR="004158C8" w:rsidRPr="00656963" w:rsidRDefault="004158C8" w:rsidP="004158C8">
      <w:pPr>
        <w:spacing w:line="360" w:lineRule="auto"/>
        <w:rPr>
          <w:i/>
          <w:sz w:val="24"/>
          <w:szCs w:val="24"/>
          <w:lang w:eastAsia="es-ES"/>
        </w:rPr>
      </w:pPr>
      <w:r w:rsidRPr="00656963">
        <w:rPr>
          <w:i/>
          <w:sz w:val="24"/>
          <w:szCs w:val="24"/>
          <w:lang w:eastAsia="es-ES"/>
        </w:rPr>
        <w:lastRenderedPageBreak/>
        <w:t>Artículo 122. 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w:t>
      </w:r>
    </w:p>
    <w:p w:rsidR="004F5710" w:rsidRPr="00656963" w:rsidRDefault="004F5710" w:rsidP="004158C8">
      <w:pPr>
        <w:spacing w:line="360" w:lineRule="auto"/>
        <w:rPr>
          <w:i/>
          <w:sz w:val="24"/>
          <w:szCs w:val="24"/>
          <w:lang w:eastAsia="es-ES"/>
        </w:rPr>
      </w:pPr>
    </w:p>
    <w:p w:rsidR="004158C8" w:rsidRPr="00656963" w:rsidRDefault="004158C8" w:rsidP="004158C8">
      <w:pPr>
        <w:spacing w:line="360" w:lineRule="auto"/>
        <w:rPr>
          <w:i/>
          <w:sz w:val="24"/>
          <w:szCs w:val="24"/>
          <w:lang w:eastAsia="es-ES"/>
        </w:rPr>
      </w:pPr>
      <w:r w:rsidRPr="00656963">
        <w:rPr>
          <w:i/>
          <w:sz w:val="24"/>
          <w:szCs w:val="24"/>
          <w:lang w:eastAsia="es-ES"/>
        </w:rPr>
        <w:t xml:space="preserve">Artículo 125. Los sujetos obligados, en su caso, deberán informar al instituto del cumplimiento de sus resoluciones, en un plazo no mayor a tres días a partir de que sean cumplimentadas.  </w:t>
      </w:r>
    </w:p>
    <w:p w:rsidR="004158C8" w:rsidRPr="00656963" w:rsidRDefault="004158C8" w:rsidP="004158C8">
      <w:pPr>
        <w:spacing w:line="360" w:lineRule="auto"/>
        <w:rPr>
          <w:i/>
          <w:sz w:val="24"/>
          <w:szCs w:val="24"/>
          <w:lang w:eastAsia="es-ES"/>
        </w:rPr>
      </w:pPr>
    </w:p>
    <w:p w:rsidR="004158C8" w:rsidRPr="00656963" w:rsidRDefault="004158C8" w:rsidP="004158C8">
      <w:pPr>
        <w:spacing w:line="360" w:lineRule="auto"/>
        <w:rPr>
          <w:i/>
          <w:sz w:val="24"/>
          <w:szCs w:val="24"/>
          <w:lang w:eastAsia="es-ES"/>
        </w:rPr>
      </w:pPr>
      <w:r w:rsidRPr="00656963">
        <w:rPr>
          <w:i/>
          <w:sz w:val="24"/>
          <w:szCs w:val="24"/>
          <w:lang w:eastAsia="es-ES"/>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135 de ésta ley. </w:t>
      </w:r>
    </w:p>
    <w:p w:rsidR="004158C8" w:rsidRPr="00656963" w:rsidRDefault="004158C8" w:rsidP="004158C8">
      <w:pPr>
        <w:spacing w:line="360" w:lineRule="auto"/>
        <w:rPr>
          <w:i/>
          <w:sz w:val="24"/>
          <w:szCs w:val="24"/>
          <w:lang w:eastAsia="es-ES"/>
        </w:rPr>
      </w:pPr>
      <w:r w:rsidRPr="00656963">
        <w:rPr>
          <w:i/>
          <w:sz w:val="24"/>
          <w:szCs w:val="24"/>
          <w:lang w:eastAsia="es-ES"/>
        </w:rPr>
        <w:tab/>
      </w:r>
    </w:p>
    <w:p w:rsidR="004158C8" w:rsidRPr="00656963" w:rsidRDefault="004158C8" w:rsidP="004158C8">
      <w:pPr>
        <w:spacing w:line="360" w:lineRule="auto"/>
        <w:rPr>
          <w:i/>
          <w:sz w:val="24"/>
          <w:szCs w:val="24"/>
          <w:lang w:eastAsia="es-ES"/>
        </w:rPr>
      </w:pPr>
      <w:r w:rsidRPr="00656963">
        <w:rPr>
          <w:i/>
          <w:sz w:val="24"/>
          <w:szCs w:val="24"/>
          <w:lang w:eastAsia="es-ES"/>
        </w:rPr>
        <w:t xml:space="preserve">En caso de reincidencia de un servidor público por la omisión total en la entrega de información el instituto podrá recomendar al superior jerárquico del sujeto obligado su remoción del cargo.  </w:t>
      </w:r>
    </w:p>
    <w:p w:rsidR="004158C8" w:rsidRPr="00656963" w:rsidRDefault="004158C8" w:rsidP="004158C8">
      <w:pPr>
        <w:spacing w:line="360" w:lineRule="auto"/>
        <w:rPr>
          <w:i/>
          <w:sz w:val="24"/>
          <w:szCs w:val="24"/>
          <w:lang w:eastAsia="es-ES"/>
        </w:rPr>
      </w:pPr>
      <w:r w:rsidRPr="00656963">
        <w:rPr>
          <w:i/>
          <w:sz w:val="24"/>
          <w:szCs w:val="24"/>
          <w:lang w:eastAsia="es-ES"/>
        </w:rPr>
        <w:tab/>
      </w:r>
    </w:p>
    <w:p w:rsidR="004158C8" w:rsidRPr="00656963" w:rsidRDefault="004158C8" w:rsidP="004158C8">
      <w:pPr>
        <w:spacing w:line="360" w:lineRule="auto"/>
        <w:rPr>
          <w:i/>
          <w:sz w:val="24"/>
          <w:szCs w:val="24"/>
          <w:lang w:eastAsia="es-ES"/>
        </w:rPr>
      </w:pPr>
      <w:r w:rsidRPr="00656963">
        <w:rPr>
          <w:i/>
          <w:sz w:val="24"/>
          <w:szCs w:val="24"/>
          <w:lang w:eastAsia="es-ES"/>
        </w:rPr>
        <w:t xml:space="preserve">El instituto podrá hacer del conocimiento público los servidores públicos sancionados, siempre y cuando la determinación haya quedado firme.  </w:t>
      </w:r>
    </w:p>
    <w:p w:rsidR="004158C8" w:rsidRPr="00656963" w:rsidRDefault="004158C8" w:rsidP="004158C8">
      <w:pPr>
        <w:spacing w:line="360" w:lineRule="auto"/>
        <w:rPr>
          <w:i/>
          <w:sz w:val="24"/>
          <w:szCs w:val="24"/>
          <w:lang w:eastAsia="es-ES"/>
        </w:rPr>
      </w:pPr>
    </w:p>
    <w:p w:rsidR="005B1BCD" w:rsidRPr="00656963" w:rsidRDefault="004158C8" w:rsidP="004158C8">
      <w:pPr>
        <w:spacing w:line="360" w:lineRule="auto"/>
        <w:rPr>
          <w:i/>
          <w:sz w:val="24"/>
          <w:szCs w:val="24"/>
          <w:lang w:eastAsia="es-ES"/>
        </w:rPr>
      </w:pPr>
      <w:r w:rsidRPr="00656963">
        <w:rPr>
          <w:i/>
          <w:sz w:val="24"/>
          <w:szCs w:val="24"/>
          <w:lang w:eastAsia="es-ES"/>
        </w:rPr>
        <w:t>Artículo 126. 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rsidR="004158C8" w:rsidRPr="00656963" w:rsidRDefault="004158C8" w:rsidP="00D94CE2">
      <w:pPr>
        <w:spacing w:line="360" w:lineRule="auto"/>
        <w:rPr>
          <w:sz w:val="24"/>
          <w:szCs w:val="24"/>
          <w:lang w:eastAsia="es-ES"/>
        </w:rPr>
      </w:pPr>
    </w:p>
    <w:p w:rsidR="00902F44" w:rsidRPr="00656963" w:rsidRDefault="004158C8" w:rsidP="00D94CE2">
      <w:pPr>
        <w:spacing w:line="360" w:lineRule="auto"/>
        <w:rPr>
          <w:sz w:val="24"/>
          <w:szCs w:val="24"/>
          <w:lang w:eastAsia="es-ES"/>
        </w:rPr>
      </w:pPr>
      <w:r w:rsidRPr="00656963">
        <w:rPr>
          <w:sz w:val="24"/>
          <w:szCs w:val="24"/>
          <w:lang w:eastAsia="es-ES"/>
        </w:rPr>
        <w:lastRenderedPageBreak/>
        <w:t>En este tenor, el Instituto por conducto de sus comisionados</w:t>
      </w:r>
      <w:r w:rsidR="004F5710" w:rsidRPr="00656963">
        <w:rPr>
          <w:sz w:val="24"/>
          <w:szCs w:val="24"/>
          <w:lang w:eastAsia="es-ES"/>
        </w:rPr>
        <w:t>,</w:t>
      </w:r>
      <w:r w:rsidRPr="00656963">
        <w:rPr>
          <w:sz w:val="24"/>
          <w:szCs w:val="24"/>
          <w:lang w:eastAsia="es-ES"/>
        </w:rPr>
        <w:t xml:space="preserve"> tiene y debe tener la responsabilidad objetiva de verificar que las respuestas de los sujetos obligados para atender los resolutivos de los recursos de revisión, se apeguen a derecho, y se cumpla con la entrega de la información.</w:t>
      </w:r>
    </w:p>
    <w:p w:rsidR="004158C8" w:rsidRPr="00656963" w:rsidRDefault="004158C8" w:rsidP="00D94CE2">
      <w:pPr>
        <w:spacing w:line="360" w:lineRule="auto"/>
        <w:rPr>
          <w:sz w:val="24"/>
          <w:szCs w:val="24"/>
          <w:lang w:eastAsia="es-ES"/>
        </w:rPr>
      </w:pPr>
    </w:p>
    <w:p w:rsidR="00D31C00" w:rsidRPr="00656963" w:rsidRDefault="004158C8" w:rsidP="00D94CE2">
      <w:pPr>
        <w:spacing w:line="360" w:lineRule="auto"/>
        <w:rPr>
          <w:sz w:val="24"/>
          <w:szCs w:val="24"/>
          <w:lang w:eastAsia="es-ES"/>
        </w:rPr>
      </w:pPr>
      <w:r w:rsidRPr="00656963">
        <w:rPr>
          <w:sz w:val="24"/>
          <w:szCs w:val="24"/>
          <w:lang w:eastAsia="es-ES"/>
        </w:rPr>
        <w:t>Por ello c</w:t>
      </w:r>
      <w:r w:rsidR="006E773A" w:rsidRPr="00656963">
        <w:rPr>
          <w:sz w:val="24"/>
          <w:szCs w:val="24"/>
          <w:lang w:eastAsia="es-ES"/>
        </w:rPr>
        <w:t>onsideramos necesario hacer las adecuaciones necesarias a este ordenamiento, a fin de que dichos deberes queden claros en la ley.</w:t>
      </w:r>
    </w:p>
    <w:p w:rsidR="00B260BF" w:rsidRPr="00656963" w:rsidRDefault="00D94CE2" w:rsidP="00AB498D">
      <w:pPr>
        <w:spacing w:line="360" w:lineRule="auto"/>
        <w:rPr>
          <w:sz w:val="24"/>
          <w:szCs w:val="24"/>
          <w:lang w:eastAsia="es-ES"/>
        </w:rPr>
      </w:pPr>
      <w:r w:rsidRPr="00656963">
        <w:rPr>
          <w:sz w:val="24"/>
          <w:szCs w:val="24"/>
          <w:lang w:eastAsia="es-ES"/>
        </w:rPr>
        <w:t xml:space="preserve"> </w:t>
      </w:r>
    </w:p>
    <w:p w:rsidR="00AB498D" w:rsidRPr="00656963" w:rsidRDefault="00AB498D" w:rsidP="00AB498D">
      <w:pPr>
        <w:spacing w:line="360" w:lineRule="auto"/>
        <w:rPr>
          <w:sz w:val="24"/>
          <w:szCs w:val="24"/>
          <w:lang w:eastAsia="es-ES"/>
        </w:rPr>
      </w:pPr>
      <w:r w:rsidRPr="00656963">
        <w:rPr>
          <w:sz w:val="24"/>
          <w:szCs w:val="24"/>
          <w:lang w:eastAsia="es-ES"/>
        </w:rPr>
        <w:t>Por todo lo expuesto, tenemos a bien presentar la presente iniciativa con proyecto de</w:t>
      </w:r>
    </w:p>
    <w:p w:rsidR="00AB498D" w:rsidRPr="00656963" w:rsidRDefault="00AB498D" w:rsidP="00AB498D">
      <w:pPr>
        <w:spacing w:line="360" w:lineRule="auto"/>
        <w:jc w:val="center"/>
        <w:rPr>
          <w:sz w:val="24"/>
          <w:szCs w:val="24"/>
          <w:lang w:eastAsia="es-ES"/>
        </w:rPr>
      </w:pPr>
      <w:r w:rsidRPr="00656963">
        <w:rPr>
          <w:sz w:val="24"/>
          <w:szCs w:val="24"/>
          <w:lang w:eastAsia="es-ES"/>
        </w:rPr>
        <w:t>DECRETO</w:t>
      </w:r>
    </w:p>
    <w:p w:rsidR="004A38DC" w:rsidRPr="00656963" w:rsidRDefault="004A38DC" w:rsidP="00AB498D">
      <w:pPr>
        <w:spacing w:line="360" w:lineRule="auto"/>
        <w:jc w:val="center"/>
        <w:rPr>
          <w:sz w:val="24"/>
          <w:szCs w:val="24"/>
          <w:lang w:eastAsia="es-ES"/>
        </w:rPr>
      </w:pPr>
    </w:p>
    <w:p w:rsidR="00AB498D" w:rsidRPr="00656963" w:rsidRDefault="00AB498D" w:rsidP="00705AB5">
      <w:pPr>
        <w:pStyle w:val="Texto"/>
        <w:spacing w:after="0" w:line="360" w:lineRule="auto"/>
        <w:ind w:firstLine="0"/>
        <w:rPr>
          <w:sz w:val="24"/>
          <w:szCs w:val="24"/>
        </w:rPr>
      </w:pPr>
      <w:r w:rsidRPr="00656963">
        <w:rPr>
          <w:b/>
          <w:sz w:val="24"/>
          <w:szCs w:val="24"/>
        </w:rPr>
        <w:t>ARTÍCULO ÚNICO</w:t>
      </w:r>
      <w:bookmarkStart w:id="2" w:name="Artículo_73"/>
      <w:r w:rsidRPr="00656963">
        <w:rPr>
          <w:b/>
          <w:sz w:val="24"/>
          <w:szCs w:val="24"/>
        </w:rPr>
        <w:t>:</w:t>
      </w:r>
      <w:r w:rsidR="00705AB5" w:rsidRPr="00656963">
        <w:rPr>
          <w:b/>
          <w:sz w:val="24"/>
          <w:szCs w:val="24"/>
        </w:rPr>
        <w:t xml:space="preserve"> Se</w:t>
      </w:r>
      <w:r w:rsidR="00EB592E" w:rsidRPr="00656963">
        <w:rPr>
          <w:b/>
          <w:sz w:val="24"/>
          <w:szCs w:val="24"/>
        </w:rPr>
        <w:t xml:space="preserve"> modifica la fracción II del artículo 117, y se modifica el contenido del artículo 122 de la Ley</w:t>
      </w:r>
      <w:r w:rsidR="00D94CE2" w:rsidRPr="00656963">
        <w:rPr>
          <w:sz w:val="24"/>
          <w:szCs w:val="24"/>
        </w:rPr>
        <w:t xml:space="preserve"> </w:t>
      </w:r>
      <w:r w:rsidR="00D94CE2" w:rsidRPr="00656963">
        <w:rPr>
          <w:b/>
          <w:sz w:val="24"/>
          <w:szCs w:val="24"/>
        </w:rPr>
        <w:t>de Acceso a la Información Pública para el Estado de Coahuila de Zaragoza</w:t>
      </w:r>
      <w:r w:rsidRPr="00656963">
        <w:rPr>
          <w:sz w:val="24"/>
          <w:szCs w:val="24"/>
        </w:rPr>
        <w:t>; para quedar como sigue:</w:t>
      </w:r>
    </w:p>
    <w:p w:rsidR="004F5710" w:rsidRPr="00656963" w:rsidRDefault="004F5710" w:rsidP="00705AB5">
      <w:pPr>
        <w:pStyle w:val="Texto"/>
        <w:spacing w:after="0" w:line="360" w:lineRule="auto"/>
        <w:ind w:firstLine="0"/>
        <w:rPr>
          <w:sz w:val="24"/>
          <w:szCs w:val="24"/>
        </w:rPr>
      </w:pPr>
    </w:p>
    <w:p w:rsidR="004F5710" w:rsidRPr="00656963" w:rsidRDefault="00F928A6" w:rsidP="00F928A6">
      <w:pPr>
        <w:pStyle w:val="Texto"/>
        <w:spacing w:line="360" w:lineRule="auto"/>
        <w:ind w:firstLine="0"/>
        <w:rPr>
          <w:sz w:val="24"/>
          <w:szCs w:val="24"/>
        </w:rPr>
      </w:pPr>
      <w:r w:rsidRPr="00656963">
        <w:rPr>
          <w:sz w:val="24"/>
          <w:szCs w:val="24"/>
        </w:rPr>
        <w:t>Artículo 117…</w:t>
      </w:r>
    </w:p>
    <w:p w:rsidR="00F928A6" w:rsidRPr="00656963" w:rsidRDefault="00F928A6" w:rsidP="00F928A6">
      <w:pPr>
        <w:pStyle w:val="Texto"/>
        <w:spacing w:line="360" w:lineRule="auto"/>
        <w:ind w:firstLine="0"/>
        <w:rPr>
          <w:sz w:val="24"/>
          <w:szCs w:val="24"/>
        </w:rPr>
      </w:pPr>
      <w:r w:rsidRPr="00656963">
        <w:rPr>
          <w:sz w:val="24"/>
          <w:szCs w:val="24"/>
        </w:rPr>
        <w:t>I…</w:t>
      </w:r>
    </w:p>
    <w:p w:rsidR="004F5710" w:rsidRPr="00656963" w:rsidRDefault="004F5710" w:rsidP="004F5710">
      <w:pPr>
        <w:pStyle w:val="Texto"/>
        <w:spacing w:line="360" w:lineRule="auto"/>
        <w:rPr>
          <w:sz w:val="24"/>
          <w:szCs w:val="24"/>
        </w:rPr>
      </w:pPr>
    </w:p>
    <w:p w:rsidR="006E773A" w:rsidRPr="00656963" w:rsidRDefault="004F5710" w:rsidP="00705AB5">
      <w:pPr>
        <w:pStyle w:val="Texto"/>
        <w:spacing w:after="0" w:line="360" w:lineRule="auto"/>
        <w:ind w:firstLine="0"/>
        <w:rPr>
          <w:b/>
          <w:sz w:val="24"/>
          <w:szCs w:val="24"/>
        </w:rPr>
      </w:pPr>
      <w:r w:rsidRPr="00656963">
        <w:rPr>
          <w:sz w:val="24"/>
          <w:szCs w:val="24"/>
        </w:rPr>
        <w:t xml:space="preserve">II. Los preceptos que la fundamenten y las consideraciones que la sustenten; </w:t>
      </w:r>
      <w:r w:rsidRPr="00656963">
        <w:rPr>
          <w:b/>
          <w:sz w:val="24"/>
          <w:szCs w:val="24"/>
        </w:rPr>
        <w:t xml:space="preserve">incluyendo el proceso llevado a cabo para </w:t>
      </w:r>
      <w:proofErr w:type="gramStart"/>
      <w:r w:rsidRPr="00656963">
        <w:rPr>
          <w:b/>
          <w:sz w:val="24"/>
          <w:szCs w:val="24"/>
        </w:rPr>
        <w:t xml:space="preserve">verificar </w:t>
      </w:r>
      <w:r w:rsidR="00F928A6" w:rsidRPr="00656963">
        <w:rPr>
          <w:b/>
          <w:sz w:val="24"/>
          <w:szCs w:val="24"/>
        </w:rPr>
        <w:t xml:space="preserve"> las</w:t>
      </w:r>
      <w:proofErr w:type="gramEnd"/>
      <w:r w:rsidR="00F928A6" w:rsidRPr="00656963">
        <w:rPr>
          <w:b/>
          <w:sz w:val="24"/>
          <w:szCs w:val="24"/>
        </w:rPr>
        <w:t xml:space="preserve"> excepciones y defensas del sujeto obligado cuando se refieran a los supuestos establecidos en las fracciones II, III, IV, V y XII del artículo 109 de este ordenamiento. </w:t>
      </w:r>
    </w:p>
    <w:p w:rsidR="00902F44" w:rsidRPr="00656963" w:rsidRDefault="00DD6C02" w:rsidP="00705AB5">
      <w:pPr>
        <w:pStyle w:val="Texto"/>
        <w:spacing w:after="0" w:line="360" w:lineRule="auto"/>
        <w:ind w:firstLine="0"/>
        <w:rPr>
          <w:b/>
          <w:sz w:val="24"/>
          <w:szCs w:val="24"/>
        </w:rPr>
      </w:pPr>
      <w:r w:rsidRPr="00656963">
        <w:rPr>
          <w:b/>
          <w:sz w:val="24"/>
          <w:szCs w:val="24"/>
        </w:rPr>
        <w:t>III.-</w:t>
      </w:r>
    </w:p>
    <w:p w:rsidR="00F928A6" w:rsidRPr="00656963" w:rsidRDefault="00F928A6" w:rsidP="00705AB5">
      <w:pPr>
        <w:pStyle w:val="Texto"/>
        <w:spacing w:after="0" w:line="360" w:lineRule="auto"/>
        <w:ind w:firstLine="0"/>
        <w:rPr>
          <w:b/>
          <w:sz w:val="24"/>
          <w:szCs w:val="24"/>
        </w:rPr>
      </w:pPr>
      <w:r w:rsidRPr="00656963">
        <w:rPr>
          <w:sz w:val="24"/>
          <w:szCs w:val="24"/>
        </w:rPr>
        <w:t xml:space="preserve">Artículo 122. 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w:t>
      </w:r>
      <w:r w:rsidRPr="00656963">
        <w:rPr>
          <w:b/>
          <w:sz w:val="24"/>
          <w:szCs w:val="24"/>
        </w:rPr>
        <w:t xml:space="preserve">igualmente se procederá en los casos en que el sujeto obligado manifieste no poseer la información solicitada o niegue tener el deber de poseerla </w:t>
      </w:r>
      <w:r w:rsidRPr="00656963">
        <w:rPr>
          <w:b/>
          <w:sz w:val="24"/>
          <w:szCs w:val="24"/>
        </w:rPr>
        <w:lastRenderedPageBreak/>
        <w:t>conforme a sus atribuciones, procediendo en este último caso el instituto a realizar el análisis detal</w:t>
      </w:r>
      <w:r w:rsidR="00902F44" w:rsidRPr="00656963">
        <w:rPr>
          <w:b/>
          <w:sz w:val="24"/>
          <w:szCs w:val="24"/>
        </w:rPr>
        <w:t>lado de las facultades</w:t>
      </w:r>
      <w:r w:rsidR="00576431" w:rsidRPr="00656963">
        <w:rPr>
          <w:b/>
          <w:sz w:val="24"/>
          <w:szCs w:val="24"/>
        </w:rPr>
        <w:t xml:space="preserve"> en controversia, ordenando que se genere la información solicitada. </w:t>
      </w:r>
    </w:p>
    <w:p w:rsidR="0090605E" w:rsidRPr="00656963" w:rsidRDefault="00576431" w:rsidP="00C515E6">
      <w:pPr>
        <w:pStyle w:val="Texto"/>
        <w:spacing w:after="0" w:line="360" w:lineRule="auto"/>
        <w:ind w:firstLine="0"/>
        <w:rPr>
          <w:b/>
          <w:sz w:val="24"/>
          <w:szCs w:val="24"/>
        </w:rPr>
      </w:pPr>
      <w:r w:rsidRPr="00656963">
        <w:rPr>
          <w:b/>
          <w:sz w:val="24"/>
          <w:szCs w:val="24"/>
        </w:rPr>
        <w:t>…</w:t>
      </w:r>
    </w:p>
    <w:bookmarkEnd w:id="2"/>
    <w:p w:rsidR="00A52C62" w:rsidRPr="00656963" w:rsidRDefault="00F0412C" w:rsidP="00AB498D">
      <w:pPr>
        <w:spacing w:line="360" w:lineRule="auto"/>
        <w:rPr>
          <w:b/>
          <w:sz w:val="24"/>
          <w:szCs w:val="24"/>
          <w:lang w:eastAsia="es-ES"/>
        </w:rPr>
      </w:pPr>
      <w:r w:rsidRPr="00656963">
        <w:rPr>
          <w:sz w:val="24"/>
          <w:szCs w:val="24"/>
          <w:lang w:eastAsia="es-ES"/>
        </w:rPr>
        <w:t xml:space="preserve"> </w:t>
      </w:r>
    </w:p>
    <w:p w:rsidR="00AB498D" w:rsidRPr="00656963" w:rsidRDefault="00AB498D" w:rsidP="00DD6C02">
      <w:pPr>
        <w:spacing w:line="360" w:lineRule="auto"/>
        <w:jc w:val="center"/>
        <w:rPr>
          <w:sz w:val="24"/>
          <w:szCs w:val="24"/>
          <w:lang w:eastAsia="es-ES"/>
        </w:rPr>
      </w:pPr>
      <w:r w:rsidRPr="00656963">
        <w:rPr>
          <w:sz w:val="24"/>
          <w:szCs w:val="24"/>
          <w:lang w:eastAsia="es-ES"/>
        </w:rPr>
        <w:t>TRANSITORIOS</w:t>
      </w:r>
    </w:p>
    <w:p w:rsidR="00AB498D" w:rsidRPr="00656963" w:rsidRDefault="00F0412C" w:rsidP="00AB498D">
      <w:pPr>
        <w:spacing w:line="360" w:lineRule="auto"/>
        <w:rPr>
          <w:sz w:val="24"/>
          <w:szCs w:val="24"/>
          <w:lang w:eastAsia="es-ES"/>
        </w:rPr>
      </w:pPr>
      <w:proofErr w:type="gramStart"/>
      <w:r w:rsidRPr="00656963">
        <w:rPr>
          <w:b/>
          <w:sz w:val="24"/>
          <w:szCs w:val="24"/>
          <w:lang w:eastAsia="es-ES"/>
        </w:rPr>
        <w:t>Único</w:t>
      </w:r>
      <w:r w:rsidR="00F33DCF" w:rsidRPr="00656963">
        <w:rPr>
          <w:b/>
          <w:sz w:val="24"/>
          <w:szCs w:val="24"/>
          <w:lang w:eastAsia="es-ES"/>
        </w:rPr>
        <w:t>.</w:t>
      </w:r>
      <w:r w:rsidR="00AB498D" w:rsidRPr="00656963">
        <w:rPr>
          <w:b/>
          <w:sz w:val="24"/>
          <w:szCs w:val="24"/>
          <w:lang w:eastAsia="es-ES"/>
        </w:rPr>
        <w:t>-</w:t>
      </w:r>
      <w:proofErr w:type="gramEnd"/>
      <w:r w:rsidR="0090605E" w:rsidRPr="00656963">
        <w:rPr>
          <w:sz w:val="24"/>
          <w:szCs w:val="24"/>
          <w:lang w:eastAsia="es-ES"/>
        </w:rPr>
        <w:t xml:space="preserve"> </w:t>
      </w:r>
      <w:r w:rsidR="00AB498D" w:rsidRPr="00656963">
        <w:rPr>
          <w:sz w:val="24"/>
          <w:szCs w:val="24"/>
          <w:lang w:eastAsia="es-ES"/>
        </w:rPr>
        <w:t>El presente Decreto entrará en vigor al día siguiente de su publicación en el Diario Oficial de la Federación.</w:t>
      </w:r>
    </w:p>
    <w:p w:rsidR="00AB498D" w:rsidRPr="00656963" w:rsidRDefault="00AB498D" w:rsidP="00AB498D">
      <w:pPr>
        <w:pStyle w:val="Ttulo5"/>
        <w:spacing w:line="360" w:lineRule="auto"/>
        <w:jc w:val="center"/>
        <w:rPr>
          <w:rFonts w:ascii="Arial" w:hAnsi="Arial" w:cs="Arial"/>
          <w:color w:val="auto"/>
          <w:sz w:val="24"/>
          <w:szCs w:val="24"/>
          <w:lang w:val="es-ES_tradnl"/>
        </w:rPr>
      </w:pPr>
      <w:r w:rsidRPr="00656963">
        <w:rPr>
          <w:rFonts w:ascii="Arial" w:hAnsi="Arial" w:cs="Arial"/>
          <w:color w:val="auto"/>
          <w:sz w:val="24"/>
          <w:szCs w:val="24"/>
          <w:lang w:val="es-ES_tradnl"/>
        </w:rPr>
        <w:t>ATENTAMENTE</w:t>
      </w:r>
    </w:p>
    <w:p w:rsidR="00AB498D" w:rsidRPr="00656963" w:rsidRDefault="00AB498D" w:rsidP="00AB498D">
      <w:pPr>
        <w:spacing w:line="360" w:lineRule="auto"/>
        <w:jc w:val="center"/>
        <w:rPr>
          <w:sz w:val="24"/>
          <w:szCs w:val="24"/>
        </w:rPr>
      </w:pPr>
      <w:r w:rsidRPr="00656963">
        <w:rPr>
          <w:sz w:val="24"/>
          <w:szCs w:val="24"/>
        </w:rPr>
        <w:t>“POR UNA PATRIA ORDENADA Y GENEROSA Y UNA VIDA MEJOR Y MÁS DIGNA PARA TODOS”</w:t>
      </w:r>
    </w:p>
    <w:p w:rsidR="00AB498D" w:rsidRPr="00656963" w:rsidRDefault="00AB498D" w:rsidP="00AB498D">
      <w:pPr>
        <w:spacing w:line="360" w:lineRule="auto"/>
        <w:jc w:val="center"/>
        <w:rPr>
          <w:b/>
          <w:bCs/>
          <w:sz w:val="24"/>
          <w:szCs w:val="24"/>
        </w:rPr>
      </w:pPr>
      <w:r w:rsidRPr="00656963">
        <w:rPr>
          <w:b/>
          <w:bCs/>
          <w:sz w:val="24"/>
          <w:szCs w:val="24"/>
        </w:rPr>
        <w:t>GRUPO PARLAMENTARIO “DEL PARTIDO ACCION NACIONAL”</w:t>
      </w:r>
    </w:p>
    <w:p w:rsidR="00DD6C02" w:rsidRPr="00656963" w:rsidRDefault="00AB498D" w:rsidP="00DD6C02">
      <w:pPr>
        <w:pStyle w:val="Ttulo2"/>
        <w:spacing w:line="360" w:lineRule="auto"/>
        <w:jc w:val="center"/>
        <w:rPr>
          <w:i w:val="0"/>
          <w:sz w:val="24"/>
          <w:szCs w:val="24"/>
        </w:rPr>
      </w:pPr>
      <w:r w:rsidRPr="00656963">
        <w:rPr>
          <w:i w:val="0"/>
          <w:sz w:val="24"/>
          <w:szCs w:val="24"/>
        </w:rPr>
        <w:t xml:space="preserve">Saltillo, Coahuila de </w:t>
      </w:r>
      <w:r w:rsidR="00AD0C5A" w:rsidRPr="00656963">
        <w:rPr>
          <w:i w:val="0"/>
          <w:sz w:val="24"/>
          <w:szCs w:val="24"/>
        </w:rPr>
        <w:t>Zaragoza, 20</w:t>
      </w:r>
      <w:r w:rsidR="00716234" w:rsidRPr="00656963">
        <w:rPr>
          <w:i w:val="0"/>
          <w:sz w:val="24"/>
          <w:szCs w:val="24"/>
        </w:rPr>
        <w:t xml:space="preserve"> </w:t>
      </w:r>
      <w:r w:rsidR="00550DE2" w:rsidRPr="00656963">
        <w:rPr>
          <w:i w:val="0"/>
          <w:sz w:val="24"/>
          <w:szCs w:val="24"/>
        </w:rPr>
        <w:t>de mayo</w:t>
      </w:r>
      <w:r w:rsidR="002023F8" w:rsidRPr="00656963">
        <w:rPr>
          <w:i w:val="0"/>
          <w:sz w:val="24"/>
          <w:szCs w:val="24"/>
        </w:rPr>
        <w:t xml:space="preserve"> de 2020</w:t>
      </w:r>
    </w:p>
    <w:p w:rsidR="00DD6C02" w:rsidRPr="00656963" w:rsidRDefault="00DD6C02" w:rsidP="00DD6C02">
      <w:pPr>
        <w:keepNext/>
        <w:keepLines/>
        <w:tabs>
          <w:tab w:val="left" w:pos="375"/>
          <w:tab w:val="center" w:pos="4489"/>
        </w:tabs>
        <w:spacing w:before="200"/>
        <w:outlineLvl w:val="1"/>
        <w:rPr>
          <w:rFonts w:cstheme="minorHAnsi"/>
          <w:b/>
          <w:bCs/>
          <w:sz w:val="24"/>
          <w:szCs w:val="24"/>
        </w:rPr>
      </w:pPr>
      <w:r w:rsidRPr="00656963">
        <w:rPr>
          <w:rFonts w:cstheme="minorHAnsi"/>
          <w:b/>
          <w:bCs/>
          <w:sz w:val="24"/>
          <w:szCs w:val="24"/>
        </w:rPr>
        <w:tab/>
      </w:r>
    </w:p>
    <w:p w:rsidR="00DD6C02" w:rsidRPr="00656963" w:rsidRDefault="00DD6C02" w:rsidP="00DD6C02">
      <w:pPr>
        <w:spacing w:after="200" w:line="276" w:lineRule="auto"/>
        <w:rPr>
          <w:rFonts w:ascii="Calibri" w:eastAsia="Calibri" w:hAnsi="Calibri" w:cs="Times New Roman"/>
          <w:sz w:val="24"/>
          <w:szCs w:val="24"/>
        </w:rPr>
      </w:pPr>
      <w:r w:rsidRPr="00656963">
        <w:rPr>
          <w:rFonts w:ascii="Calibri" w:eastAsia="Calibri" w:hAnsi="Calibri"/>
          <w:noProof/>
          <w:sz w:val="24"/>
          <w:szCs w:val="24"/>
        </w:rPr>
        <w:t xml:space="preserve"> </w:t>
      </w: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jc w:val="center"/>
        <w:rPr>
          <w:rFonts w:ascii="Calibri" w:eastAsia="Calibri" w:hAnsi="Calibri"/>
          <w:b/>
          <w:sz w:val="22"/>
          <w:szCs w:val="22"/>
        </w:rPr>
      </w:pPr>
      <w:r w:rsidRPr="00DD6C02">
        <w:rPr>
          <w:rFonts w:ascii="Calibri" w:eastAsia="Calibri" w:hAnsi="Calibri"/>
          <w:b/>
          <w:sz w:val="22"/>
          <w:szCs w:val="22"/>
        </w:rPr>
        <w:t>DIP. MARIA EUGENIA CAZARES MARTINEZ</w:t>
      </w:r>
    </w:p>
    <w:p w:rsidR="00DD6C02" w:rsidRPr="00DD6C02" w:rsidRDefault="00DD6C02" w:rsidP="00DD6C02">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t xml:space="preserve"> </w:t>
      </w:r>
    </w:p>
    <w:p w:rsidR="00DD6C02" w:rsidRDefault="00DD6C02" w:rsidP="00DD6C02">
      <w:pPr>
        <w:tabs>
          <w:tab w:val="left" w:pos="5056"/>
        </w:tabs>
        <w:spacing w:after="200" w:line="276" w:lineRule="auto"/>
        <w:rPr>
          <w:rFonts w:ascii="Calibri" w:eastAsia="Calibri" w:hAnsi="Calibri"/>
          <w:b/>
          <w:sz w:val="22"/>
          <w:szCs w:val="22"/>
        </w:rPr>
      </w:pPr>
    </w:p>
    <w:p w:rsidR="001B1D1F" w:rsidRDefault="001B1D1F" w:rsidP="00DD6C02">
      <w:pPr>
        <w:tabs>
          <w:tab w:val="left" w:pos="5056"/>
        </w:tabs>
        <w:spacing w:after="200" w:line="276" w:lineRule="auto"/>
        <w:rPr>
          <w:rFonts w:ascii="Calibri" w:eastAsia="Calibri" w:hAnsi="Calibri"/>
          <w:b/>
          <w:sz w:val="22"/>
          <w:szCs w:val="22"/>
        </w:rPr>
      </w:pPr>
    </w:p>
    <w:p w:rsidR="001B1D1F" w:rsidRDefault="001B1D1F" w:rsidP="00DD6C02">
      <w:pPr>
        <w:tabs>
          <w:tab w:val="left" w:pos="5056"/>
        </w:tabs>
        <w:spacing w:after="200" w:line="276" w:lineRule="auto"/>
        <w:rPr>
          <w:rFonts w:ascii="Calibri" w:eastAsia="Calibri" w:hAnsi="Calibri"/>
          <w:b/>
          <w:sz w:val="22"/>
          <w:szCs w:val="22"/>
        </w:rPr>
      </w:pPr>
    </w:p>
    <w:p w:rsidR="001B1D1F" w:rsidRDefault="001B1D1F" w:rsidP="00DD6C02">
      <w:pPr>
        <w:tabs>
          <w:tab w:val="left" w:pos="5056"/>
        </w:tabs>
        <w:spacing w:after="200" w:line="276" w:lineRule="auto"/>
        <w:rPr>
          <w:rFonts w:ascii="Calibri" w:eastAsia="Calibri" w:hAnsi="Calibri"/>
          <w:b/>
          <w:sz w:val="22"/>
          <w:szCs w:val="22"/>
        </w:rPr>
      </w:pPr>
    </w:p>
    <w:p w:rsidR="001B1D1F" w:rsidRDefault="001B1D1F" w:rsidP="00DD6C02">
      <w:pPr>
        <w:tabs>
          <w:tab w:val="left" w:pos="5056"/>
        </w:tabs>
        <w:spacing w:after="200" w:line="276" w:lineRule="auto"/>
        <w:rPr>
          <w:rFonts w:ascii="Calibri" w:eastAsia="Calibri" w:hAnsi="Calibri"/>
          <w:b/>
          <w:sz w:val="22"/>
          <w:szCs w:val="22"/>
        </w:rPr>
      </w:pPr>
    </w:p>
    <w:p w:rsidR="001B1D1F" w:rsidRDefault="001B1D1F" w:rsidP="00DD6C02">
      <w:pPr>
        <w:tabs>
          <w:tab w:val="left" w:pos="5056"/>
        </w:tabs>
        <w:spacing w:after="200" w:line="276" w:lineRule="auto"/>
        <w:rPr>
          <w:rFonts w:ascii="Calibri" w:eastAsia="Calibri" w:hAnsi="Calibri"/>
          <w:b/>
          <w:sz w:val="22"/>
          <w:szCs w:val="22"/>
        </w:rPr>
      </w:pPr>
    </w:p>
    <w:p w:rsidR="001B1D1F" w:rsidRPr="00DD6C02" w:rsidRDefault="001B1D1F" w:rsidP="00DD6C02">
      <w:pPr>
        <w:tabs>
          <w:tab w:val="left" w:pos="5056"/>
        </w:tabs>
        <w:spacing w:after="200" w:line="276" w:lineRule="auto"/>
        <w:rPr>
          <w:rFonts w:ascii="Calibri" w:eastAsia="Calibri" w:hAnsi="Calibri"/>
          <w:b/>
          <w:sz w:val="22"/>
          <w:szCs w:val="22"/>
        </w:rPr>
      </w:pPr>
      <w:bookmarkStart w:id="3" w:name="_GoBack"/>
      <w:bookmarkEnd w:id="3"/>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t>DIP. MARCELO DE JESUS TORRES COFIÑO                     DIP. GERARDO ABRAHAM AGUADO GÓMEZ</w:t>
      </w:r>
      <w:r w:rsidRPr="00DD6C02">
        <w:rPr>
          <w:rFonts w:ascii="Calibri" w:eastAsia="Calibri" w:hAnsi="Calibri"/>
          <w:b/>
          <w:sz w:val="22"/>
          <w:szCs w:val="22"/>
        </w:rPr>
        <w:tab/>
      </w:r>
    </w:p>
    <w:p w:rsidR="00DD6C02" w:rsidRPr="00DD6C02" w:rsidRDefault="00DD6C02" w:rsidP="00DD6C02">
      <w:pPr>
        <w:tabs>
          <w:tab w:val="left" w:pos="6795"/>
        </w:tabs>
        <w:spacing w:after="200" w:line="276" w:lineRule="auto"/>
        <w:rPr>
          <w:rFonts w:ascii="Calibri" w:eastAsia="Calibri" w:hAnsi="Calibri"/>
          <w:b/>
          <w:sz w:val="22"/>
          <w:szCs w:val="22"/>
        </w:rPr>
      </w:pPr>
      <w:r w:rsidRPr="00DD6C02">
        <w:rPr>
          <w:rFonts w:ascii="Calibri" w:eastAsia="Calibri" w:hAnsi="Calibri"/>
          <w:b/>
          <w:sz w:val="22"/>
          <w:szCs w:val="22"/>
        </w:rPr>
        <w:tab/>
      </w: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t>DIP. ROSA NILDA GONZÁLEZ NORIEGA                            DIP. FERNANDO IZAGUIRRE VALDÉS</w:t>
      </w: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ind w:right="-518"/>
        <w:rPr>
          <w:rFonts w:ascii="Calibri" w:eastAsia="Calibri" w:hAnsi="Calibri"/>
          <w:b/>
          <w:sz w:val="22"/>
          <w:szCs w:val="22"/>
        </w:rPr>
      </w:pPr>
      <w:r w:rsidRPr="00DD6C02">
        <w:rPr>
          <w:rFonts w:ascii="Calibri" w:eastAsia="Calibri" w:hAnsi="Calibri"/>
          <w:b/>
          <w:sz w:val="22"/>
          <w:szCs w:val="22"/>
        </w:rPr>
        <w:t>DIP. BLANCA EPPEN CANALES                                              DIP. JUAN CARLOS GUERRA LÓPEZ NEGRETE</w:t>
      </w: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rPr>
          <w:rFonts w:ascii="Calibri" w:eastAsia="Calibri" w:hAnsi="Calibri"/>
          <w:b/>
          <w:sz w:val="22"/>
          <w:szCs w:val="22"/>
        </w:rPr>
      </w:pPr>
    </w:p>
    <w:p w:rsidR="00DD6C02" w:rsidRPr="00DD6C02" w:rsidRDefault="00DD6C02" w:rsidP="00DD6C02">
      <w:pPr>
        <w:tabs>
          <w:tab w:val="left" w:pos="5056"/>
        </w:tabs>
        <w:spacing w:after="200" w:line="276" w:lineRule="auto"/>
        <w:rPr>
          <w:rFonts w:ascii="Calibri" w:eastAsia="Calibri" w:hAnsi="Calibri"/>
          <w:b/>
          <w:sz w:val="22"/>
          <w:szCs w:val="22"/>
        </w:rPr>
      </w:pPr>
      <w:r w:rsidRPr="00DD6C02">
        <w:rPr>
          <w:rFonts w:ascii="Calibri" w:eastAsia="Calibri" w:hAnsi="Calibri"/>
          <w:b/>
          <w:sz w:val="22"/>
          <w:szCs w:val="22"/>
        </w:rPr>
        <w:t xml:space="preserve"> DIP. JUAN ANTONIO GARCÍA VILLA                                DIP. GABRIELA ZAPOPAN GARZA GALVÁN</w:t>
      </w:r>
    </w:p>
    <w:p w:rsidR="00DD6C02" w:rsidRDefault="00DD6C02" w:rsidP="00DD6C02">
      <w:pPr>
        <w:tabs>
          <w:tab w:val="left" w:pos="5056"/>
        </w:tabs>
        <w:spacing w:after="200" w:line="276" w:lineRule="auto"/>
        <w:rPr>
          <w:rFonts w:ascii="Calibri" w:eastAsia="Calibri" w:hAnsi="Calibri"/>
          <w:sz w:val="16"/>
          <w:szCs w:val="16"/>
        </w:rPr>
      </w:pPr>
    </w:p>
    <w:p w:rsidR="00DD6C02" w:rsidRDefault="00DD6C02" w:rsidP="00DD6C02">
      <w:pPr>
        <w:tabs>
          <w:tab w:val="left" w:pos="5056"/>
        </w:tabs>
        <w:spacing w:after="200" w:line="276" w:lineRule="auto"/>
        <w:rPr>
          <w:rFonts w:ascii="Calibri" w:eastAsia="Calibri" w:hAnsi="Calibri"/>
          <w:sz w:val="16"/>
          <w:szCs w:val="16"/>
        </w:rPr>
      </w:pPr>
    </w:p>
    <w:p w:rsidR="00DD6C02" w:rsidRPr="00DD6C02" w:rsidRDefault="00DD6C02" w:rsidP="00DD6C02">
      <w:pPr>
        <w:keepNext/>
        <w:keepLines/>
        <w:spacing w:before="200"/>
        <w:outlineLvl w:val="1"/>
        <w:rPr>
          <w:rFonts w:ascii="Cambria" w:hAnsi="Cambria" w:cs="Times New Roman"/>
          <w:b/>
          <w:bCs/>
          <w:sz w:val="16"/>
          <w:szCs w:val="16"/>
          <w:lang w:eastAsia="es-ES"/>
        </w:rPr>
      </w:pPr>
      <w:r w:rsidRPr="00DD6C02">
        <w:rPr>
          <w:rFonts w:ascii="Cambria" w:hAnsi="Cambria" w:cs="Times New Roman"/>
          <w:b/>
          <w:bCs/>
          <w:sz w:val="16"/>
          <w:szCs w:val="16"/>
          <w:lang w:eastAsia="es-ES"/>
        </w:rPr>
        <w:t xml:space="preserve">HOJA DE FIRMAS QUE ACOMPAÑA LA </w:t>
      </w:r>
      <w:r w:rsidRPr="00DD6C02">
        <w:rPr>
          <w:b/>
          <w:sz w:val="16"/>
          <w:szCs w:val="16"/>
          <w:lang w:eastAsia="es-ES"/>
        </w:rPr>
        <w:t xml:space="preserve">INICIATIVA CON PROYECTO DE </w:t>
      </w:r>
      <w:proofErr w:type="gramStart"/>
      <w:r w:rsidRPr="00DD6C02">
        <w:rPr>
          <w:b/>
          <w:sz w:val="16"/>
          <w:szCs w:val="16"/>
          <w:lang w:eastAsia="es-ES"/>
        </w:rPr>
        <w:t>DECRETO  POR</w:t>
      </w:r>
      <w:proofErr w:type="gramEnd"/>
      <w:r w:rsidRPr="00DD6C02">
        <w:rPr>
          <w:b/>
          <w:sz w:val="16"/>
          <w:szCs w:val="16"/>
          <w:lang w:eastAsia="es-ES"/>
        </w:rPr>
        <w:t xml:space="preserve"> LA QUE MODIFICA LA FRACCIÓN II DEL ARTÍCULO 117, Y SE MODIFICA EL CONTENIDO DEL ARTÍCULO 122 DE LA LEY DE ACCESO A LA INFORMACIÓN PÚBLICA PARA EL ESTADO DE COAHUILA DE ZARAGOZA</w:t>
      </w:r>
    </w:p>
    <w:p w:rsidR="00252F59" w:rsidRPr="00252F59" w:rsidRDefault="00DD6C02" w:rsidP="00656963">
      <w:pPr>
        <w:rPr>
          <w:rFonts w:asciiTheme="minorHAnsi" w:hAnsiTheme="minorHAnsi" w:cstheme="minorHAnsi"/>
          <w:b/>
          <w:lang w:val="es-MX"/>
        </w:rPr>
      </w:pPr>
      <w:r w:rsidRPr="00DD6C02">
        <w:rPr>
          <w:rFonts w:cs="Times New Roman"/>
          <w:noProof/>
          <w:sz w:val="16"/>
          <w:szCs w:val="16"/>
        </w:rPr>
        <w:t xml:space="preserve">  </w:t>
      </w:r>
      <w:r w:rsidRPr="00DD6C02">
        <w:rPr>
          <w:rFonts w:cs="Times New Roman"/>
          <w:sz w:val="16"/>
          <w:szCs w:val="16"/>
          <w:lang w:eastAsia="es-ES"/>
        </w:rPr>
        <w:t xml:space="preserve"> </w:t>
      </w:r>
    </w:p>
    <w:sectPr w:rsidR="00252F59" w:rsidRPr="00252F59" w:rsidSect="00D65CA9">
      <w:headerReference w:type="default" r:id="rId10"/>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3B" w:rsidRDefault="0017453B" w:rsidP="00B17064">
      <w:r>
        <w:separator/>
      </w:r>
    </w:p>
  </w:endnote>
  <w:endnote w:type="continuationSeparator" w:id="0">
    <w:p w:rsidR="0017453B" w:rsidRDefault="0017453B"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3B" w:rsidRDefault="0017453B" w:rsidP="00B17064">
      <w:r>
        <w:separator/>
      </w:r>
    </w:p>
  </w:footnote>
  <w:footnote w:type="continuationSeparator" w:id="0">
    <w:p w:rsidR="0017453B" w:rsidRDefault="0017453B"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85" w:rsidRPr="002C04BD" w:rsidRDefault="00656963"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3EEF55A4" wp14:editId="7EB55D40">
          <wp:simplePos x="0" y="0"/>
          <wp:positionH relativeFrom="column">
            <wp:posOffset>-113444</wp:posOffset>
          </wp:positionH>
          <wp:positionV relativeFrom="paragraph">
            <wp:posOffset>-69050</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192DF4D1" wp14:editId="1315B5FE">
          <wp:simplePos x="0" y="0"/>
          <wp:positionH relativeFrom="column">
            <wp:posOffset>5533831</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B73785" w:rsidRPr="002C04BD">
      <w:rPr>
        <w:rFonts w:cs="Arial"/>
        <w:bCs/>
        <w:smallCaps/>
        <w:spacing w:val="20"/>
        <w:sz w:val="30"/>
        <w:szCs w:val="30"/>
      </w:rPr>
      <w:t xml:space="preserve">Congreso del Estado Independiente, </w:t>
    </w:r>
  </w:p>
  <w:p w:rsidR="00B73785" w:rsidRPr="002C04BD" w:rsidRDefault="00B73785"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B73785" w:rsidRDefault="00B73785" w:rsidP="00656963">
    <w:pPr>
      <w:pStyle w:val="Encabezado"/>
      <w:tabs>
        <w:tab w:val="left" w:pos="5040"/>
      </w:tabs>
      <w:ind w:right="-93"/>
      <w:jc w:val="center"/>
      <w:rPr>
        <w:smallCaps/>
        <w:sz w:val="22"/>
        <w:szCs w:val="22"/>
      </w:rPr>
    </w:pPr>
  </w:p>
  <w:p w:rsidR="00B73785" w:rsidRPr="008B19DE" w:rsidRDefault="00656963" w:rsidP="00656963">
    <w:pPr>
      <w:pStyle w:val="Encabezado"/>
      <w:tabs>
        <w:tab w:val="clear" w:pos="4419"/>
        <w:tab w:val="clear" w:pos="8838"/>
        <w:tab w:val="center" w:pos="9355"/>
      </w:tabs>
      <w:ind w:right="49"/>
      <w:rPr>
        <w:sz w:val="20"/>
        <w:szCs w:val="20"/>
      </w:rPr>
    </w:pPr>
    <w:r w:rsidRPr="006C067B">
      <w:rPr>
        <w:color w:val="FFFFFF"/>
      </w:rPr>
      <w:t xml:space="preserve">2019, Año </w:t>
    </w:r>
    <w:r w:rsidR="00B73785" w:rsidRPr="008B19DE">
      <w:rPr>
        <w:sz w:val="20"/>
        <w:szCs w:val="20"/>
      </w:rPr>
      <w:t>”2020, Año del Centenario Luctuoso de Venustiano Carranza, el Varón de Cuatro Ciénegas”</w:t>
    </w:r>
  </w:p>
  <w:p w:rsidR="00B73785" w:rsidRPr="008B19DE" w:rsidRDefault="00B73785" w:rsidP="00DF1F0F">
    <w:pPr>
      <w:pStyle w:val="Encabezado"/>
      <w:rPr>
        <w:sz w:val="20"/>
        <w:szCs w:val="20"/>
      </w:rPr>
    </w:pPr>
  </w:p>
  <w:p w:rsidR="00B73785" w:rsidRDefault="00B73785">
    <w:pPr>
      <w:pStyle w:val="Encabezado"/>
    </w:pPr>
  </w:p>
  <w:p w:rsidR="006C067B" w:rsidRDefault="006C06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D32F50"/>
    <w:multiLevelType w:val="hybridMultilevel"/>
    <w:tmpl w:val="0D04D044"/>
    <w:lvl w:ilvl="0" w:tplc="5B4CE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0"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412A92"/>
    <w:multiLevelType w:val="hybridMultilevel"/>
    <w:tmpl w:val="D9123FB4"/>
    <w:lvl w:ilvl="0" w:tplc="1A14B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15"/>
  </w:num>
  <w:num w:numId="5">
    <w:abstractNumId w:val="9"/>
  </w:num>
  <w:num w:numId="6">
    <w:abstractNumId w:val="12"/>
  </w:num>
  <w:num w:numId="7">
    <w:abstractNumId w:val="10"/>
  </w:num>
  <w:num w:numId="8">
    <w:abstractNumId w:val="1"/>
  </w:num>
  <w:num w:numId="9">
    <w:abstractNumId w:val="0"/>
  </w:num>
  <w:num w:numId="10">
    <w:abstractNumId w:val="17"/>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3"/>
  </w:num>
  <w:num w:numId="16">
    <w:abstractNumId w:val="16"/>
  </w:num>
  <w:num w:numId="17">
    <w:abstractNumId w:val="2"/>
  </w:num>
  <w:num w:numId="18">
    <w:abstractNumId w:val="1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8A8"/>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96"/>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4A6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19E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39B"/>
    <w:rsid w:val="00165914"/>
    <w:rsid w:val="001673C6"/>
    <w:rsid w:val="00167F63"/>
    <w:rsid w:val="00167F93"/>
    <w:rsid w:val="00170056"/>
    <w:rsid w:val="001713CF"/>
    <w:rsid w:val="00171472"/>
    <w:rsid w:val="001719E0"/>
    <w:rsid w:val="00171F61"/>
    <w:rsid w:val="001735F8"/>
    <w:rsid w:val="00173E13"/>
    <w:rsid w:val="0017453B"/>
    <w:rsid w:val="00176085"/>
    <w:rsid w:val="001807A6"/>
    <w:rsid w:val="00180899"/>
    <w:rsid w:val="00181BF3"/>
    <w:rsid w:val="00181FB7"/>
    <w:rsid w:val="0018313B"/>
    <w:rsid w:val="0018361F"/>
    <w:rsid w:val="0018430C"/>
    <w:rsid w:val="001850F7"/>
    <w:rsid w:val="00186888"/>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4E4"/>
    <w:rsid w:val="001A7B73"/>
    <w:rsid w:val="001B0B17"/>
    <w:rsid w:val="001B0E16"/>
    <w:rsid w:val="001B1D1F"/>
    <w:rsid w:val="001B26E8"/>
    <w:rsid w:val="001B68C3"/>
    <w:rsid w:val="001B7072"/>
    <w:rsid w:val="001C1CA9"/>
    <w:rsid w:val="001C24F4"/>
    <w:rsid w:val="001C2DE2"/>
    <w:rsid w:val="001C3728"/>
    <w:rsid w:val="001C48A7"/>
    <w:rsid w:val="001C5BB7"/>
    <w:rsid w:val="001C5CDC"/>
    <w:rsid w:val="001C5F9B"/>
    <w:rsid w:val="001C609D"/>
    <w:rsid w:val="001C66FC"/>
    <w:rsid w:val="001C7401"/>
    <w:rsid w:val="001D0530"/>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3F8"/>
    <w:rsid w:val="00202CF9"/>
    <w:rsid w:val="00203293"/>
    <w:rsid w:val="00205352"/>
    <w:rsid w:val="00207D3F"/>
    <w:rsid w:val="0021062C"/>
    <w:rsid w:val="00210D7E"/>
    <w:rsid w:val="00211A4F"/>
    <w:rsid w:val="00212EB9"/>
    <w:rsid w:val="00215D09"/>
    <w:rsid w:val="00216AE7"/>
    <w:rsid w:val="00216C94"/>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2DD7"/>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2D0"/>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68D"/>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5EB4"/>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23A0"/>
    <w:rsid w:val="0034409B"/>
    <w:rsid w:val="00344C29"/>
    <w:rsid w:val="00346193"/>
    <w:rsid w:val="003479CA"/>
    <w:rsid w:val="00347BCE"/>
    <w:rsid w:val="00350E01"/>
    <w:rsid w:val="003524F0"/>
    <w:rsid w:val="00352A71"/>
    <w:rsid w:val="00353A23"/>
    <w:rsid w:val="0035515F"/>
    <w:rsid w:val="003574FB"/>
    <w:rsid w:val="00357669"/>
    <w:rsid w:val="003579A6"/>
    <w:rsid w:val="003616ED"/>
    <w:rsid w:val="00361A69"/>
    <w:rsid w:val="00363C84"/>
    <w:rsid w:val="00364BF0"/>
    <w:rsid w:val="003662EA"/>
    <w:rsid w:val="00366C1B"/>
    <w:rsid w:val="003670BC"/>
    <w:rsid w:val="003679D0"/>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4E1"/>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42F"/>
    <w:rsid w:val="00406E0F"/>
    <w:rsid w:val="00410700"/>
    <w:rsid w:val="00411132"/>
    <w:rsid w:val="0041202C"/>
    <w:rsid w:val="00412207"/>
    <w:rsid w:val="00412F12"/>
    <w:rsid w:val="0041313E"/>
    <w:rsid w:val="00414329"/>
    <w:rsid w:val="00414C42"/>
    <w:rsid w:val="0041533A"/>
    <w:rsid w:val="004158C8"/>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5BE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4AF"/>
    <w:rsid w:val="00472985"/>
    <w:rsid w:val="00472BB5"/>
    <w:rsid w:val="004742D5"/>
    <w:rsid w:val="0047672F"/>
    <w:rsid w:val="00480163"/>
    <w:rsid w:val="00480236"/>
    <w:rsid w:val="00480CB9"/>
    <w:rsid w:val="00481365"/>
    <w:rsid w:val="0048254E"/>
    <w:rsid w:val="00483A99"/>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38DC"/>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28F"/>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710"/>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510"/>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0DE2"/>
    <w:rsid w:val="00551826"/>
    <w:rsid w:val="00552191"/>
    <w:rsid w:val="005525F7"/>
    <w:rsid w:val="00552CEB"/>
    <w:rsid w:val="00553B69"/>
    <w:rsid w:val="00554068"/>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47F"/>
    <w:rsid w:val="005655C0"/>
    <w:rsid w:val="0056572E"/>
    <w:rsid w:val="00566521"/>
    <w:rsid w:val="005705D4"/>
    <w:rsid w:val="00570A0E"/>
    <w:rsid w:val="00570D8D"/>
    <w:rsid w:val="0057165E"/>
    <w:rsid w:val="00572D2F"/>
    <w:rsid w:val="0057409B"/>
    <w:rsid w:val="00574157"/>
    <w:rsid w:val="00574467"/>
    <w:rsid w:val="005744E6"/>
    <w:rsid w:val="00575D78"/>
    <w:rsid w:val="00576431"/>
    <w:rsid w:val="00577B0E"/>
    <w:rsid w:val="00577D7E"/>
    <w:rsid w:val="00580A62"/>
    <w:rsid w:val="00580EBA"/>
    <w:rsid w:val="00581C9C"/>
    <w:rsid w:val="00581E0C"/>
    <w:rsid w:val="00582486"/>
    <w:rsid w:val="00582829"/>
    <w:rsid w:val="00582E75"/>
    <w:rsid w:val="00582EAA"/>
    <w:rsid w:val="00582F0F"/>
    <w:rsid w:val="005857BA"/>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6593"/>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1BCD"/>
    <w:rsid w:val="005B21DA"/>
    <w:rsid w:val="005B2573"/>
    <w:rsid w:val="005B3564"/>
    <w:rsid w:val="005B54EC"/>
    <w:rsid w:val="005B59E0"/>
    <w:rsid w:val="005B625E"/>
    <w:rsid w:val="005B6576"/>
    <w:rsid w:val="005B65B9"/>
    <w:rsid w:val="005C01A1"/>
    <w:rsid w:val="005C0369"/>
    <w:rsid w:val="005C18A0"/>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59C"/>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018"/>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595"/>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90B"/>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56963"/>
    <w:rsid w:val="006600B3"/>
    <w:rsid w:val="0066046F"/>
    <w:rsid w:val="00660A75"/>
    <w:rsid w:val="00661660"/>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57AC"/>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67B"/>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BAA"/>
    <w:rsid w:val="006E0DA8"/>
    <w:rsid w:val="006E29B8"/>
    <w:rsid w:val="006E2DAB"/>
    <w:rsid w:val="006E3453"/>
    <w:rsid w:val="006E34C2"/>
    <w:rsid w:val="006E3677"/>
    <w:rsid w:val="006E466B"/>
    <w:rsid w:val="006E68E6"/>
    <w:rsid w:val="006E6D18"/>
    <w:rsid w:val="006E717B"/>
    <w:rsid w:val="006E7483"/>
    <w:rsid w:val="006E773A"/>
    <w:rsid w:val="006E7750"/>
    <w:rsid w:val="006F09D3"/>
    <w:rsid w:val="006F2BBC"/>
    <w:rsid w:val="006F356C"/>
    <w:rsid w:val="006F4100"/>
    <w:rsid w:val="006F488C"/>
    <w:rsid w:val="006F50E7"/>
    <w:rsid w:val="006F6EE5"/>
    <w:rsid w:val="006F7ED5"/>
    <w:rsid w:val="006F7F0B"/>
    <w:rsid w:val="00701D0D"/>
    <w:rsid w:val="00701F6F"/>
    <w:rsid w:val="007042BB"/>
    <w:rsid w:val="007056A4"/>
    <w:rsid w:val="0070577D"/>
    <w:rsid w:val="00705AB5"/>
    <w:rsid w:val="00706678"/>
    <w:rsid w:val="00711382"/>
    <w:rsid w:val="00711F06"/>
    <w:rsid w:val="00713079"/>
    <w:rsid w:val="0071349C"/>
    <w:rsid w:val="00713B00"/>
    <w:rsid w:val="00713B10"/>
    <w:rsid w:val="00713F3B"/>
    <w:rsid w:val="00714200"/>
    <w:rsid w:val="00716234"/>
    <w:rsid w:val="00717CAB"/>
    <w:rsid w:val="00717D4C"/>
    <w:rsid w:val="00717FB3"/>
    <w:rsid w:val="00720398"/>
    <w:rsid w:val="00720F66"/>
    <w:rsid w:val="007226F7"/>
    <w:rsid w:val="0072270C"/>
    <w:rsid w:val="007229AA"/>
    <w:rsid w:val="00722C8D"/>
    <w:rsid w:val="00723FE8"/>
    <w:rsid w:val="00724167"/>
    <w:rsid w:val="00725AC8"/>
    <w:rsid w:val="00725E2C"/>
    <w:rsid w:val="007263DF"/>
    <w:rsid w:val="00726923"/>
    <w:rsid w:val="00726A79"/>
    <w:rsid w:val="00727BB0"/>
    <w:rsid w:val="00730419"/>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4D9A"/>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2DA"/>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0A59"/>
    <w:rsid w:val="00823A7D"/>
    <w:rsid w:val="00823ACD"/>
    <w:rsid w:val="00823CBE"/>
    <w:rsid w:val="00824B55"/>
    <w:rsid w:val="00825094"/>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38B8"/>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54F9"/>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A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3F3"/>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9B6"/>
    <w:rsid w:val="008F1E63"/>
    <w:rsid w:val="008F2CC1"/>
    <w:rsid w:val="008F3C74"/>
    <w:rsid w:val="008F3D02"/>
    <w:rsid w:val="008F3E75"/>
    <w:rsid w:val="008F5791"/>
    <w:rsid w:val="008F59C7"/>
    <w:rsid w:val="008F5BF7"/>
    <w:rsid w:val="00900659"/>
    <w:rsid w:val="00902254"/>
    <w:rsid w:val="00902F44"/>
    <w:rsid w:val="009033A5"/>
    <w:rsid w:val="00903FEB"/>
    <w:rsid w:val="009041AF"/>
    <w:rsid w:val="00904A76"/>
    <w:rsid w:val="00904BD2"/>
    <w:rsid w:val="00904C1F"/>
    <w:rsid w:val="009056A2"/>
    <w:rsid w:val="0090586E"/>
    <w:rsid w:val="0090598F"/>
    <w:rsid w:val="0090605E"/>
    <w:rsid w:val="0090656F"/>
    <w:rsid w:val="00906A2F"/>
    <w:rsid w:val="00907634"/>
    <w:rsid w:val="009115E7"/>
    <w:rsid w:val="00912BF7"/>
    <w:rsid w:val="00913EB0"/>
    <w:rsid w:val="00913EE2"/>
    <w:rsid w:val="00914BC6"/>
    <w:rsid w:val="0091538F"/>
    <w:rsid w:val="009159B2"/>
    <w:rsid w:val="00915E26"/>
    <w:rsid w:val="009165DF"/>
    <w:rsid w:val="00917090"/>
    <w:rsid w:val="0091727E"/>
    <w:rsid w:val="0091758E"/>
    <w:rsid w:val="009207D0"/>
    <w:rsid w:val="00921ECC"/>
    <w:rsid w:val="0092248C"/>
    <w:rsid w:val="00923B51"/>
    <w:rsid w:val="00925E2A"/>
    <w:rsid w:val="0092672A"/>
    <w:rsid w:val="00926E8B"/>
    <w:rsid w:val="009274E0"/>
    <w:rsid w:val="00931731"/>
    <w:rsid w:val="00931910"/>
    <w:rsid w:val="00933933"/>
    <w:rsid w:val="00933B29"/>
    <w:rsid w:val="009349CD"/>
    <w:rsid w:val="009356D2"/>
    <w:rsid w:val="00935A7F"/>
    <w:rsid w:val="009366CF"/>
    <w:rsid w:val="00937C07"/>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898"/>
    <w:rsid w:val="009F5A09"/>
    <w:rsid w:val="009F6B6F"/>
    <w:rsid w:val="009F7435"/>
    <w:rsid w:val="00A00274"/>
    <w:rsid w:val="00A00377"/>
    <w:rsid w:val="00A00792"/>
    <w:rsid w:val="00A008AC"/>
    <w:rsid w:val="00A01229"/>
    <w:rsid w:val="00A023A7"/>
    <w:rsid w:val="00A03B51"/>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16C3"/>
    <w:rsid w:val="00A5229B"/>
    <w:rsid w:val="00A52C62"/>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88C"/>
    <w:rsid w:val="00A95365"/>
    <w:rsid w:val="00A957B6"/>
    <w:rsid w:val="00A95979"/>
    <w:rsid w:val="00A95F63"/>
    <w:rsid w:val="00A96FE7"/>
    <w:rsid w:val="00A97C07"/>
    <w:rsid w:val="00A97E58"/>
    <w:rsid w:val="00AA084D"/>
    <w:rsid w:val="00AA0A77"/>
    <w:rsid w:val="00AA30BE"/>
    <w:rsid w:val="00AA387C"/>
    <w:rsid w:val="00AA52BA"/>
    <w:rsid w:val="00AA5A30"/>
    <w:rsid w:val="00AA5A4B"/>
    <w:rsid w:val="00AA5B52"/>
    <w:rsid w:val="00AA6941"/>
    <w:rsid w:val="00AA7784"/>
    <w:rsid w:val="00AB1D6F"/>
    <w:rsid w:val="00AB1DC7"/>
    <w:rsid w:val="00AB1F6E"/>
    <w:rsid w:val="00AB21FC"/>
    <w:rsid w:val="00AB2F63"/>
    <w:rsid w:val="00AB47A0"/>
    <w:rsid w:val="00AB497E"/>
    <w:rsid w:val="00AB498D"/>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0C5A"/>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562A"/>
    <w:rsid w:val="00AF7B99"/>
    <w:rsid w:val="00B00209"/>
    <w:rsid w:val="00B01539"/>
    <w:rsid w:val="00B01E73"/>
    <w:rsid w:val="00B02017"/>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0BF"/>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5FDE"/>
    <w:rsid w:val="00B674B0"/>
    <w:rsid w:val="00B70480"/>
    <w:rsid w:val="00B70C49"/>
    <w:rsid w:val="00B70FC1"/>
    <w:rsid w:val="00B723C3"/>
    <w:rsid w:val="00B72DA4"/>
    <w:rsid w:val="00B735DC"/>
    <w:rsid w:val="00B73785"/>
    <w:rsid w:val="00B7699E"/>
    <w:rsid w:val="00B76B1E"/>
    <w:rsid w:val="00B80543"/>
    <w:rsid w:val="00B809F0"/>
    <w:rsid w:val="00B8162F"/>
    <w:rsid w:val="00B81939"/>
    <w:rsid w:val="00B81A1C"/>
    <w:rsid w:val="00B82B9A"/>
    <w:rsid w:val="00B84A03"/>
    <w:rsid w:val="00B84EA2"/>
    <w:rsid w:val="00B851CE"/>
    <w:rsid w:val="00B85EB7"/>
    <w:rsid w:val="00B86518"/>
    <w:rsid w:val="00B87870"/>
    <w:rsid w:val="00B9017F"/>
    <w:rsid w:val="00B92C9C"/>
    <w:rsid w:val="00B94115"/>
    <w:rsid w:val="00B946DF"/>
    <w:rsid w:val="00B94A9C"/>
    <w:rsid w:val="00B94D38"/>
    <w:rsid w:val="00B94E5D"/>
    <w:rsid w:val="00B958A0"/>
    <w:rsid w:val="00B95BA2"/>
    <w:rsid w:val="00B96407"/>
    <w:rsid w:val="00B96F30"/>
    <w:rsid w:val="00B97554"/>
    <w:rsid w:val="00B97CA8"/>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D2B"/>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789"/>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6F6E"/>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3BAE"/>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5E6"/>
    <w:rsid w:val="00C51EB2"/>
    <w:rsid w:val="00C52073"/>
    <w:rsid w:val="00C52557"/>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4C"/>
    <w:rsid w:val="00C96F11"/>
    <w:rsid w:val="00CA008E"/>
    <w:rsid w:val="00CA15E7"/>
    <w:rsid w:val="00CA2C11"/>
    <w:rsid w:val="00CA2F62"/>
    <w:rsid w:val="00CA40BC"/>
    <w:rsid w:val="00CA548B"/>
    <w:rsid w:val="00CA5A24"/>
    <w:rsid w:val="00CA5B9C"/>
    <w:rsid w:val="00CB0650"/>
    <w:rsid w:val="00CB0711"/>
    <w:rsid w:val="00CB0909"/>
    <w:rsid w:val="00CB0EA5"/>
    <w:rsid w:val="00CB11CA"/>
    <w:rsid w:val="00CB15F5"/>
    <w:rsid w:val="00CB1C9F"/>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D6234"/>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1C00"/>
    <w:rsid w:val="00D3218B"/>
    <w:rsid w:val="00D33AE7"/>
    <w:rsid w:val="00D33F55"/>
    <w:rsid w:val="00D35C2E"/>
    <w:rsid w:val="00D40F49"/>
    <w:rsid w:val="00D414D9"/>
    <w:rsid w:val="00D41552"/>
    <w:rsid w:val="00D4175E"/>
    <w:rsid w:val="00D4224A"/>
    <w:rsid w:val="00D42870"/>
    <w:rsid w:val="00D43570"/>
    <w:rsid w:val="00D4626C"/>
    <w:rsid w:val="00D47A9A"/>
    <w:rsid w:val="00D47B54"/>
    <w:rsid w:val="00D47F5D"/>
    <w:rsid w:val="00D50766"/>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4FE"/>
    <w:rsid w:val="00D72850"/>
    <w:rsid w:val="00D729C2"/>
    <w:rsid w:val="00D72A52"/>
    <w:rsid w:val="00D74BA8"/>
    <w:rsid w:val="00D75299"/>
    <w:rsid w:val="00D7613D"/>
    <w:rsid w:val="00D76190"/>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1534"/>
    <w:rsid w:val="00D920AB"/>
    <w:rsid w:val="00D92AC4"/>
    <w:rsid w:val="00D93043"/>
    <w:rsid w:val="00D93756"/>
    <w:rsid w:val="00D94320"/>
    <w:rsid w:val="00D94CE2"/>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256"/>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6C02"/>
    <w:rsid w:val="00DD740B"/>
    <w:rsid w:val="00DE1590"/>
    <w:rsid w:val="00DE16F2"/>
    <w:rsid w:val="00DE1FCF"/>
    <w:rsid w:val="00DE25F3"/>
    <w:rsid w:val="00DE269C"/>
    <w:rsid w:val="00DE379B"/>
    <w:rsid w:val="00DE41D1"/>
    <w:rsid w:val="00DE4382"/>
    <w:rsid w:val="00DE463F"/>
    <w:rsid w:val="00DE63E7"/>
    <w:rsid w:val="00DE6620"/>
    <w:rsid w:val="00DE75A7"/>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389"/>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90"/>
    <w:rsid w:val="00E4212B"/>
    <w:rsid w:val="00E4382C"/>
    <w:rsid w:val="00E439C9"/>
    <w:rsid w:val="00E43DDF"/>
    <w:rsid w:val="00E44119"/>
    <w:rsid w:val="00E445C5"/>
    <w:rsid w:val="00E44ECD"/>
    <w:rsid w:val="00E44F3C"/>
    <w:rsid w:val="00E45087"/>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374"/>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AC6"/>
    <w:rsid w:val="00E94F8F"/>
    <w:rsid w:val="00E96139"/>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592E"/>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21A"/>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12C"/>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3DCF"/>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4DDB"/>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6A66"/>
    <w:rsid w:val="00F87803"/>
    <w:rsid w:val="00F87A01"/>
    <w:rsid w:val="00F87A91"/>
    <w:rsid w:val="00F90D0C"/>
    <w:rsid w:val="00F9210F"/>
    <w:rsid w:val="00F92770"/>
    <w:rsid w:val="00F928A6"/>
    <w:rsid w:val="00F932CE"/>
    <w:rsid w:val="00F935BF"/>
    <w:rsid w:val="00F93F61"/>
    <w:rsid w:val="00F93FB6"/>
    <w:rsid w:val="00F947E5"/>
    <w:rsid w:val="00F948B6"/>
    <w:rsid w:val="00F94EDB"/>
    <w:rsid w:val="00FA0C27"/>
    <w:rsid w:val="00FA1983"/>
    <w:rsid w:val="00FA1B1C"/>
    <w:rsid w:val="00FA21D3"/>
    <w:rsid w:val="00FA230B"/>
    <w:rsid w:val="00FA23B0"/>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1C5"/>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4C80"/>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A5EF0"/>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AB498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AB498D"/>
    <w:rPr>
      <w:rFonts w:asciiTheme="majorHAnsi" w:eastAsiaTheme="majorEastAsia" w:hAnsiTheme="majorHAnsi" w:cstheme="majorBidi"/>
      <w:color w:val="365F91" w:themeColor="accent1" w:themeShade="BF"/>
      <w:sz w:val="28"/>
      <w:szCs w:val="28"/>
      <w:lang w:eastAsia="es-MX"/>
    </w:rPr>
  </w:style>
  <w:style w:type="paragraph" w:styleId="Textosinformato">
    <w:name w:val="Plain Text"/>
    <w:basedOn w:val="Normal"/>
    <w:link w:val="TextosinformatoCar"/>
    <w:rsid w:val="00AB498D"/>
    <w:pPr>
      <w:jc w:val="left"/>
    </w:pPr>
    <w:rPr>
      <w:rFonts w:ascii="Courier New" w:hAnsi="Courier New" w:cs="Times New Roman"/>
      <w:sz w:val="20"/>
      <w:szCs w:val="20"/>
      <w:lang w:val="x-none" w:eastAsia="es-ES"/>
    </w:rPr>
  </w:style>
  <w:style w:type="character" w:customStyle="1" w:styleId="TextosinformatoCar">
    <w:name w:val="Texto sin formato Car"/>
    <w:basedOn w:val="Fuentedeprrafopredeter"/>
    <w:link w:val="Textosinformato"/>
    <w:rsid w:val="00AB498D"/>
    <w:rPr>
      <w:rFonts w:ascii="Courier New" w:hAnsi="Courier New"/>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derh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EE74-1DF9-4DB9-86A9-F6EDA584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2020-05-20T18:33:00Z</dcterms:created>
  <dcterms:modified xsi:type="dcterms:W3CDTF">2020-05-20T18:33:00Z</dcterms:modified>
</cp:coreProperties>
</file>