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9024" w14:textId="77777777" w:rsidR="00AD0039" w:rsidRDefault="00AD0039" w:rsidP="00AD0039">
      <w:pPr>
        <w:tabs>
          <w:tab w:val="left" w:pos="5056"/>
        </w:tabs>
        <w:rPr>
          <w:rFonts w:ascii="Arial Narrow" w:hAnsi="Arial Narrow" w:cs="Arial"/>
          <w:color w:val="000000"/>
          <w:sz w:val="26"/>
          <w:szCs w:val="26"/>
          <w:lang w:eastAsia="es-MX"/>
        </w:rPr>
      </w:pPr>
    </w:p>
    <w:p w14:paraId="511B7CC3" w14:textId="6AD9A645" w:rsidR="00AD0039" w:rsidRPr="00AD0039" w:rsidRDefault="00AD0039" w:rsidP="00AD0039">
      <w:pPr>
        <w:tabs>
          <w:tab w:val="left" w:pos="5056"/>
        </w:tabs>
        <w:rPr>
          <w:rFonts w:ascii="Arial Narrow" w:hAnsi="Arial Narrow" w:cs="Arial"/>
          <w:b/>
          <w:color w:val="000000"/>
          <w:sz w:val="26"/>
          <w:szCs w:val="26"/>
          <w:lang w:eastAsia="es-MX"/>
        </w:rPr>
      </w:pPr>
      <w:r w:rsidRPr="00AD0039">
        <w:rPr>
          <w:rFonts w:ascii="Arial Narrow" w:hAnsi="Arial Narrow" w:cs="Arial"/>
          <w:color w:val="000000"/>
          <w:sz w:val="26"/>
          <w:szCs w:val="26"/>
          <w:lang w:eastAsia="es-MX"/>
        </w:rPr>
        <w:t xml:space="preserve">Iniciativa con Proyecto de Decreto por el que se reforma el artículo 4°; el párrafo segundo del artículo 6°, así como el párrafo primero y segundo del artículo 61, de la </w:t>
      </w:r>
      <w:r w:rsidRPr="00AD0039">
        <w:rPr>
          <w:rFonts w:ascii="Arial Narrow" w:hAnsi="Arial Narrow" w:cs="Arial"/>
          <w:b/>
          <w:color w:val="000000"/>
          <w:sz w:val="26"/>
          <w:szCs w:val="26"/>
          <w:lang w:eastAsia="es-MX"/>
        </w:rPr>
        <w:t>Ley de Extinción de Dominio del Estado de Coahuila de Zaragoza</w:t>
      </w:r>
      <w:r w:rsidRPr="00AD0039">
        <w:rPr>
          <w:rFonts w:ascii="Arial Narrow" w:hAnsi="Arial Narrow" w:cs="Arial"/>
          <w:b/>
          <w:color w:val="000000"/>
          <w:sz w:val="26"/>
          <w:szCs w:val="26"/>
          <w:lang w:eastAsia="es-MX"/>
        </w:rPr>
        <w:t>.</w:t>
      </w:r>
    </w:p>
    <w:p w14:paraId="35DFA383" w14:textId="77777777" w:rsidR="00AD0039" w:rsidRDefault="00AD0039" w:rsidP="00AD0039">
      <w:pPr>
        <w:tabs>
          <w:tab w:val="left" w:pos="5056"/>
        </w:tabs>
        <w:rPr>
          <w:rFonts w:ascii="Arial Narrow" w:hAnsi="Arial Narrow" w:cs="Arial"/>
          <w:color w:val="000000"/>
          <w:sz w:val="26"/>
          <w:szCs w:val="26"/>
          <w:lang w:eastAsia="es-MX"/>
        </w:rPr>
      </w:pPr>
    </w:p>
    <w:p w14:paraId="2E3F8664" w14:textId="147F09C3" w:rsidR="00AD0039" w:rsidRPr="00AD0039" w:rsidRDefault="00AD0039" w:rsidP="00AD0039">
      <w:pPr>
        <w:widowControl w:val="0"/>
        <w:numPr>
          <w:ilvl w:val="0"/>
          <w:numId w:val="1"/>
        </w:numPr>
        <w:tabs>
          <w:tab w:val="left" w:pos="5056"/>
        </w:tabs>
        <w:ind w:left="714" w:hanging="357"/>
        <w:contextualSpacing/>
        <w:rPr>
          <w:rFonts w:ascii="Arial Narrow" w:hAnsi="Arial Narrow"/>
          <w:b/>
          <w:snapToGrid w:val="0"/>
          <w:color w:val="000000"/>
          <w:sz w:val="26"/>
          <w:szCs w:val="26"/>
        </w:rPr>
      </w:pPr>
      <w:r w:rsidRPr="00AD0039">
        <w:rPr>
          <w:rFonts w:ascii="Arial Narrow" w:hAnsi="Arial Narrow"/>
          <w:b/>
          <w:snapToGrid w:val="0"/>
          <w:color w:val="000000"/>
          <w:sz w:val="26"/>
          <w:szCs w:val="26"/>
        </w:rPr>
        <w:t>P</w:t>
      </w:r>
      <w:r w:rsidRPr="00AD0039">
        <w:rPr>
          <w:rFonts w:ascii="Arial Narrow" w:hAnsi="Arial Narrow"/>
          <w:b/>
          <w:snapToGrid w:val="0"/>
          <w:color w:val="000000"/>
          <w:sz w:val="26"/>
          <w:szCs w:val="26"/>
        </w:rPr>
        <w:t>ara el efecto de prever expresamente en dicho ordenamiento, que los remanentes del valor de los bienes sobre los que se declare judicialmente la extinción de dominio, serán destinados mediante el acuerdo del titular del Poder Ejecutivo, un 30 por ciento a la infraestructura y equipamiento del sector educativo, otro 30 por ciento a la infraestructura y equipamiento del sector salud, un 20 por ciento para los programas sociales de la Secretaria de Inclusión y Desarrollo Social, y el otro 20 por ciento restante para las áreas de Seguridad Pública y la Fiscalía General del Estado, así como que el ministerio público podrá desistirse de la acción de extinción de dominio, solo cuando existan las causas lógico jurídicas que justifiquen tal actuación, y dichas circunstancias sean expresadas fundadamente en tal determinación.</w:t>
      </w:r>
    </w:p>
    <w:p w14:paraId="1C8F5E92" w14:textId="77777777" w:rsidR="00AD0039" w:rsidRDefault="00AD0039" w:rsidP="00AD0039">
      <w:pPr>
        <w:tabs>
          <w:tab w:val="left" w:pos="5056"/>
        </w:tabs>
        <w:rPr>
          <w:rFonts w:ascii="Arial Narrow" w:hAnsi="Arial Narrow"/>
          <w:color w:val="000000"/>
          <w:sz w:val="26"/>
          <w:szCs w:val="26"/>
        </w:rPr>
      </w:pPr>
    </w:p>
    <w:p w14:paraId="432BB92B" w14:textId="58063A67" w:rsidR="00AD0039" w:rsidRPr="009A71FF" w:rsidRDefault="00AD0039" w:rsidP="00AD0039">
      <w:pPr>
        <w:tabs>
          <w:tab w:val="left" w:pos="5056"/>
        </w:tabs>
        <w:rPr>
          <w:rFonts w:ascii="Arial Narrow" w:hAnsi="Arial Narrow"/>
          <w:color w:val="000000"/>
          <w:sz w:val="26"/>
          <w:szCs w:val="26"/>
        </w:rPr>
      </w:pPr>
      <w:r w:rsidRPr="009A71FF">
        <w:rPr>
          <w:rFonts w:ascii="Arial Narrow" w:hAnsi="Arial Narrow"/>
          <w:color w:val="000000"/>
          <w:sz w:val="26"/>
          <w:szCs w:val="26"/>
        </w:rPr>
        <w:t xml:space="preserve">Planteada por </w:t>
      </w:r>
      <w:r>
        <w:rPr>
          <w:rFonts w:ascii="Arial Narrow" w:hAnsi="Arial Narrow"/>
          <w:color w:val="000000"/>
          <w:sz w:val="26"/>
          <w:szCs w:val="26"/>
        </w:rPr>
        <w:t>el</w:t>
      </w:r>
      <w:r>
        <w:rPr>
          <w:rFonts w:ascii="Arial Narrow" w:hAnsi="Arial Narrow"/>
          <w:color w:val="000000"/>
          <w:sz w:val="26"/>
          <w:szCs w:val="26"/>
        </w:rPr>
        <w:t xml:space="preserve"> </w:t>
      </w:r>
      <w:r w:rsidRPr="00ED6605">
        <w:rPr>
          <w:rFonts w:ascii="Arial Narrow" w:hAnsi="Arial Narrow" w:cs="Arial"/>
          <w:b/>
          <w:color w:val="000000"/>
          <w:sz w:val="26"/>
          <w:szCs w:val="26"/>
          <w:lang w:eastAsia="es-MX"/>
        </w:rPr>
        <w:t>Diputad</w:t>
      </w:r>
      <w:r>
        <w:rPr>
          <w:rFonts w:ascii="Arial Narrow" w:hAnsi="Arial Narrow" w:cs="Arial"/>
          <w:b/>
          <w:color w:val="000000"/>
          <w:sz w:val="26"/>
          <w:szCs w:val="26"/>
          <w:lang w:eastAsia="es-MX"/>
        </w:rPr>
        <w:t xml:space="preserve">o </w:t>
      </w:r>
      <w:r w:rsidRPr="00AD0039">
        <w:rPr>
          <w:rFonts w:ascii="Arial Narrow" w:hAnsi="Arial Narrow" w:cs="Arial"/>
          <w:b/>
          <w:color w:val="000000"/>
          <w:sz w:val="26"/>
          <w:szCs w:val="26"/>
          <w:lang w:eastAsia="es-MX"/>
        </w:rPr>
        <w:t xml:space="preserve">Marcelo de Jesús Torres </w:t>
      </w:r>
      <w:proofErr w:type="spellStart"/>
      <w:r w:rsidRPr="00AD0039">
        <w:rPr>
          <w:rFonts w:ascii="Arial Narrow" w:hAnsi="Arial Narrow" w:cs="Arial"/>
          <w:b/>
          <w:color w:val="000000"/>
          <w:sz w:val="26"/>
          <w:szCs w:val="26"/>
          <w:lang w:eastAsia="es-MX"/>
        </w:rPr>
        <w:t>Cofiño</w:t>
      </w:r>
      <w:proofErr w:type="spellEnd"/>
      <w:r w:rsidRPr="009A71FF">
        <w:rPr>
          <w:rFonts w:ascii="Arial Narrow" w:hAnsi="Arial Narrow"/>
          <w:color w:val="000000"/>
          <w:sz w:val="26"/>
          <w:szCs w:val="26"/>
        </w:rPr>
        <w:t>,</w:t>
      </w:r>
      <w:r w:rsidRPr="009A71FF">
        <w:rPr>
          <w:rFonts w:ascii="Arial Narrow" w:hAnsi="Arial Narrow"/>
          <w:b/>
          <w:color w:val="000000"/>
          <w:sz w:val="26"/>
          <w:szCs w:val="26"/>
        </w:rPr>
        <w:t xml:space="preserve"> </w:t>
      </w:r>
      <w:r w:rsidRPr="009A71FF">
        <w:rPr>
          <w:rFonts w:ascii="Arial Narrow" w:hAnsi="Arial Narrow"/>
          <w:color w:val="000000"/>
          <w:sz w:val="26"/>
          <w:szCs w:val="26"/>
        </w:rPr>
        <w:t>del Grupo Parlamentario “Del Partido Acción Nacional”, conjuntamente con las demás Diputadas y Diputados que la suscriben.</w:t>
      </w:r>
    </w:p>
    <w:p w14:paraId="7F6B6DF3" w14:textId="77777777" w:rsidR="00AD0039" w:rsidRPr="009A71FF" w:rsidRDefault="00AD0039" w:rsidP="00AD0039">
      <w:pPr>
        <w:rPr>
          <w:rFonts w:ascii="Arial Narrow" w:hAnsi="Arial Narrow"/>
          <w:color w:val="000000"/>
          <w:sz w:val="26"/>
          <w:szCs w:val="26"/>
        </w:rPr>
      </w:pPr>
    </w:p>
    <w:p w14:paraId="5766007B" w14:textId="77777777" w:rsidR="00AD0039" w:rsidRPr="009A71FF" w:rsidRDefault="00AD0039" w:rsidP="00AD0039">
      <w:pPr>
        <w:rPr>
          <w:rFonts w:ascii="Arial Narrow" w:hAnsi="Arial Narrow"/>
          <w:b/>
          <w:color w:val="000000"/>
          <w:sz w:val="26"/>
          <w:szCs w:val="26"/>
        </w:rPr>
      </w:pPr>
      <w:r w:rsidRPr="009A71FF">
        <w:rPr>
          <w:rFonts w:ascii="Arial Narrow" w:hAnsi="Arial Narrow"/>
          <w:color w:val="000000"/>
          <w:sz w:val="26"/>
          <w:szCs w:val="26"/>
        </w:rPr>
        <w:t xml:space="preserve">Fecha de Lectura de la Iniciativa: </w:t>
      </w:r>
      <w:r>
        <w:rPr>
          <w:rFonts w:ascii="Arial Narrow" w:hAnsi="Arial Narrow"/>
          <w:b/>
          <w:color w:val="000000"/>
          <w:sz w:val="26"/>
          <w:szCs w:val="26"/>
        </w:rPr>
        <w:t>09</w:t>
      </w:r>
      <w:r w:rsidRPr="009A71FF">
        <w:rPr>
          <w:rFonts w:ascii="Arial Narrow" w:hAnsi="Arial Narrow"/>
          <w:b/>
          <w:color w:val="000000"/>
          <w:sz w:val="26"/>
          <w:szCs w:val="26"/>
        </w:rPr>
        <w:t xml:space="preserve"> de </w:t>
      </w:r>
      <w:proofErr w:type="gramStart"/>
      <w:r>
        <w:rPr>
          <w:rFonts w:ascii="Arial Narrow" w:hAnsi="Arial Narrow"/>
          <w:b/>
          <w:color w:val="000000"/>
          <w:sz w:val="26"/>
          <w:szCs w:val="26"/>
        </w:rPr>
        <w:t>Septiembre</w:t>
      </w:r>
      <w:proofErr w:type="gramEnd"/>
      <w:r w:rsidRPr="009A71FF">
        <w:rPr>
          <w:rFonts w:ascii="Arial Narrow" w:hAnsi="Arial Narrow"/>
          <w:b/>
          <w:color w:val="000000"/>
          <w:sz w:val="26"/>
          <w:szCs w:val="26"/>
        </w:rPr>
        <w:t xml:space="preserve"> de 2020.</w:t>
      </w:r>
    </w:p>
    <w:p w14:paraId="7F2D5C9A" w14:textId="77777777" w:rsidR="00AD0039" w:rsidRPr="009A71FF" w:rsidRDefault="00AD0039" w:rsidP="00AD0039">
      <w:pPr>
        <w:rPr>
          <w:rFonts w:ascii="Arial Narrow" w:hAnsi="Arial Narrow" w:cs="Arial"/>
          <w:sz w:val="26"/>
          <w:szCs w:val="26"/>
        </w:rPr>
      </w:pPr>
    </w:p>
    <w:p w14:paraId="0A466BB2" w14:textId="0838E6D6" w:rsidR="00AD0039" w:rsidRPr="009A71FF" w:rsidRDefault="00AD0039" w:rsidP="00AD0039">
      <w:pPr>
        <w:tabs>
          <w:tab w:val="left" w:pos="5056"/>
        </w:tabs>
        <w:rPr>
          <w:rFonts w:ascii="Arial Narrow" w:hAnsi="Arial Narrow"/>
          <w:b/>
          <w:color w:val="000000"/>
          <w:sz w:val="26"/>
          <w:szCs w:val="26"/>
        </w:rPr>
      </w:pPr>
      <w:r w:rsidRPr="009A71FF">
        <w:rPr>
          <w:rFonts w:ascii="Arial Narrow" w:hAnsi="Arial Narrow"/>
          <w:color w:val="000000"/>
          <w:sz w:val="26"/>
          <w:szCs w:val="26"/>
        </w:rPr>
        <w:t xml:space="preserve">Turnada a la </w:t>
      </w:r>
      <w:r w:rsidRPr="00AD0039">
        <w:rPr>
          <w:rFonts w:ascii="Arial Narrow" w:hAnsi="Arial Narrow" w:cs="Arial"/>
          <w:b/>
          <w:color w:val="000000"/>
          <w:sz w:val="26"/>
          <w:szCs w:val="26"/>
          <w:lang w:eastAsia="es-MX"/>
        </w:rPr>
        <w:t>Comisión de Gobernación, Puntos Constitucionales y Justicia</w:t>
      </w:r>
      <w:r w:rsidRPr="009A71FF">
        <w:rPr>
          <w:rFonts w:ascii="Arial Narrow" w:hAnsi="Arial Narrow"/>
          <w:b/>
          <w:color w:val="000000"/>
          <w:sz w:val="26"/>
          <w:szCs w:val="26"/>
        </w:rPr>
        <w:t>.</w:t>
      </w:r>
    </w:p>
    <w:p w14:paraId="4A9E46EF" w14:textId="77777777" w:rsidR="00AD0039" w:rsidRPr="009A71FF" w:rsidRDefault="00AD0039" w:rsidP="00AD0039">
      <w:pPr>
        <w:tabs>
          <w:tab w:val="left" w:pos="5056"/>
        </w:tabs>
        <w:rPr>
          <w:rFonts w:ascii="Arial Narrow" w:hAnsi="Arial Narrow"/>
          <w:color w:val="000000"/>
          <w:sz w:val="26"/>
          <w:szCs w:val="26"/>
        </w:rPr>
      </w:pPr>
    </w:p>
    <w:p w14:paraId="35140C4D" w14:textId="77777777" w:rsidR="00AD0039" w:rsidRPr="009A71FF" w:rsidRDefault="00AD0039" w:rsidP="00AD0039">
      <w:pPr>
        <w:rPr>
          <w:rFonts w:ascii="Arial Narrow" w:hAnsi="Arial Narrow"/>
          <w:b/>
          <w:color w:val="000000"/>
          <w:sz w:val="26"/>
          <w:szCs w:val="26"/>
        </w:rPr>
      </w:pPr>
      <w:r w:rsidRPr="009A71FF">
        <w:rPr>
          <w:rFonts w:ascii="Arial Narrow" w:hAnsi="Arial Narrow"/>
          <w:b/>
          <w:color w:val="000000"/>
          <w:sz w:val="26"/>
          <w:szCs w:val="26"/>
        </w:rPr>
        <w:t xml:space="preserve">Lectura del Dictamen: </w:t>
      </w:r>
    </w:p>
    <w:p w14:paraId="5D28B8C4" w14:textId="77777777" w:rsidR="00AD0039" w:rsidRPr="009A71FF" w:rsidRDefault="00AD0039" w:rsidP="00AD0039">
      <w:pPr>
        <w:rPr>
          <w:rFonts w:ascii="Arial Narrow" w:hAnsi="Arial Narrow"/>
          <w:b/>
          <w:color w:val="000000"/>
          <w:sz w:val="26"/>
          <w:szCs w:val="26"/>
        </w:rPr>
      </w:pPr>
    </w:p>
    <w:p w14:paraId="7E452C63" w14:textId="77777777" w:rsidR="00AD0039" w:rsidRPr="009A71FF" w:rsidRDefault="00AD0039" w:rsidP="00AD0039">
      <w:pPr>
        <w:rPr>
          <w:rFonts w:ascii="Arial Narrow" w:hAnsi="Arial Narrow"/>
          <w:b/>
          <w:color w:val="000000"/>
          <w:sz w:val="26"/>
          <w:szCs w:val="26"/>
        </w:rPr>
      </w:pPr>
      <w:r w:rsidRPr="009A71FF">
        <w:rPr>
          <w:rFonts w:ascii="Arial Narrow" w:hAnsi="Arial Narrow"/>
          <w:b/>
          <w:color w:val="000000"/>
          <w:sz w:val="26"/>
          <w:szCs w:val="26"/>
        </w:rPr>
        <w:t xml:space="preserve">Decreto No. </w:t>
      </w:r>
    </w:p>
    <w:p w14:paraId="3EC4D577" w14:textId="77777777" w:rsidR="00AD0039" w:rsidRPr="009A71FF" w:rsidRDefault="00AD0039" w:rsidP="00AD0039">
      <w:pPr>
        <w:rPr>
          <w:rFonts w:ascii="Arial Narrow" w:hAnsi="Arial Narrow"/>
          <w:b/>
          <w:color w:val="000000"/>
          <w:sz w:val="26"/>
          <w:szCs w:val="26"/>
        </w:rPr>
      </w:pPr>
    </w:p>
    <w:p w14:paraId="203E07AE" w14:textId="77777777" w:rsidR="00AD0039" w:rsidRPr="009A71FF" w:rsidRDefault="00AD0039" w:rsidP="00AD0039">
      <w:pPr>
        <w:rPr>
          <w:rFonts w:ascii="Arial Narrow" w:hAnsi="Arial Narrow"/>
          <w:b/>
          <w:color w:val="000000"/>
          <w:sz w:val="26"/>
          <w:szCs w:val="26"/>
        </w:rPr>
      </w:pPr>
      <w:r w:rsidRPr="009A71FF">
        <w:rPr>
          <w:rFonts w:ascii="Arial Narrow" w:hAnsi="Arial Narrow"/>
          <w:color w:val="000000"/>
          <w:sz w:val="26"/>
          <w:szCs w:val="26"/>
        </w:rPr>
        <w:t>Publicación en el Periódico Oficial del Gobierno del Estado:</w:t>
      </w:r>
      <w:r w:rsidRPr="009A71FF">
        <w:rPr>
          <w:rFonts w:ascii="Arial Narrow" w:hAnsi="Arial Narrow"/>
          <w:b/>
          <w:color w:val="000000"/>
          <w:sz w:val="26"/>
          <w:szCs w:val="26"/>
        </w:rPr>
        <w:t xml:space="preserve"> </w:t>
      </w:r>
    </w:p>
    <w:p w14:paraId="06B962B3" w14:textId="77777777" w:rsidR="00AD0039" w:rsidRPr="009A71FF" w:rsidRDefault="00AD0039" w:rsidP="00AD0039">
      <w:pPr>
        <w:rPr>
          <w:rFonts w:ascii="Arial Narrow" w:hAnsi="Arial Narrow"/>
          <w:color w:val="000000"/>
          <w:sz w:val="26"/>
          <w:szCs w:val="26"/>
        </w:rPr>
      </w:pPr>
    </w:p>
    <w:p w14:paraId="110C2141" w14:textId="77777777" w:rsidR="00AD0039" w:rsidRPr="009A71FF" w:rsidRDefault="00AD0039" w:rsidP="00AD0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cs="Arial"/>
          <w:b/>
          <w:sz w:val="28"/>
          <w:szCs w:val="28"/>
          <w:lang w:val="es-ES" w:eastAsia="es-MX"/>
        </w:rPr>
      </w:pPr>
    </w:p>
    <w:p w14:paraId="1964853F" w14:textId="77777777" w:rsidR="00AD0039" w:rsidRDefault="00AD0039" w:rsidP="00AD00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b/>
        </w:rPr>
      </w:pPr>
    </w:p>
    <w:p w14:paraId="6A0693A3" w14:textId="77777777" w:rsidR="00AD0039" w:rsidRDefault="00AD0039" w:rsidP="00407DA1">
      <w:pPr>
        <w:rPr>
          <w:rFonts w:cs="Arial"/>
          <w:b/>
          <w:sz w:val="28"/>
          <w:szCs w:val="28"/>
        </w:rPr>
      </w:pPr>
    </w:p>
    <w:p w14:paraId="30A0927B" w14:textId="77777777" w:rsidR="00AD0039" w:rsidRDefault="00AD0039" w:rsidP="00407DA1">
      <w:pPr>
        <w:rPr>
          <w:rFonts w:cs="Arial"/>
          <w:b/>
          <w:sz w:val="28"/>
          <w:szCs w:val="28"/>
        </w:rPr>
      </w:pPr>
    </w:p>
    <w:p w14:paraId="58633B9A" w14:textId="77777777" w:rsidR="00AD0039" w:rsidRDefault="00AD0039" w:rsidP="00407DA1">
      <w:pPr>
        <w:rPr>
          <w:rFonts w:cs="Arial"/>
          <w:b/>
          <w:sz w:val="28"/>
          <w:szCs w:val="28"/>
        </w:rPr>
      </w:pPr>
    </w:p>
    <w:p w14:paraId="7A6E1639" w14:textId="77777777" w:rsidR="00AD0039" w:rsidRDefault="00AD0039">
      <w:pPr>
        <w:spacing w:after="160" w:line="259" w:lineRule="auto"/>
        <w:jc w:val="left"/>
        <w:rPr>
          <w:rFonts w:cs="Arial"/>
          <w:b/>
          <w:sz w:val="28"/>
          <w:szCs w:val="28"/>
        </w:rPr>
      </w:pPr>
      <w:r>
        <w:rPr>
          <w:rFonts w:cs="Arial"/>
          <w:b/>
          <w:sz w:val="28"/>
          <w:szCs w:val="28"/>
        </w:rPr>
        <w:br w:type="page"/>
      </w:r>
    </w:p>
    <w:p w14:paraId="7EDEC53E" w14:textId="71F26087" w:rsidR="00407DA1" w:rsidRPr="00907C18" w:rsidRDefault="00407DA1" w:rsidP="00407DA1">
      <w:pPr>
        <w:rPr>
          <w:rFonts w:cs="Arial"/>
          <w:b/>
          <w:sz w:val="26"/>
          <w:szCs w:val="26"/>
        </w:rPr>
      </w:pPr>
      <w:r w:rsidRPr="00907C18">
        <w:rPr>
          <w:rFonts w:cs="Arial"/>
          <w:b/>
          <w:sz w:val="26"/>
          <w:szCs w:val="26"/>
        </w:rPr>
        <w:lastRenderedPageBreak/>
        <w:t>H. PLENO DEL CONGRESO DEL ESTADO DE COAHUILA DE ZARAGOZA</w:t>
      </w:r>
    </w:p>
    <w:p w14:paraId="4341D44F" w14:textId="77777777" w:rsidR="00407DA1" w:rsidRPr="00907C18" w:rsidRDefault="00407DA1" w:rsidP="00407DA1">
      <w:pPr>
        <w:rPr>
          <w:rFonts w:cs="Arial"/>
          <w:b/>
          <w:sz w:val="26"/>
          <w:szCs w:val="26"/>
        </w:rPr>
      </w:pPr>
      <w:proofErr w:type="gramStart"/>
      <w:r w:rsidRPr="00907C18">
        <w:rPr>
          <w:rFonts w:cs="Arial"/>
          <w:b/>
          <w:sz w:val="26"/>
          <w:szCs w:val="26"/>
        </w:rPr>
        <w:t>PRESENTE.-</w:t>
      </w:r>
      <w:proofErr w:type="gramEnd"/>
    </w:p>
    <w:p w14:paraId="4F7AAD0B" w14:textId="77777777" w:rsidR="00407DA1" w:rsidRPr="00907C18" w:rsidRDefault="00407DA1" w:rsidP="00407DA1">
      <w:pPr>
        <w:rPr>
          <w:rFonts w:cs="Arial"/>
          <w:b/>
          <w:sz w:val="26"/>
          <w:szCs w:val="26"/>
        </w:rPr>
      </w:pPr>
    </w:p>
    <w:p w14:paraId="304D70BD" w14:textId="3E153483" w:rsidR="00407DA1" w:rsidRPr="00907C18" w:rsidRDefault="008F7B21" w:rsidP="00407DA1">
      <w:pPr>
        <w:rPr>
          <w:rFonts w:cs="Arial"/>
          <w:b/>
          <w:sz w:val="26"/>
          <w:szCs w:val="26"/>
        </w:rPr>
      </w:pPr>
      <w:r w:rsidRPr="00907C18">
        <w:rPr>
          <w:rFonts w:cs="Arial"/>
          <w:b/>
          <w:sz w:val="26"/>
          <w:szCs w:val="26"/>
        </w:rPr>
        <w:t xml:space="preserve">INICIATIVA QUE PRESENTA EL DIPUTADO MARCELO DE JESÚS TORRES COFIÑO, EN CONJUNTO CON LOS DIPUTADOS INTEGRANTES DEL GRUPO PARLAMENTARIO “DEL PARTIDO ACCIÓN NACIONAL”; EN EJERCICIO DE LA FACULTAD LEGISLATIVA QUE CONCEDE EL ARTÍCULO 59 FRACCIÓN I, DE LA CONSTITUCIÓN POLÍTICA DEL ESTADO DE COAHUILA DE ZARAGOZA, Y CON FUNDAMENTO EN LOS ARTÍCULOS 22 FRACCIÓN V; 144 FRACCIÓN I; 158, 159 Y 160 DE LA LEY ORGÁNICA DEL CONGRESO DEL ESTADO, MEDIANTE LA CUAL PRESENTAMOS </w:t>
      </w:r>
      <w:bookmarkStart w:id="0" w:name="_Hlk50363370"/>
      <w:r w:rsidRPr="00907C18">
        <w:rPr>
          <w:rFonts w:cs="Arial"/>
          <w:b/>
          <w:sz w:val="26"/>
          <w:szCs w:val="26"/>
        </w:rPr>
        <w:t xml:space="preserve">LA INICIATIVA CON PROYECTO DE DECRETO, POR EL QUE </w:t>
      </w:r>
      <w:r w:rsidR="00F64675" w:rsidRPr="00907C18">
        <w:rPr>
          <w:rFonts w:cs="Arial"/>
          <w:b/>
          <w:sz w:val="26"/>
          <w:szCs w:val="26"/>
        </w:rPr>
        <w:t xml:space="preserve">SE </w:t>
      </w:r>
      <w:r w:rsidR="00F64675" w:rsidRPr="00907C18">
        <w:rPr>
          <w:rFonts w:cs="Arial"/>
          <w:b/>
          <w:sz w:val="26"/>
          <w:szCs w:val="26"/>
          <w:u w:val="single"/>
        </w:rPr>
        <w:t>PROPONE REFORMAR EL ARTÍCULO 4°; EL PÁRRAFO SEGUNDO DEL ARTÍCULO 6°, ASÍ COMO EL</w:t>
      </w:r>
      <w:r w:rsidR="00360C07" w:rsidRPr="00907C18">
        <w:rPr>
          <w:rFonts w:cs="Arial"/>
          <w:b/>
          <w:sz w:val="26"/>
          <w:szCs w:val="26"/>
          <w:u w:val="single"/>
        </w:rPr>
        <w:t xml:space="preserve"> PÁRRAFO</w:t>
      </w:r>
      <w:r w:rsidR="00BB1F18" w:rsidRPr="00907C18">
        <w:rPr>
          <w:rFonts w:cs="Arial"/>
          <w:b/>
          <w:sz w:val="26"/>
          <w:szCs w:val="26"/>
          <w:u w:val="single"/>
        </w:rPr>
        <w:t xml:space="preserve"> PRIMERO Y</w:t>
      </w:r>
      <w:r w:rsidR="00F64675" w:rsidRPr="00907C18">
        <w:rPr>
          <w:rFonts w:cs="Arial"/>
          <w:b/>
          <w:sz w:val="26"/>
          <w:szCs w:val="26"/>
          <w:u w:val="single"/>
        </w:rPr>
        <w:t xml:space="preserve"> SEGUNDO DEL ARTÍCULO 61, DE LA </w:t>
      </w:r>
      <w:r w:rsidR="003561EF" w:rsidRPr="00907C18">
        <w:rPr>
          <w:rFonts w:cs="Arial"/>
          <w:b/>
          <w:sz w:val="26"/>
          <w:szCs w:val="26"/>
          <w:u w:val="single"/>
        </w:rPr>
        <w:t>LEY DE EXTINCIÓN DE DOMINIO DEL ESTADO DE COAHUILA</w:t>
      </w:r>
      <w:r w:rsidR="001B50BA" w:rsidRPr="00907C18">
        <w:rPr>
          <w:rFonts w:cs="Arial"/>
          <w:b/>
          <w:sz w:val="26"/>
          <w:szCs w:val="26"/>
          <w:u w:val="single"/>
        </w:rPr>
        <w:t xml:space="preserve"> </w:t>
      </w:r>
      <w:r w:rsidR="00F64675" w:rsidRPr="00907C18">
        <w:rPr>
          <w:rFonts w:cs="Arial"/>
          <w:b/>
          <w:sz w:val="26"/>
          <w:szCs w:val="26"/>
          <w:u w:val="single"/>
        </w:rPr>
        <w:t xml:space="preserve">DE ZARAGOZA, </w:t>
      </w:r>
      <w:r w:rsidR="005A6873" w:rsidRPr="00907C18">
        <w:rPr>
          <w:rFonts w:cs="Arial"/>
          <w:b/>
          <w:sz w:val="26"/>
          <w:szCs w:val="26"/>
          <w:u w:val="single"/>
        </w:rPr>
        <w:t>PARA EL EFECTO DE PREVER EXPRESAMENTE EN DICHO ORDENAMIENTO</w:t>
      </w:r>
      <w:r w:rsidR="00EB14B6" w:rsidRPr="00907C18">
        <w:rPr>
          <w:rFonts w:cs="Arial"/>
          <w:b/>
          <w:sz w:val="26"/>
          <w:szCs w:val="26"/>
          <w:u w:val="single"/>
        </w:rPr>
        <w:t>,</w:t>
      </w:r>
      <w:r w:rsidR="005A6873" w:rsidRPr="00907C18">
        <w:rPr>
          <w:rFonts w:cs="Arial"/>
          <w:b/>
          <w:sz w:val="26"/>
          <w:szCs w:val="26"/>
          <w:u w:val="single"/>
        </w:rPr>
        <w:t xml:space="preserve"> QUE LOS REMANENTES DEL VALOR DE LOS BIENES SOBRE LOS QUE SE DECLARE JUDICIALMENTE LA EXTINCIÓN DE DOMINIO</w:t>
      </w:r>
      <w:r w:rsidR="00EB14B6" w:rsidRPr="00907C18">
        <w:rPr>
          <w:rFonts w:cs="Arial"/>
          <w:b/>
          <w:sz w:val="26"/>
          <w:szCs w:val="26"/>
          <w:u w:val="single"/>
        </w:rPr>
        <w:t>,</w:t>
      </w:r>
      <w:r w:rsidR="005A6873" w:rsidRPr="00907C18">
        <w:rPr>
          <w:rFonts w:cs="Arial"/>
          <w:b/>
          <w:sz w:val="26"/>
          <w:szCs w:val="26"/>
          <w:u w:val="single"/>
        </w:rPr>
        <w:t xml:space="preserve"> SERÁN DESTINADOS MEDIANTE EL ACUERDO DEL TITULAR DEL PODER EJECUTIVO, UN </w:t>
      </w:r>
      <w:r w:rsidR="00246884" w:rsidRPr="00907C18">
        <w:rPr>
          <w:rFonts w:cs="Arial"/>
          <w:b/>
          <w:sz w:val="26"/>
          <w:szCs w:val="26"/>
          <w:u w:val="single"/>
        </w:rPr>
        <w:t>30</w:t>
      </w:r>
      <w:r w:rsidR="005A6873" w:rsidRPr="00907C18">
        <w:rPr>
          <w:rFonts w:cs="Arial"/>
          <w:b/>
          <w:sz w:val="26"/>
          <w:szCs w:val="26"/>
          <w:u w:val="single"/>
        </w:rPr>
        <w:t xml:space="preserve"> POR CIENTO A LA INFRAESTRUCTURA Y EQUIPAMIENTO DEL SECTOR EDUCATIVO, OTRO </w:t>
      </w:r>
      <w:r w:rsidR="00246884" w:rsidRPr="00907C18">
        <w:rPr>
          <w:rFonts w:cs="Arial"/>
          <w:b/>
          <w:sz w:val="26"/>
          <w:szCs w:val="26"/>
          <w:u w:val="single"/>
        </w:rPr>
        <w:t>30</w:t>
      </w:r>
      <w:r w:rsidR="005A6873" w:rsidRPr="00907C18">
        <w:rPr>
          <w:rFonts w:cs="Arial"/>
          <w:b/>
          <w:sz w:val="26"/>
          <w:szCs w:val="26"/>
          <w:u w:val="single"/>
        </w:rPr>
        <w:t xml:space="preserve"> POR CIENTO A LA INFRAESTRUCTURA Y EQUIPAMIENTO DEL SECTOR SALUD, UN 20 POR CIENTO PARA LOS PROGRAMAS SOCIALES DE LA SECRETARIA DE </w:t>
      </w:r>
      <w:r w:rsidR="008F74EB" w:rsidRPr="00907C18">
        <w:rPr>
          <w:rFonts w:cs="Arial"/>
          <w:b/>
          <w:sz w:val="26"/>
          <w:szCs w:val="26"/>
          <w:u w:val="single"/>
        </w:rPr>
        <w:t xml:space="preserve">INCLUSION Y </w:t>
      </w:r>
      <w:r w:rsidR="005A6873" w:rsidRPr="00907C18">
        <w:rPr>
          <w:rFonts w:cs="Arial"/>
          <w:b/>
          <w:sz w:val="26"/>
          <w:szCs w:val="26"/>
          <w:u w:val="single"/>
        </w:rPr>
        <w:t>DESARROLLO SOCIAL, Y EL OTRO 20 POR CIENTO RESTANTE PARA LAS ÁREAS DE SEGURIDAD PÚBLICA Y LA FISCALÍA GENERAL DEL ESTADO, ASÍ COMO QUE EL MINISTERIO PUBLICO PODRÁ DESISTIRSE DE LA ACCIÓN DE EXTINCIÓN DE DOMINIO, SOLO CUANDO EXISTAN LAS CAUSAS LÓGICO JURÍDICAS QUE JUSTIFIQUEN TAL ACTUACIÓN, Y DICHAS CIRCUNSTANCIAS SEAN EXPRESADAS FUNDADAMENTE EN TAL DETERMINACIÓN</w:t>
      </w:r>
      <w:bookmarkEnd w:id="0"/>
      <w:r w:rsidR="005A6873" w:rsidRPr="00907C18">
        <w:rPr>
          <w:rFonts w:cs="Arial"/>
          <w:b/>
          <w:sz w:val="26"/>
          <w:szCs w:val="26"/>
        </w:rPr>
        <w:t>, AL TENOR DE LA SIGUIENTE:</w:t>
      </w:r>
    </w:p>
    <w:p w14:paraId="06644E1F" w14:textId="77777777" w:rsidR="00CB29BB" w:rsidRPr="00907C18" w:rsidRDefault="00CB29BB" w:rsidP="00407DA1">
      <w:pPr>
        <w:jc w:val="center"/>
        <w:rPr>
          <w:rFonts w:cs="Arial"/>
          <w:b/>
          <w:sz w:val="26"/>
          <w:szCs w:val="26"/>
        </w:rPr>
      </w:pPr>
    </w:p>
    <w:p w14:paraId="5115BA47" w14:textId="77777777" w:rsidR="00407DA1" w:rsidRPr="00907C18" w:rsidRDefault="00407DA1" w:rsidP="00407DA1">
      <w:pPr>
        <w:jc w:val="center"/>
        <w:rPr>
          <w:rFonts w:cs="Arial"/>
          <w:b/>
          <w:sz w:val="26"/>
          <w:szCs w:val="26"/>
        </w:rPr>
      </w:pPr>
      <w:r w:rsidRPr="00907C18">
        <w:rPr>
          <w:rFonts w:cs="Arial"/>
          <w:b/>
          <w:sz w:val="26"/>
          <w:szCs w:val="26"/>
        </w:rPr>
        <w:t>EXPOSICIÓN DE MOTIVOS</w:t>
      </w:r>
    </w:p>
    <w:p w14:paraId="4998066A" w14:textId="77777777" w:rsidR="00CB29BB" w:rsidRPr="00907C18" w:rsidRDefault="00CB29BB" w:rsidP="00407DA1">
      <w:pPr>
        <w:jc w:val="center"/>
        <w:rPr>
          <w:rFonts w:cs="Arial"/>
          <w:b/>
          <w:sz w:val="26"/>
          <w:szCs w:val="26"/>
        </w:rPr>
      </w:pPr>
    </w:p>
    <w:p w14:paraId="683AFB6E" w14:textId="77777777" w:rsidR="00407DA1" w:rsidRPr="00907C18" w:rsidRDefault="00407DA1" w:rsidP="00407DA1">
      <w:pPr>
        <w:jc w:val="center"/>
        <w:rPr>
          <w:rFonts w:cs="Arial"/>
          <w:b/>
          <w:sz w:val="26"/>
          <w:szCs w:val="26"/>
        </w:rPr>
      </w:pPr>
    </w:p>
    <w:p w14:paraId="39CC8C85" w14:textId="77777777" w:rsidR="00715458" w:rsidRPr="00907C18" w:rsidRDefault="00C86EC0" w:rsidP="008B2BF5">
      <w:pPr>
        <w:spacing w:line="360" w:lineRule="auto"/>
        <w:rPr>
          <w:rFonts w:cs="Arial"/>
          <w:sz w:val="26"/>
          <w:szCs w:val="26"/>
          <w:lang w:eastAsia="es-MX"/>
        </w:rPr>
      </w:pPr>
      <w:r w:rsidRPr="00907C18">
        <w:rPr>
          <w:rFonts w:cs="Arial"/>
          <w:sz w:val="26"/>
          <w:szCs w:val="26"/>
          <w:lang w:eastAsia="es-MX"/>
        </w:rPr>
        <w:t xml:space="preserve">La Ley de </w:t>
      </w:r>
      <w:r w:rsidR="00256D1E" w:rsidRPr="00907C18">
        <w:rPr>
          <w:rFonts w:cs="Arial"/>
          <w:sz w:val="26"/>
          <w:szCs w:val="26"/>
          <w:lang w:eastAsia="es-MX"/>
        </w:rPr>
        <w:t>Extinción</w:t>
      </w:r>
      <w:r w:rsidRPr="00907C18">
        <w:rPr>
          <w:rFonts w:cs="Arial"/>
          <w:sz w:val="26"/>
          <w:szCs w:val="26"/>
          <w:lang w:eastAsia="es-MX"/>
        </w:rPr>
        <w:t xml:space="preserve"> de Dominio, es el instrumento legal de orden </w:t>
      </w:r>
      <w:r w:rsidR="00256D1E" w:rsidRPr="00907C18">
        <w:rPr>
          <w:rFonts w:cs="Arial"/>
          <w:sz w:val="26"/>
          <w:szCs w:val="26"/>
          <w:lang w:eastAsia="es-MX"/>
        </w:rPr>
        <w:t>público</w:t>
      </w:r>
      <w:r w:rsidRPr="00907C18">
        <w:rPr>
          <w:rFonts w:cs="Arial"/>
          <w:sz w:val="26"/>
          <w:szCs w:val="26"/>
          <w:lang w:eastAsia="es-MX"/>
        </w:rPr>
        <w:t xml:space="preserve"> y de interés social que tiene por objeto regular la </w:t>
      </w:r>
      <w:r w:rsidR="00256D1E" w:rsidRPr="00907C18">
        <w:rPr>
          <w:rFonts w:cs="Arial"/>
          <w:sz w:val="26"/>
          <w:szCs w:val="26"/>
          <w:lang w:eastAsia="es-MX"/>
        </w:rPr>
        <w:t>extinción</w:t>
      </w:r>
      <w:r w:rsidRPr="00907C18">
        <w:rPr>
          <w:rFonts w:cs="Arial"/>
          <w:sz w:val="26"/>
          <w:szCs w:val="26"/>
          <w:lang w:eastAsia="es-MX"/>
        </w:rPr>
        <w:t xml:space="preserve"> de la propiedad de los bienes </w:t>
      </w:r>
      <w:r w:rsidR="00FF6C3A" w:rsidRPr="00907C18">
        <w:rPr>
          <w:rFonts w:cs="Arial"/>
          <w:sz w:val="26"/>
          <w:szCs w:val="26"/>
          <w:lang w:eastAsia="es-MX"/>
        </w:rPr>
        <w:lastRenderedPageBreak/>
        <w:t xml:space="preserve">en favor del </w:t>
      </w:r>
      <w:r w:rsidR="00256D1E" w:rsidRPr="00907C18">
        <w:rPr>
          <w:rFonts w:cs="Arial"/>
          <w:sz w:val="26"/>
          <w:szCs w:val="26"/>
          <w:lang w:eastAsia="es-MX"/>
        </w:rPr>
        <w:t>E</w:t>
      </w:r>
      <w:r w:rsidR="00FF6C3A" w:rsidRPr="00907C18">
        <w:rPr>
          <w:rFonts w:cs="Arial"/>
          <w:sz w:val="26"/>
          <w:szCs w:val="26"/>
          <w:lang w:eastAsia="es-MX"/>
        </w:rPr>
        <w:t xml:space="preserve">stado, mediante </w:t>
      </w:r>
      <w:r w:rsidR="00256D1E" w:rsidRPr="00907C18">
        <w:rPr>
          <w:rFonts w:cs="Arial"/>
          <w:sz w:val="26"/>
          <w:szCs w:val="26"/>
          <w:lang w:eastAsia="es-MX"/>
        </w:rPr>
        <w:t xml:space="preserve">una </w:t>
      </w:r>
      <w:r w:rsidR="00FF6C3A" w:rsidRPr="00907C18">
        <w:rPr>
          <w:rFonts w:cs="Arial"/>
          <w:sz w:val="26"/>
          <w:szCs w:val="26"/>
          <w:lang w:eastAsia="es-MX"/>
        </w:rPr>
        <w:t xml:space="preserve">resolución judicial, </w:t>
      </w:r>
      <w:r w:rsidR="00256D1E" w:rsidRPr="00907C18">
        <w:rPr>
          <w:rFonts w:cs="Arial"/>
          <w:sz w:val="26"/>
          <w:szCs w:val="26"/>
          <w:lang w:eastAsia="es-MX"/>
        </w:rPr>
        <w:t xml:space="preserve">lo cual </w:t>
      </w:r>
      <w:r w:rsidR="00FF6C3A" w:rsidRPr="00907C18">
        <w:rPr>
          <w:rFonts w:cs="Arial"/>
          <w:sz w:val="26"/>
          <w:szCs w:val="26"/>
          <w:lang w:eastAsia="es-MX"/>
        </w:rPr>
        <w:t>conlleva a la</w:t>
      </w:r>
      <w:r w:rsidR="00256D1E" w:rsidRPr="00907C18">
        <w:rPr>
          <w:rFonts w:cs="Arial"/>
          <w:sz w:val="26"/>
          <w:szCs w:val="26"/>
          <w:lang w:eastAsia="es-MX"/>
        </w:rPr>
        <w:t xml:space="preserve"> </w:t>
      </w:r>
      <w:r w:rsidR="00FF6C3A" w:rsidRPr="00907C18">
        <w:rPr>
          <w:rFonts w:cs="Arial"/>
          <w:sz w:val="26"/>
          <w:szCs w:val="26"/>
          <w:lang w:eastAsia="es-MX"/>
        </w:rPr>
        <w:t>perdida de tales derechos</w:t>
      </w:r>
      <w:r w:rsidR="00256D1E" w:rsidRPr="00907C18">
        <w:rPr>
          <w:rFonts w:cs="Arial"/>
          <w:sz w:val="26"/>
          <w:szCs w:val="26"/>
          <w:lang w:eastAsia="es-MX"/>
        </w:rPr>
        <w:t>,</w:t>
      </w:r>
      <w:r w:rsidR="00FF6C3A" w:rsidRPr="00907C18">
        <w:rPr>
          <w:rFonts w:cs="Arial"/>
          <w:sz w:val="26"/>
          <w:szCs w:val="26"/>
          <w:lang w:eastAsia="es-MX"/>
        </w:rPr>
        <w:t xml:space="preserve"> </w:t>
      </w:r>
      <w:r w:rsidR="00AC234D" w:rsidRPr="00907C18">
        <w:rPr>
          <w:rFonts w:cs="Arial"/>
          <w:sz w:val="26"/>
          <w:szCs w:val="26"/>
          <w:lang w:eastAsia="es-MX"/>
        </w:rPr>
        <w:t xml:space="preserve">sin contraprestación ni </w:t>
      </w:r>
      <w:r w:rsidR="00256D1E" w:rsidRPr="00907C18">
        <w:rPr>
          <w:rFonts w:cs="Arial"/>
          <w:sz w:val="26"/>
          <w:szCs w:val="26"/>
          <w:lang w:eastAsia="es-MX"/>
        </w:rPr>
        <w:t>compensación</w:t>
      </w:r>
      <w:r w:rsidR="00AC234D" w:rsidRPr="00907C18">
        <w:rPr>
          <w:rFonts w:cs="Arial"/>
          <w:sz w:val="26"/>
          <w:szCs w:val="26"/>
          <w:lang w:eastAsia="es-MX"/>
        </w:rPr>
        <w:t xml:space="preserve"> alguna para su dueño, ni para quien se ostente o comporte como tal</w:t>
      </w:r>
      <w:r w:rsidR="00715458" w:rsidRPr="00907C18">
        <w:rPr>
          <w:rFonts w:cs="Arial"/>
          <w:sz w:val="26"/>
          <w:szCs w:val="26"/>
          <w:lang w:eastAsia="es-MX"/>
        </w:rPr>
        <w:t>.</w:t>
      </w:r>
    </w:p>
    <w:p w14:paraId="773790D2" w14:textId="77777777" w:rsidR="00715458" w:rsidRPr="00907C18" w:rsidRDefault="00715458" w:rsidP="008B2BF5">
      <w:pPr>
        <w:spacing w:line="360" w:lineRule="auto"/>
        <w:rPr>
          <w:rFonts w:cs="Arial"/>
          <w:sz w:val="26"/>
          <w:szCs w:val="26"/>
          <w:lang w:eastAsia="es-MX"/>
        </w:rPr>
      </w:pPr>
    </w:p>
    <w:p w14:paraId="29BBC592" w14:textId="77777777" w:rsidR="00B8047C" w:rsidRPr="00907C18" w:rsidRDefault="00715458" w:rsidP="008B2BF5">
      <w:pPr>
        <w:spacing w:line="360" w:lineRule="auto"/>
        <w:rPr>
          <w:rFonts w:cs="Arial"/>
          <w:sz w:val="26"/>
          <w:szCs w:val="26"/>
          <w:lang w:eastAsia="es-MX"/>
        </w:rPr>
      </w:pPr>
      <w:r w:rsidRPr="00907C18">
        <w:rPr>
          <w:rFonts w:cs="Arial"/>
          <w:sz w:val="26"/>
          <w:szCs w:val="26"/>
          <w:lang w:eastAsia="es-MX"/>
        </w:rPr>
        <w:t>M</w:t>
      </w:r>
      <w:r w:rsidR="002670B8" w:rsidRPr="00907C18">
        <w:rPr>
          <w:rFonts w:cs="Arial"/>
          <w:sz w:val="26"/>
          <w:szCs w:val="26"/>
          <w:lang w:eastAsia="es-MX"/>
        </w:rPr>
        <w:t xml:space="preserve">ediante la </w:t>
      </w:r>
      <w:r w:rsidRPr="00907C18">
        <w:rPr>
          <w:rFonts w:cs="Arial"/>
          <w:sz w:val="26"/>
          <w:szCs w:val="26"/>
          <w:lang w:eastAsia="es-MX"/>
        </w:rPr>
        <w:t>Acción</w:t>
      </w:r>
      <w:r w:rsidR="002670B8" w:rsidRPr="00907C18">
        <w:rPr>
          <w:rFonts w:cs="Arial"/>
          <w:sz w:val="26"/>
          <w:szCs w:val="26"/>
          <w:lang w:eastAsia="es-MX"/>
        </w:rPr>
        <w:t xml:space="preserve"> de </w:t>
      </w:r>
      <w:r w:rsidRPr="00907C18">
        <w:rPr>
          <w:rFonts w:cs="Arial"/>
          <w:sz w:val="26"/>
          <w:szCs w:val="26"/>
          <w:lang w:eastAsia="es-MX"/>
        </w:rPr>
        <w:t>Extinción</w:t>
      </w:r>
      <w:r w:rsidR="002670B8" w:rsidRPr="00907C18">
        <w:rPr>
          <w:rFonts w:cs="Arial"/>
          <w:sz w:val="26"/>
          <w:szCs w:val="26"/>
          <w:lang w:eastAsia="es-MX"/>
        </w:rPr>
        <w:t xml:space="preserve"> de </w:t>
      </w:r>
      <w:r w:rsidRPr="00907C18">
        <w:rPr>
          <w:rFonts w:cs="Arial"/>
          <w:sz w:val="26"/>
          <w:szCs w:val="26"/>
          <w:lang w:eastAsia="es-MX"/>
        </w:rPr>
        <w:t>D</w:t>
      </w:r>
      <w:r w:rsidR="002670B8" w:rsidRPr="00907C18">
        <w:rPr>
          <w:rFonts w:cs="Arial"/>
          <w:sz w:val="26"/>
          <w:szCs w:val="26"/>
          <w:lang w:eastAsia="es-MX"/>
        </w:rPr>
        <w:t xml:space="preserve">ominio </w:t>
      </w:r>
      <w:r w:rsidRPr="00907C18">
        <w:rPr>
          <w:rFonts w:cs="Arial"/>
          <w:sz w:val="26"/>
          <w:szCs w:val="26"/>
          <w:lang w:eastAsia="es-MX"/>
        </w:rPr>
        <w:t>procederá</w:t>
      </w:r>
      <w:r w:rsidR="002670B8" w:rsidRPr="00907C18">
        <w:rPr>
          <w:rFonts w:cs="Arial"/>
          <w:sz w:val="26"/>
          <w:szCs w:val="26"/>
          <w:lang w:eastAsia="es-MX"/>
        </w:rPr>
        <w:t xml:space="preserve"> </w:t>
      </w:r>
      <w:r w:rsidR="00E35224" w:rsidRPr="00907C18">
        <w:rPr>
          <w:rFonts w:cs="Arial"/>
          <w:sz w:val="26"/>
          <w:szCs w:val="26"/>
          <w:lang w:eastAsia="es-MX"/>
        </w:rPr>
        <w:t xml:space="preserve">su aplicación a favor del Estado, </w:t>
      </w:r>
      <w:r w:rsidR="002670B8" w:rsidRPr="00907C18">
        <w:rPr>
          <w:rFonts w:cs="Arial"/>
          <w:sz w:val="26"/>
          <w:szCs w:val="26"/>
          <w:lang w:eastAsia="es-MX"/>
        </w:rPr>
        <w:t>en relación con cualquier bien sobre el que se ejerza un derecho real</w:t>
      </w:r>
      <w:r w:rsidR="005240E6" w:rsidRPr="00907C18">
        <w:rPr>
          <w:rFonts w:cs="Arial"/>
          <w:sz w:val="26"/>
          <w:szCs w:val="26"/>
          <w:lang w:eastAsia="es-MX"/>
        </w:rPr>
        <w:t>,</w:t>
      </w:r>
      <w:r w:rsidR="002670B8" w:rsidRPr="00907C18">
        <w:rPr>
          <w:rFonts w:cs="Arial"/>
          <w:sz w:val="26"/>
          <w:szCs w:val="26"/>
          <w:lang w:eastAsia="es-MX"/>
        </w:rPr>
        <w:t xml:space="preserve"> principal o accesorio, independientemente de quien lo tenga en su poder, o lo haya adquirido, sin perjuicio de los </w:t>
      </w:r>
      <w:r w:rsidR="005240E6" w:rsidRPr="00907C18">
        <w:rPr>
          <w:rFonts w:cs="Arial"/>
          <w:sz w:val="26"/>
          <w:szCs w:val="26"/>
          <w:lang w:eastAsia="es-MX"/>
        </w:rPr>
        <w:t>recursos</w:t>
      </w:r>
      <w:r w:rsidR="002670B8" w:rsidRPr="00907C18">
        <w:rPr>
          <w:rFonts w:cs="Arial"/>
          <w:sz w:val="26"/>
          <w:szCs w:val="26"/>
          <w:lang w:eastAsia="es-MX"/>
        </w:rPr>
        <w:t xml:space="preserve"> legales que </w:t>
      </w:r>
      <w:r w:rsidR="00E35224" w:rsidRPr="00907C18">
        <w:rPr>
          <w:rFonts w:cs="Arial"/>
          <w:sz w:val="26"/>
          <w:szCs w:val="26"/>
          <w:lang w:eastAsia="es-MX"/>
        </w:rPr>
        <w:t>el</w:t>
      </w:r>
      <w:r w:rsidR="002670B8" w:rsidRPr="00907C18">
        <w:rPr>
          <w:rFonts w:cs="Arial"/>
          <w:sz w:val="26"/>
          <w:szCs w:val="26"/>
          <w:lang w:eastAsia="es-MX"/>
        </w:rPr>
        <w:t xml:space="preserve"> ciudadano </w:t>
      </w:r>
      <w:r w:rsidR="00B8047C" w:rsidRPr="00907C18">
        <w:rPr>
          <w:rFonts w:cs="Arial"/>
          <w:sz w:val="26"/>
          <w:szCs w:val="26"/>
          <w:lang w:eastAsia="es-MX"/>
        </w:rPr>
        <w:t xml:space="preserve">que se considere afectado pueda interponer para demostrar </w:t>
      </w:r>
      <w:r w:rsidR="005240E6" w:rsidRPr="00907C18">
        <w:rPr>
          <w:rFonts w:cs="Arial"/>
          <w:sz w:val="26"/>
          <w:szCs w:val="26"/>
          <w:lang w:eastAsia="es-MX"/>
        </w:rPr>
        <w:t>legalmente</w:t>
      </w:r>
      <w:r w:rsidR="00B8047C" w:rsidRPr="00907C18">
        <w:rPr>
          <w:rFonts w:cs="Arial"/>
          <w:sz w:val="26"/>
          <w:szCs w:val="26"/>
          <w:lang w:eastAsia="es-MX"/>
        </w:rPr>
        <w:t xml:space="preserve"> la procedencia licita de tales bienes</w:t>
      </w:r>
      <w:r w:rsidR="005240E6" w:rsidRPr="00907C18">
        <w:rPr>
          <w:rFonts w:cs="Arial"/>
          <w:sz w:val="26"/>
          <w:szCs w:val="26"/>
          <w:lang w:eastAsia="es-MX"/>
        </w:rPr>
        <w:t>,</w:t>
      </w:r>
      <w:r w:rsidR="00B8047C" w:rsidRPr="00907C18">
        <w:rPr>
          <w:rFonts w:cs="Arial"/>
          <w:sz w:val="26"/>
          <w:szCs w:val="26"/>
          <w:lang w:eastAsia="es-MX"/>
        </w:rPr>
        <w:t xml:space="preserve"> y su </w:t>
      </w:r>
      <w:r w:rsidR="005240E6" w:rsidRPr="00907C18">
        <w:rPr>
          <w:rFonts w:cs="Arial"/>
          <w:sz w:val="26"/>
          <w:szCs w:val="26"/>
          <w:lang w:eastAsia="es-MX"/>
        </w:rPr>
        <w:t>actuación</w:t>
      </w:r>
      <w:r w:rsidR="00B8047C" w:rsidRPr="00907C18">
        <w:rPr>
          <w:rFonts w:cs="Arial"/>
          <w:sz w:val="26"/>
          <w:szCs w:val="26"/>
          <w:lang w:eastAsia="es-MX"/>
        </w:rPr>
        <w:t xml:space="preserve"> de buena fe, o que estaba </w:t>
      </w:r>
      <w:r w:rsidR="005240E6" w:rsidRPr="00907C18">
        <w:rPr>
          <w:rFonts w:cs="Arial"/>
          <w:sz w:val="26"/>
          <w:szCs w:val="26"/>
          <w:lang w:eastAsia="es-MX"/>
        </w:rPr>
        <w:t>impedido</w:t>
      </w:r>
      <w:r w:rsidR="00B8047C" w:rsidRPr="00907C18">
        <w:rPr>
          <w:rFonts w:cs="Arial"/>
          <w:sz w:val="26"/>
          <w:szCs w:val="26"/>
          <w:lang w:eastAsia="es-MX"/>
        </w:rPr>
        <w:t xml:space="preserve"> para conocer la utilización ilícita de los mismos.</w:t>
      </w:r>
    </w:p>
    <w:p w14:paraId="2397407E" w14:textId="77777777" w:rsidR="006A2E63" w:rsidRPr="00907C18" w:rsidRDefault="006A2E63" w:rsidP="008B2BF5">
      <w:pPr>
        <w:spacing w:line="360" w:lineRule="auto"/>
        <w:rPr>
          <w:rFonts w:cs="Arial"/>
          <w:sz w:val="26"/>
          <w:szCs w:val="26"/>
          <w:lang w:eastAsia="es-MX"/>
        </w:rPr>
      </w:pPr>
    </w:p>
    <w:p w14:paraId="7C91DC10" w14:textId="77777777" w:rsidR="00F727AC" w:rsidRPr="00907C18" w:rsidRDefault="005240E6" w:rsidP="008B2BF5">
      <w:pPr>
        <w:spacing w:line="360" w:lineRule="auto"/>
        <w:rPr>
          <w:rFonts w:cs="Arial"/>
          <w:sz w:val="26"/>
          <w:szCs w:val="26"/>
          <w:lang w:eastAsia="es-MX"/>
        </w:rPr>
      </w:pPr>
      <w:r w:rsidRPr="00907C18">
        <w:rPr>
          <w:rFonts w:cs="Arial"/>
          <w:sz w:val="26"/>
          <w:szCs w:val="26"/>
          <w:lang w:eastAsia="es-MX"/>
        </w:rPr>
        <w:t>Tal</w:t>
      </w:r>
      <w:r w:rsidR="006A2E63" w:rsidRPr="00907C18">
        <w:rPr>
          <w:rFonts w:cs="Arial"/>
          <w:sz w:val="26"/>
          <w:szCs w:val="26"/>
          <w:lang w:eastAsia="es-MX"/>
        </w:rPr>
        <w:t xml:space="preserve"> </w:t>
      </w:r>
      <w:r w:rsidR="005D6900" w:rsidRPr="00907C18">
        <w:rPr>
          <w:rFonts w:cs="Arial"/>
          <w:sz w:val="26"/>
          <w:szCs w:val="26"/>
          <w:lang w:eastAsia="es-MX"/>
        </w:rPr>
        <w:t>Acción</w:t>
      </w:r>
      <w:r w:rsidR="006A2E63" w:rsidRPr="00907C18">
        <w:rPr>
          <w:rFonts w:cs="Arial"/>
          <w:sz w:val="26"/>
          <w:szCs w:val="26"/>
          <w:lang w:eastAsia="es-MX"/>
        </w:rPr>
        <w:t xml:space="preserve"> de </w:t>
      </w:r>
      <w:r w:rsidR="005D6900" w:rsidRPr="00907C18">
        <w:rPr>
          <w:rFonts w:cs="Arial"/>
          <w:sz w:val="26"/>
          <w:szCs w:val="26"/>
          <w:lang w:eastAsia="es-MX"/>
        </w:rPr>
        <w:t>Extinción</w:t>
      </w:r>
      <w:r w:rsidR="00472338" w:rsidRPr="00907C18">
        <w:rPr>
          <w:rFonts w:cs="Arial"/>
          <w:sz w:val="26"/>
          <w:szCs w:val="26"/>
          <w:lang w:eastAsia="es-MX"/>
        </w:rPr>
        <w:t xml:space="preserve"> conforme al texto de la ley,</w:t>
      </w:r>
      <w:r w:rsidR="006A2E63" w:rsidRPr="00907C18">
        <w:rPr>
          <w:rFonts w:cs="Arial"/>
          <w:sz w:val="26"/>
          <w:szCs w:val="26"/>
          <w:lang w:eastAsia="es-MX"/>
        </w:rPr>
        <w:t xml:space="preserve"> le compete exclusivamente </w:t>
      </w:r>
      <w:r w:rsidR="003A082C" w:rsidRPr="00907C18">
        <w:rPr>
          <w:rFonts w:cs="Arial"/>
          <w:sz w:val="26"/>
          <w:szCs w:val="26"/>
          <w:lang w:eastAsia="es-MX"/>
        </w:rPr>
        <w:t>al Ministerio Publico</w:t>
      </w:r>
      <w:r w:rsidR="005B57D3" w:rsidRPr="00907C18">
        <w:rPr>
          <w:rFonts w:cs="Arial"/>
          <w:sz w:val="26"/>
          <w:szCs w:val="26"/>
          <w:lang w:eastAsia="es-MX"/>
        </w:rPr>
        <w:t>,</w:t>
      </w:r>
      <w:r w:rsidR="005D6900" w:rsidRPr="00907C18">
        <w:rPr>
          <w:rFonts w:cs="Arial"/>
          <w:sz w:val="26"/>
          <w:szCs w:val="26"/>
          <w:lang w:eastAsia="es-MX"/>
        </w:rPr>
        <w:t xml:space="preserve"> </w:t>
      </w:r>
      <w:r w:rsidR="006A5F72" w:rsidRPr="00907C18">
        <w:rPr>
          <w:rFonts w:cs="Arial"/>
          <w:sz w:val="26"/>
          <w:szCs w:val="26"/>
          <w:lang w:eastAsia="es-MX"/>
        </w:rPr>
        <w:t xml:space="preserve">quien en preparación de </w:t>
      </w:r>
      <w:r w:rsidR="005D6900" w:rsidRPr="00907C18">
        <w:rPr>
          <w:rFonts w:cs="Arial"/>
          <w:sz w:val="26"/>
          <w:szCs w:val="26"/>
          <w:lang w:eastAsia="es-MX"/>
        </w:rPr>
        <w:t>la misma</w:t>
      </w:r>
      <w:r w:rsidR="006A5F72" w:rsidRPr="00907C18">
        <w:rPr>
          <w:rFonts w:cs="Arial"/>
          <w:sz w:val="26"/>
          <w:szCs w:val="26"/>
          <w:lang w:eastAsia="es-MX"/>
        </w:rPr>
        <w:t xml:space="preserve"> puede emplear la información que se genere en las averiguaciones previas o carpetas de investigación que se integren </w:t>
      </w:r>
      <w:r w:rsidR="0085767F" w:rsidRPr="00907C18">
        <w:rPr>
          <w:rFonts w:cs="Arial"/>
          <w:sz w:val="26"/>
          <w:szCs w:val="26"/>
          <w:lang w:eastAsia="es-MX"/>
        </w:rPr>
        <w:t>conforme a los delitos que están persiguiendo, compareciendo a</w:t>
      </w:r>
      <w:r w:rsidR="005B57D3" w:rsidRPr="00907C18">
        <w:rPr>
          <w:rFonts w:cs="Arial"/>
          <w:sz w:val="26"/>
          <w:szCs w:val="26"/>
          <w:lang w:eastAsia="es-MX"/>
        </w:rPr>
        <w:t>nt</w:t>
      </w:r>
      <w:r w:rsidR="0085767F" w:rsidRPr="00907C18">
        <w:rPr>
          <w:rFonts w:cs="Arial"/>
          <w:sz w:val="26"/>
          <w:szCs w:val="26"/>
          <w:lang w:eastAsia="es-MX"/>
        </w:rPr>
        <w:t xml:space="preserve">e un </w:t>
      </w:r>
      <w:r w:rsidR="005B57D3" w:rsidRPr="00907C18">
        <w:rPr>
          <w:rFonts w:cs="Arial"/>
          <w:sz w:val="26"/>
          <w:szCs w:val="26"/>
          <w:lang w:eastAsia="es-MX"/>
        </w:rPr>
        <w:t>J</w:t>
      </w:r>
      <w:r w:rsidR="0085767F" w:rsidRPr="00907C18">
        <w:rPr>
          <w:rFonts w:cs="Arial"/>
          <w:sz w:val="26"/>
          <w:szCs w:val="26"/>
          <w:lang w:eastAsia="es-MX"/>
        </w:rPr>
        <w:t xml:space="preserve">uez </w:t>
      </w:r>
      <w:r w:rsidR="005B57D3" w:rsidRPr="00907C18">
        <w:rPr>
          <w:rFonts w:cs="Arial"/>
          <w:sz w:val="26"/>
          <w:szCs w:val="26"/>
          <w:lang w:eastAsia="es-MX"/>
        </w:rPr>
        <w:t>C</w:t>
      </w:r>
      <w:r w:rsidR="0085767F" w:rsidRPr="00907C18">
        <w:rPr>
          <w:rFonts w:cs="Arial"/>
          <w:sz w:val="26"/>
          <w:szCs w:val="26"/>
          <w:lang w:eastAsia="es-MX"/>
        </w:rPr>
        <w:t xml:space="preserve">ivil, para formular la petición </w:t>
      </w:r>
      <w:r w:rsidR="005B57D3" w:rsidRPr="00907C18">
        <w:rPr>
          <w:rFonts w:cs="Arial"/>
          <w:sz w:val="26"/>
          <w:szCs w:val="26"/>
          <w:lang w:eastAsia="es-MX"/>
        </w:rPr>
        <w:t>correspondiente en</w:t>
      </w:r>
      <w:r w:rsidR="0085767F" w:rsidRPr="00907C18">
        <w:rPr>
          <w:rFonts w:cs="Arial"/>
          <w:sz w:val="26"/>
          <w:szCs w:val="26"/>
          <w:lang w:eastAsia="es-MX"/>
        </w:rPr>
        <w:t xml:space="preserve"> el cual deberá de justificar </w:t>
      </w:r>
      <w:r w:rsidR="005B57D3" w:rsidRPr="00907C18">
        <w:rPr>
          <w:rFonts w:cs="Arial"/>
          <w:sz w:val="26"/>
          <w:szCs w:val="26"/>
          <w:lang w:eastAsia="es-MX"/>
        </w:rPr>
        <w:t>legalmente</w:t>
      </w:r>
      <w:r w:rsidR="005646DA" w:rsidRPr="00907C18">
        <w:rPr>
          <w:rFonts w:cs="Arial"/>
          <w:sz w:val="26"/>
          <w:szCs w:val="26"/>
          <w:lang w:eastAsia="es-MX"/>
        </w:rPr>
        <w:t xml:space="preserve"> su planteamiento, exponiendo las razones y do</w:t>
      </w:r>
      <w:r w:rsidR="00BB3E37" w:rsidRPr="00907C18">
        <w:rPr>
          <w:rFonts w:cs="Arial"/>
          <w:sz w:val="26"/>
          <w:szCs w:val="26"/>
          <w:lang w:eastAsia="es-MX"/>
        </w:rPr>
        <w:t>cumentos idóneos</w:t>
      </w:r>
      <w:r w:rsidR="005646DA" w:rsidRPr="00907C18">
        <w:rPr>
          <w:rFonts w:cs="Arial"/>
          <w:sz w:val="26"/>
          <w:szCs w:val="26"/>
          <w:lang w:eastAsia="es-MX"/>
        </w:rPr>
        <w:t xml:space="preserve"> que legitimen la </w:t>
      </w:r>
      <w:r w:rsidR="00BB3E37" w:rsidRPr="00907C18">
        <w:rPr>
          <w:rFonts w:cs="Arial"/>
          <w:sz w:val="26"/>
          <w:szCs w:val="26"/>
          <w:lang w:eastAsia="es-MX"/>
        </w:rPr>
        <w:t>acción</w:t>
      </w:r>
      <w:r w:rsidR="005646DA" w:rsidRPr="00907C18">
        <w:rPr>
          <w:rFonts w:cs="Arial"/>
          <w:sz w:val="26"/>
          <w:szCs w:val="26"/>
          <w:lang w:eastAsia="es-MX"/>
        </w:rPr>
        <w:t xml:space="preserve"> de </w:t>
      </w:r>
      <w:r w:rsidR="00BB3E37" w:rsidRPr="00907C18">
        <w:rPr>
          <w:rFonts w:cs="Arial"/>
          <w:sz w:val="26"/>
          <w:szCs w:val="26"/>
          <w:lang w:eastAsia="es-MX"/>
        </w:rPr>
        <w:t>extinción</w:t>
      </w:r>
      <w:r w:rsidR="005646DA" w:rsidRPr="00907C18">
        <w:rPr>
          <w:rFonts w:cs="Arial"/>
          <w:sz w:val="26"/>
          <w:szCs w:val="26"/>
          <w:lang w:eastAsia="es-MX"/>
        </w:rPr>
        <w:t xml:space="preserve"> de dominio de la que se trata, </w:t>
      </w:r>
      <w:r w:rsidR="00C9554E" w:rsidRPr="00907C18">
        <w:rPr>
          <w:rFonts w:cs="Arial"/>
          <w:sz w:val="26"/>
          <w:szCs w:val="26"/>
          <w:lang w:eastAsia="es-MX"/>
        </w:rPr>
        <w:t xml:space="preserve">siempre y cuando existan elementos suficientes para determinar que los bienes de los que se pide su </w:t>
      </w:r>
      <w:r w:rsidR="00BB3E37" w:rsidRPr="00907C18">
        <w:rPr>
          <w:rFonts w:cs="Arial"/>
          <w:sz w:val="26"/>
          <w:szCs w:val="26"/>
          <w:lang w:eastAsia="es-MX"/>
        </w:rPr>
        <w:t>extinción</w:t>
      </w:r>
      <w:r w:rsidR="00C9554E" w:rsidRPr="00907C18">
        <w:rPr>
          <w:rFonts w:cs="Arial"/>
          <w:sz w:val="26"/>
          <w:szCs w:val="26"/>
          <w:lang w:eastAsia="es-MX"/>
        </w:rPr>
        <w:t xml:space="preserve"> a favor del </w:t>
      </w:r>
      <w:r w:rsidR="00BB3E37" w:rsidRPr="00907C18">
        <w:rPr>
          <w:rFonts w:cs="Arial"/>
          <w:sz w:val="26"/>
          <w:szCs w:val="26"/>
          <w:lang w:eastAsia="es-MX"/>
        </w:rPr>
        <w:t>E</w:t>
      </w:r>
      <w:r w:rsidR="00C9554E" w:rsidRPr="00907C18">
        <w:rPr>
          <w:rFonts w:cs="Arial"/>
          <w:sz w:val="26"/>
          <w:szCs w:val="26"/>
          <w:lang w:eastAsia="es-MX"/>
        </w:rPr>
        <w:t xml:space="preserve">stado, </w:t>
      </w:r>
      <w:r w:rsidR="00BB3E37" w:rsidRPr="00907C18">
        <w:rPr>
          <w:rFonts w:cs="Arial"/>
          <w:sz w:val="26"/>
          <w:szCs w:val="26"/>
          <w:lang w:eastAsia="es-MX"/>
        </w:rPr>
        <w:t xml:space="preserve">se compruebe que </w:t>
      </w:r>
      <w:r w:rsidR="00C9554E" w:rsidRPr="00907C18">
        <w:rPr>
          <w:rFonts w:cs="Arial"/>
          <w:sz w:val="26"/>
          <w:szCs w:val="26"/>
          <w:lang w:eastAsia="es-MX"/>
        </w:rPr>
        <w:t xml:space="preserve">son producto de </w:t>
      </w:r>
      <w:r w:rsidR="00416988" w:rsidRPr="00907C18">
        <w:rPr>
          <w:rFonts w:cs="Arial"/>
          <w:sz w:val="26"/>
          <w:szCs w:val="26"/>
          <w:lang w:eastAsia="es-MX"/>
        </w:rPr>
        <w:t xml:space="preserve">hechos ilícitos derivados de los delitos de secuestro, narcomenudeo, robo de </w:t>
      </w:r>
      <w:r w:rsidR="00BB3E37" w:rsidRPr="00907C18">
        <w:rPr>
          <w:rFonts w:cs="Arial"/>
          <w:sz w:val="26"/>
          <w:szCs w:val="26"/>
          <w:lang w:eastAsia="es-MX"/>
        </w:rPr>
        <w:t>vehículos</w:t>
      </w:r>
      <w:r w:rsidR="00416988" w:rsidRPr="00907C18">
        <w:rPr>
          <w:rFonts w:cs="Arial"/>
          <w:sz w:val="26"/>
          <w:szCs w:val="26"/>
          <w:lang w:eastAsia="es-MX"/>
        </w:rPr>
        <w:t xml:space="preserve">, trata de personas, y enriquecimiento ilícito, </w:t>
      </w:r>
      <w:r w:rsidR="00252715" w:rsidRPr="00907C18">
        <w:rPr>
          <w:rFonts w:cs="Arial"/>
          <w:sz w:val="26"/>
          <w:szCs w:val="26"/>
          <w:lang w:eastAsia="es-MX"/>
        </w:rPr>
        <w:t>en donde en</w:t>
      </w:r>
      <w:r w:rsidR="00471740" w:rsidRPr="00907C18">
        <w:rPr>
          <w:rFonts w:cs="Arial"/>
          <w:sz w:val="26"/>
          <w:szCs w:val="26"/>
          <w:lang w:eastAsia="es-MX"/>
        </w:rPr>
        <w:t xml:space="preserve"> tal litigio jurídico, </w:t>
      </w:r>
      <w:r w:rsidR="00252715" w:rsidRPr="00907C18">
        <w:rPr>
          <w:rFonts w:cs="Arial"/>
          <w:sz w:val="26"/>
          <w:szCs w:val="26"/>
          <w:lang w:eastAsia="es-MX"/>
        </w:rPr>
        <w:t xml:space="preserve">solo </w:t>
      </w:r>
      <w:r w:rsidR="00471740" w:rsidRPr="00907C18">
        <w:rPr>
          <w:rFonts w:cs="Arial"/>
          <w:sz w:val="26"/>
          <w:szCs w:val="26"/>
          <w:lang w:eastAsia="es-MX"/>
        </w:rPr>
        <w:t xml:space="preserve">versara </w:t>
      </w:r>
      <w:r w:rsidR="00252715" w:rsidRPr="00907C18">
        <w:rPr>
          <w:rFonts w:cs="Arial"/>
          <w:sz w:val="26"/>
          <w:szCs w:val="26"/>
          <w:lang w:eastAsia="es-MX"/>
        </w:rPr>
        <w:t>sobre</w:t>
      </w:r>
      <w:r w:rsidR="00471740" w:rsidRPr="00907C18">
        <w:rPr>
          <w:rFonts w:cs="Arial"/>
          <w:sz w:val="26"/>
          <w:szCs w:val="26"/>
          <w:lang w:eastAsia="es-MX"/>
        </w:rPr>
        <w:t xml:space="preserve"> los bienes que estén relacionados  o </w:t>
      </w:r>
      <w:r w:rsidR="00252715" w:rsidRPr="00907C18">
        <w:rPr>
          <w:rFonts w:cs="Arial"/>
          <w:sz w:val="26"/>
          <w:szCs w:val="26"/>
          <w:lang w:eastAsia="es-MX"/>
        </w:rPr>
        <w:t>vinculados</w:t>
      </w:r>
      <w:r w:rsidR="00471740" w:rsidRPr="00907C18">
        <w:rPr>
          <w:rFonts w:cs="Arial"/>
          <w:sz w:val="26"/>
          <w:szCs w:val="26"/>
          <w:lang w:eastAsia="es-MX"/>
        </w:rPr>
        <w:t xml:space="preserve"> a tales actos delictivos, </w:t>
      </w:r>
      <w:r w:rsidR="00DB7065" w:rsidRPr="00907C18">
        <w:rPr>
          <w:rFonts w:cs="Arial"/>
          <w:sz w:val="26"/>
          <w:szCs w:val="26"/>
          <w:lang w:eastAsia="es-MX"/>
        </w:rPr>
        <w:t>y bajo</w:t>
      </w:r>
      <w:r w:rsidR="00471740" w:rsidRPr="00907C18">
        <w:rPr>
          <w:rFonts w:cs="Arial"/>
          <w:sz w:val="26"/>
          <w:szCs w:val="26"/>
          <w:lang w:eastAsia="es-MX"/>
        </w:rPr>
        <w:t xml:space="preserve"> los siguientes supuestos</w:t>
      </w:r>
      <w:r w:rsidR="00252715" w:rsidRPr="00907C18">
        <w:rPr>
          <w:rFonts w:cs="Arial"/>
          <w:sz w:val="26"/>
          <w:szCs w:val="26"/>
          <w:lang w:eastAsia="es-MX"/>
        </w:rPr>
        <w:t>, qu</w:t>
      </w:r>
      <w:r w:rsidR="00346069" w:rsidRPr="00907C18">
        <w:rPr>
          <w:rFonts w:cs="Arial"/>
          <w:sz w:val="26"/>
          <w:szCs w:val="26"/>
          <w:lang w:eastAsia="es-MX"/>
        </w:rPr>
        <w:t xml:space="preserve">e </w:t>
      </w:r>
      <w:r w:rsidR="00DB7065" w:rsidRPr="00907C18">
        <w:rPr>
          <w:rFonts w:cs="Arial"/>
          <w:sz w:val="26"/>
          <w:szCs w:val="26"/>
          <w:lang w:eastAsia="es-MX"/>
        </w:rPr>
        <w:t xml:space="preserve">dichos bienes </w:t>
      </w:r>
      <w:r w:rsidR="00252715" w:rsidRPr="00907C18">
        <w:rPr>
          <w:rFonts w:cs="Arial"/>
          <w:sz w:val="26"/>
          <w:szCs w:val="26"/>
          <w:lang w:eastAsia="es-MX"/>
        </w:rPr>
        <w:t xml:space="preserve">hayan sido o resulten </w:t>
      </w:r>
      <w:r w:rsidR="00252B27" w:rsidRPr="00907C18">
        <w:rPr>
          <w:rFonts w:cs="Arial"/>
          <w:sz w:val="26"/>
          <w:szCs w:val="26"/>
          <w:lang w:eastAsia="es-MX"/>
        </w:rPr>
        <w:t>un</w:t>
      </w:r>
      <w:r w:rsidR="00346069" w:rsidRPr="00907C18">
        <w:rPr>
          <w:rFonts w:cs="Arial"/>
          <w:sz w:val="26"/>
          <w:szCs w:val="26"/>
          <w:lang w:eastAsia="es-MX"/>
        </w:rPr>
        <w:t xml:space="preserve"> </w:t>
      </w:r>
      <w:r w:rsidR="00346069" w:rsidRPr="00907C18">
        <w:rPr>
          <w:rFonts w:cs="Arial"/>
          <w:sz w:val="26"/>
          <w:szCs w:val="26"/>
          <w:lang w:eastAsia="es-MX"/>
        </w:rPr>
        <w:lastRenderedPageBreak/>
        <w:t xml:space="preserve">instrumento, objeto o producto del delito investigado, que hayan </w:t>
      </w:r>
      <w:r w:rsidR="00252B27" w:rsidRPr="00907C18">
        <w:rPr>
          <w:rFonts w:cs="Arial"/>
          <w:sz w:val="26"/>
          <w:szCs w:val="26"/>
          <w:lang w:eastAsia="es-MX"/>
        </w:rPr>
        <w:t>sido</w:t>
      </w:r>
      <w:r w:rsidR="00346069" w:rsidRPr="00907C18">
        <w:rPr>
          <w:rFonts w:cs="Arial"/>
          <w:sz w:val="26"/>
          <w:szCs w:val="26"/>
          <w:lang w:eastAsia="es-MX"/>
        </w:rPr>
        <w:t xml:space="preserve"> </w:t>
      </w:r>
      <w:r w:rsidR="00252B27" w:rsidRPr="00907C18">
        <w:rPr>
          <w:rFonts w:cs="Arial"/>
          <w:sz w:val="26"/>
          <w:szCs w:val="26"/>
          <w:lang w:eastAsia="es-MX"/>
        </w:rPr>
        <w:t>destinados</w:t>
      </w:r>
      <w:r w:rsidR="00346069" w:rsidRPr="00907C18">
        <w:rPr>
          <w:rFonts w:cs="Arial"/>
          <w:sz w:val="26"/>
          <w:szCs w:val="26"/>
          <w:lang w:eastAsia="es-MX"/>
        </w:rPr>
        <w:t xml:space="preserve"> para ocultar, o </w:t>
      </w:r>
      <w:r w:rsidR="000C3BD5" w:rsidRPr="00907C18">
        <w:rPr>
          <w:rFonts w:cs="Arial"/>
          <w:sz w:val="26"/>
          <w:szCs w:val="26"/>
          <w:lang w:eastAsia="es-MX"/>
        </w:rPr>
        <w:t>transformar</w:t>
      </w:r>
      <w:r w:rsidR="00DB7065" w:rsidRPr="00907C18">
        <w:rPr>
          <w:rFonts w:cs="Arial"/>
          <w:sz w:val="26"/>
          <w:szCs w:val="26"/>
          <w:lang w:eastAsia="es-MX"/>
        </w:rPr>
        <w:t xml:space="preserve"> y</w:t>
      </w:r>
      <w:r w:rsidR="000C3BD5" w:rsidRPr="00907C18">
        <w:rPr>
          <w:rFonts w:cs="Arial"/>
          <w:sz w:val="26"/>
          <w:szCs w:val="26"/>
          <w:lang w:eastAsia="es-MX"/>
        </w:rPr>
        <w:t xml:space="preserve"> disimular los bienes que fueron producto del ilícito</w:t>
      </w:r>
      <w:r w:rsidR="00252B27" w:rsidRPr="00907C18">
        <w:rPr>
          <w:rFonts w:cs="Arial"/>
          <w:sz w:val="26"/>
          <w:szCs w:val="26"/>
          <w:lang w:eastAsia="es-MX"/>
        </w:rPr>
        <w:t>,</w:t>
      </w:r>
      <w:r w:rsidR="000C3BD5" w:rsidRPr="00907C18">
        <w:rPr>
          <w:rFonts w:cs="Arial"/>
          <w:sz w:val="26"/>
          <w:szCs w:val="26"/>
          <w:lang w:eastAsia="es-MX"/>
        </w:rPr>
        <w:t xml:space="preserve"> y </w:t>
      </w:r>
      <w:r w:rsidR="00252B27" w:rsidRPr="00907C18">
        <w:rPr>
          <w:rFonts w:cs="Arial"/>
          <w:sz w:val="26"/>
          <w:szCs w:val="26"/>
          <w:lang w:eastAsia="es-MX"/>
        </w:rPr>
        <w:t xml:space="preserve">de </w:t>
      </w:r>
      <w:r w:rsidR="000C3BD5" w:rsidRPr="00907C18">
        <w:rPr>
          <w:rFonts w:cs="Arial"/>
          <w:sz w:val="26"/>
          <w:szCs w:val="26"/>
          <w:lang w:eastAsia="es-MX"/>
        </w:rPr>
        <w:t xml:space="preserve">aquellos que </w:t>
      </w:r>
      <w:r w:rsidR="00252B27" w:rsidRPr="00907C18">
        <w:rPr>
          <w:rFonts w:cs="Arial"/>
          <w:sz w:val="26"/>
          <w:szCs w:val="26"/>
          <w:lang w:eastAsia="es-MX"/>
        </w:rPr>
        <w:t>fueron</w:t>
      </w:r>
      <w:r w:rsidR="000C3BD5" w:rsidRPr="00907C18">
        <w:rPr>
          <w:rFonts w:cs="Arial"/>
          <w:sz w:val="26"/>
          <w:szCs w:val="26"/>
          <w:lang w:eastAsia="es-MX"/>
        </w:rPr>
        <w:t xml:space="preserve"> utilizados por un tercero para la </w:t>
      </w:r>
      <w:r w:rsidR="00252B27" w:rsidRPr="00907C18">
        <w:rPr>
          <w:rFonts w:cs="Arial"/>
          <w:sz w:val="26"/>
          <w:szCs w:val="26"/>
          <w:lang w:eastAsia="es-MX"/>
        </w:rPr>
        <w:t>comisión</w:t>
      </w:r>
      <w:r w:rsidR="000C3BD5" w:rsidRPr="00907C18">
        <w:rPr>
          <w:rFonts w:cs="Arial"/>
          <w:sz w:val="26"/>
          <w:szCs w:val="26"/>
          <w:lang w:eastAsia="es-MX"/>
        </w:rPr>
        <w:t xml:space="preserve"> de los delitos</w:t>
      </w:r>
      <w:r w:rsidR="00B17037" w:rsidRPr="00907C18">
        <w:rPr>
          <w:rFonts w:cs="Arial"/>
          <w:sz w:val="26"/>
          <w:szCs w:val="26"/>
          <w:lang w:eastAsia="es-MX"/>
        </w:rPr>
        <w:t xml:space="preserve">, si su dueño tuvo conocimiento de ello y no lo notifico a la autoridad o hizo algo para </w:t>
      </w:r>
      <w:r w:rsidR="00F90570" w:rsidRPr="00907C18">
        <w:rPr>
          <w:rFonts w:cs="Arial"/>
          <w:sz w:val="26"/>
          <w:szCs w:val="26"/>
          <w:lang w:eastAsia="es-MX"/>
        </w:rPr>
        <w:t>impedirlo</w:t>
      </w:r>
      <w:r w:rsidR="00F727AC" w:rsidRPr="00907C18">
        <w:rPr>
          <w:rFonts w:cs="Arial"/>
          <w:sz w:val="26"/>
          <w:szCs w:val="26"/>
          <w:lang w:eastAsia="es-MX"/>
        </w:rPr>
        <w:t>.</w:t>
      </w:r>
    </w:p>
    <w:p w14:paraId="02B45E28" w14:textId="77777777" w:rsidR="00F90570" w:rsidRPr="00907C18" w:rsidRDefault="00F90570" w:rsidP="008B2BF5">
      <w:pPr>
        <w:spacing w:line="360" w:lineRule="auto"/>
        <w:rPr>
          <w:rFonts w:cs="Arial"/>
          <w:sz w:val="26"/>
          <w:szCs w:val="26"/>
          <w:lang w:eastAsia="es-MX"/>
        </w:rPr>
      </w:pPr>
    </w:p>
    <w:p w14:paraId="5C8CE03F" w14:textId="77777777" w:rsidR="00CE65B9" w:rsidRPr="00907C18" w:rsidRDefault="00F90570" w:rsidP="008B2BF5">
      <w:pPr>
        <w:spacing w:line="360" w:lineRule="auto"/>
        <w:rPr>
          <w:rFonts w:cs="Arial"/>
          <w:sz w:val="26"/>
          <w:szCs w:val="26"/>
          <w:u w:val="single"/>
          <w:lang w:eastAsia="es-MX"/>
        </w:rPr>
      </w:pPr>
      <w:r w:rsidRPr="00907C18">
        <w:rPr>
          <w:rFonts w:cs="Arial"/>
          <w:sz w:val="26"/>
          <w:szCs w:val="26"/>
          <w:lang w:eastAsia="es-MX"/>
        </w:rPr>
        <w:t xml:space="preserve">Ahora bien, conforme al texto actual de la Ley en mención, </w:t>
      </w:r>
      <w:r w:rsidR="00CE65B9" w:rsidRPr="00907C18">
        <w:rPr>
          <w:rFonts w:cs="Arial"/>
          <w:sz w:val="26"/>
          <w:szCs w:val="26"/>
          <w:lang w:eastAsia="es-MX"/>
        </w:rPr>
        <w:t>é</w:t>
      </w:r>
      <w:r w:rsidRPr="00907C18">
        <w:rPr>
          <w:rFonts w:cs="Arial"/>
          <w:sz w:val="26"/>
          <w:szCs w:val="26"/>
          <w:lang w:eastAsia="es-MX"/>
        </w:rPr>
        <w:t xml:space="preserve">sta establece </w:t>
      </w:r>
      <w:r w:rsidR="002C359D" w:rsidRPr="00907C18">
        <w:rPr>
          <w:rFonts w:cs="Arial"/>
          <w:sz w:val="26"/>
          <w:szCs w:val="26"/>
          <w:lang w:eastAsia="es-MX"/>
        </w:rPr>
        <w:t xml:space="preserve">expresamente lo siguiente </w:t>
      </w:r>
      <w:r w:rsidR="0005558E" w:rsidRPr="00907C18">
        <w:rPr>
          <w:rFonts w:cs="Arial"/>
          <w:sz w:val="26"/>
          <w:szCs w:val="26"/>
          <w:u w:val="single"/>
          <w:lang w:eastAsia="es-MX"/>
        </w:rPr>
        <w:t>“Articulo</w:t>
      </w:r>
      <w:r w:rsidR="00A62695" w:rsidRPr="00907C18">
        <w:rPr>
          <w:rFonts w:cs="Arial"/>
          <w:sz w:val="26"/>
          <w:szCs w:val="26"/>
          <w:u w:val="single"/>
          <w:lang w:eastAsia="es-MX"/>
        </w:rPr>
        <w:t xml:space="preserve"> 4. Destino de los bienes. Los bienes sobre los que se declare la </w:t>
      </w:r>
      <w:r w:rsidR="0005558E" w:rsidRPr="00907C18">
        <w:rPr>
          <w:rFonts w:cs="Arial"/>
          <w:sz w:val="26"/>
          <w:szCs w:val="26"/>
          <w:u w:val="single"/>
          <w:lang w:eastAsia="es-MX"/>
        </w:rPr>
        <w:t>extinción</w:t>
      </w:r>
      <w:r w:rsidR="00A62695" w:rsidRPr="00907C18">
        <w:rPr>
          <w:rFonts w:cs="Arial"/>
          <w:sz w:val="26"/>
          <w:szCs w:val="26"/>
          <w:u w:val="single"/>
          <w:lang w:eastAsia="es-MX"/>
        </w:rPr>
        <w:t xml:space="preserve"> de dominio se aplicaran en favor del </w:t>
      </w:r>
      <w:r w:rsidR="00CE65B9" w:rsidRPr="00907C18">
        <w:rPr>
          <w:rFonts w:cs="Arial"/>
          <w:sz w:val="26"/>
          <w:szCs w:val="26"/>
          <w:u w:val="single"/>
          <w:lang w:eastAsia="es-MX"/>
        </w:rPr>
        <w:t>E</w:t>
      </w:r>
      <w:r w:rsidR="00A62695" w:rsidRPr="00907C18">
        <w:rPr>
          <w:rFonts w:cs="Arial"/>
          <w:sz w:val="26"/>
          <w:szCs w:val="26"/>
          <w:u w:val="single"/>
          <w:lang w:eastAsia="es-MX"/>
        </w:rPr>
        <w:t xml:space="preserve">stado y </w:t>
      </w:r>
      <w:r w:rsidR="0005558E" w:rsidRPr="00907C18">
        <w:rPr>
          <w:rFonts w:cs="Arial"/>
          <w:sz w:val="26"/>
          <w:szCs w:val="26"/>
          <w:u w:val="single"/>
          <w:lang w:eastAsia="es-MX"/>
        </w:rPr>
        <w:t>serán</w:t>
      </w:r>
      <w:r w:rsidR="00A62695" w:rsidRPr="00907C18">
        <w:rPr>
          <w:rFonts w:cs="Arial"/>
          <w:sz w:val="26"/>
          <w:szCs w:val="26"/>
          <w:u w:val="single"/>
          <w:lang w:eastAsia="es-MX"/>
        </w:rPr>
        <w:t xml:space="preserve"> destinados</w:t>
      </w:r>
      <w:r w:rsidR="00C55A63" w:rsidRPr="00907C18">
        <w:rPr>
          <w:rFonts w:cs="Arial"/>
          <w:sz w:val="26"/>
          <w:szCs w:val="26"/>
          <w:u w:val="single"/>
          <w:lang w:eastAsia="es-MX"/>
        </w:rPr>
        <w:t xml:space="preserve">, mediante acuerdo del </w:t>
      </w:r>
      <w:r w:rsidR="0005558E" w:rsidRPr="00907C18">
        <w:rPr>
          <w:rFonts w:cs="Arial"/>
          <w:sz w:val="26"/>
          <w:szCs w:val="26"/>
          <w:u w:val="single"/>
          <w:lang w:eastAsia="es-MX"/>
        </w:rPr>
        <w:t>T</w:t>
      </w:r>
      <w:r w:rsidR="00C55A63" w:rsidRPr="00907C18">
        <w:rPr>
          <w:rFonts w:cs="Arial"/>
          <w:sz w:val="26"/>
          <w:szCs w:val="26"/>
          <w:u w:val="single"/>
          <w:lang w:eastAsia="es-MX"/>
        </w:rPr>
        <w:t xml:space="preserve">itular del </w:t>
      </w:r>
      <w:r w:rsidR="0005558E" w:rsidRPr="00907C18">
        <w:rPr>
          <w:rFonts w:cs="Arial"/>
          <w:sz w:val="26"/>
          <w:szCs w:val="26"/>
          <w:u w:val="single"/>
          <w:lang w:eastAsia="es-MX"/>
        </w:rPr>
        <w:t>E</w:t>
      </w:r>
      <w:r w:rsidR="00C55A63" w:rsidRPr="00907C18">
        <w:rPr>
          <w:rFonts w:cs="Arial"/>
          <w:sz w:val="26"/>
          <w:szCs w:val="26"/>
          <w:u w:val="single"/>
          <w:lang w:eastAsia="es-MX"/>
        </w:rPr>
        <w:t xml:space="preserve">jecutivo, que se publique en el </w:t>
      </w:r>
      <w:r w:rsidR="00CE65B9" w:rsidRPr="00907C18">
        <w:rPr>
          <w:rFonts w:cs="Arial"/>
          <w:sz w:val="26"/>
          <w:szCs w:val="26"/>
          <w:u w:val="single"/>
          <w:lang w:eastAsia="es-MX"/>
        </w:rPr>
        <w:t>Periódico</w:t>
      </w:r>
      <w:r w:rsidR="00C55A63" w:rsidRPr="00907C18">
        <w:rPr>
          <w:rFonts w:cs="Arial"/>
          <w:sz w:val="26"/>
          <w:szCs w:val="26"/>
          <w:u w:val="single"/>
          <w:lang w:eastAsia="es-MX"/>
        </w:rPr>
        <w:t xml:space="preserve"> Oficial del Gobierno del Estado, al bienestar social, la seguridad </w:t>
      </w:r>
      <w:r w:rsidR="00CE65B9" w:rsidRPr="00907C18">
        <w:rPr>
          <w:rFonts w:cs="Arial"/>
          <w:sz w:val="26"/>
          <w:szCs w:val="26"/>
          <w:u w:val="single"/>
          <w:lang w:eastAsia="es-MX"/>
        </w:rPr>
        <w:t>pública</w:t>
      </w:r>
      <w:r w:rsidR="00C55A63" w:rsidRPr="00907C18">
        <w:rPr>
          <w:rFonts w:cs="Arial"/>
          <w:sz w:val="26"/>
          <w:szCs w:val="26"/>
          <w:u w:val="single"/>
          <w:lang w:eastAsia="es-MX"/>
        </w:rPr>
        <w:t xml:space="preserve"> y la procuración de justicia.</w:t>
      </w:r>
      <w:r w:rsidR="0005558E" w:rsidRPr="00907C18">
        <w:rPr>
          <w:rFonts w:cs="Arial"/>
          <w:sz w:val="26"/>
          <w:szCs w:val="26"/>
          <w:u w:val="single"/>
          <w:lang w:eastAsia="es-MX"/>
        </w:rPr>
        <w:t>”</w:t>
      </w:r>
      <w:r w:rsidR="00CE65B9" w:rsidRPr="00907C18">
        <w:rPr>
          <w:rFonts w:cs="Arial"/>
          <w:sz w:val="26"/>
          <w:szCs w:val="26"/>
          <w:u w:val="single"/>
          <w:lang w:eastAsia="es-MX"/>
        </w:rPr>
        <w:t>.</w:t>
      </w:r>
    </w:p>
    <w:p w14:paraId="2383C82D" w14:textId="77777777" w:rsidR="004535AF" w:rsidRPr="00907C18" w:rsidRDefault="004535AF" w:rsidP="008B2BF5">
      <w:pPr>
        <w:spacing w:line="360" w:lineRule="auto"/>
        <w:rPr>
          <w:rFonts w:cs="Arial"/>
          <w:sz w:val="26"/>
          <w:szCs w:val="26"/>
          <w:lang w:eastAsia="es-MX"/>
        </w:rPr>
      </w:pPr>
    </w:p>
    <w:p w14:paraId="11A3376C" w14:textId="77777777" w:rsidR="000F0113" w:rsidRPr="00907C18" w:rsidRDefault="00611378" w:rsidP="008B2BF5">
      <w:pPr>
        <w:spacing w:line="360" w:lineRule="auto"/>
        <w:rPr>
          <w:rFonts w:cs="Arial"/>
          <w:sz w:val="26"/>
          <w:szCs w:val="26"/>
          <w:u w:val="single"/>
          <w:lang w:eastAsia="es-MX"/>
        </w:rPr>
      </w:pPr>
      <w:r w:rsidRPr="00907C18">
        <w:rPr>
          <w:rFonts w:cs="Arial"/>
          <w:sz w:val="26"/>
          <w:szCs w:val="26"/>
          <w:lang w:eastAsia="es-MX"/>
        </w:rPr>
        <w:t>En relación con lo antes expuesto</w:t>
      </w:r>
      <w:r w:rsidR="00957DFB" w:rsidRPr="00907C18">
        <w:rPr>
          <w:rFonts w:cs="Arial"/>
          <w:sz w:val="26"/>
          <w:szCs w:val="26"/>
          <w:lang w:eastAsia="es-MX"/>
        </w:rPr>
        <w:t>,</w:t>
      </w:r>
      <w:r w:rsidRPr="00907C18">
        <w:rPr>
          <w:rFonts w:cs="Arial"/>
          <w:sz w:val="26"/>
          <w:szCs w:val="26"/>
          <w:lang w:eastAsia="es-MX"/>
        </w:rPr>
        <w:t xml:space="preserve"> el </w:t>
      </w:r>
      <w:r w:rsidR="00957DFB" w:rsidRPr="00907C18">
        <w:rPr>
          <w:rFonts w:cs="Arial"/>
          <w:sz w:val="26"/>
          <w:szCs w:val="26"/>
          <w:lang w:eastAsia="es-MX"/>
        </w:rPr>
        <w:t>artículo</w:t>
      </w:r>
      <w:r w:rsidRPr="00907C18">
        <w:rPr>
          <w:rFonts w:cs="Arial"/>
          <w:sz w:val="26"/>
          <w:szCs w:val="26"/>
          <w:lang w:eastAsia="es-MX"/>
        </w:rPr>
        <w:t xml:space="preserve"> </w:t>
      </w:r>
      <w:r w:rsidR="00B01E99" w:rsidRPr="00907C18">
        <w:rPr>
          <w:rFonts w:cs="Arial"/>
          <w:sz w:val="26"/>
          <w:szCs w:val="26"/>
          <w:lang w:eastAsia="es-MX"/>
        </w:rPr>
        <w:t>61 del mismo ordenamiento, dice literalmente</w:t>
      </w:r>
      <w:r w:rsidR="00206E8D" w:rsidRPr="00907C18">
        <w:rPr>
          <w:rFonts w:cs="Arial"/>
          <w:sz w:val="26"/>
          <w:szCs w:val="26"/>
          <w:lang w:eastAsia="es-MX"/>
        </w:rPr>
        <w:t xml:space="preserve">: </w:t>
      </w:r>
      <w:r w:rsidR="00206E8D" w:rsidRPr="00907C18">
        <w:rPr>
          <w:rFonts w:cs="Arial"/>
          <w:sz w:val="26"/>
          <w:szCs w:val="26"/>
          <w:u w:val="single"/>
          <w:lang w:eastAsia="es-MX"/>
        </w:rPr>
        <w:t>“</w:t>
      </w:r>
      <w:r w:rsidR="00EF1712" w:rsidRPr="00907C18">
        <w:rPr>
          <w:rFonts w:cs="Arial"/>
          <w:sz w:val="26"/>
          <w:szCs w:val="26"/>
          <w:u w:val="single"/>
          <w:lang w:eastAsia="es-MX"/>
        </w:rPr>
        <w:t xml:space="preserve">Los remanentes del valor de los bienes que resulten una vez aplicados los recursos correspondientes en términos del </w:t>
      </w:r>
      <w:r w:rsidR="00957DFB" w:rsidRPr="00907C18">
        <w:rPr>
          <w:rFonts w:cs="Arial"/>
          <w:sz w:val="26"/>
          <w:szCs w:val="26"/>
          <w:u w:val="single"/>
          <w:lang w:eastAsia="es-MX"/>
        </w:rPr>
        <w:t>artículo</w:t>
      </w:r>
      <w:r w:rsidR="00EF1712" w:rsidRPr="00907C18">
        <w:rPr>
          <w:rFonts w:cs="Arial"/>
          <w:sz w:val="26"/>
          <w:szCs w:val="26"/>
          <w:u w:val="single"/>
          <w:lang w:eastAsia="es-MX"/>
        </w:rPr>
        <w:t xml:space="preserve"> 59 de esta ley, se utilizaran para el bienestar social</w:t>
      </w:r>
      <w:r w:rsidR="0081017D" w:rsidRPr="00907C18">
        <w:rPr>
          <w:rFonts w:cs="Arial"/>
          <w:sz w:val="26"/>
          <w:szCs w:val="26"/>
          <w:u w:val="single"/>
          <w:lang w:eastAsia="es-MX"/>
        </w:rPr>
        <w:t xml:space="preserve"> y el mejoramiento de la seguridad </w:t>
      </w:r>
      <w:r w:rsidR="00957DFB" w:rsidRPr="00907C18">
        <w:rPr>
          <w:rFonts w:cs="Arial"/>
          <w:sz w:val="26"/>
          <w:szCs w:val="26"/>
          <w:u w:val="single"/>
          <w:lang w:eastAsia="es-MX"/>
        </w:rPr>
        <w:t>pública</w:t>
      </w:r>
      <w:r w:rsidR="0081017D" w:rsidRPr="00907C18">
        <w:rPr>
          <w:rFonts w:cs="Arial"/>
          <w:sz w:val="26"/>
          <w:szCs w:val="26"/>
          <w:u w:val="single"/>
          <w:lang w:eastAsia="es-MX"/>
        </w:rPr>
        <w:t xml:space="preserve"> y de la procuración de la justicia. Dichos remanentes se </w:t>
      </w:r>
      <w:r w:rsidR="00957DFB" w:rsidRPr="00907C18">
        <w:rPr>
          <w:rFonts w:cs="Arial"/>
          <w:sz w:val="26"/>
          <w:szCs w:val="26"/>
          <w:u w:val="single"/>
          <w:lang w:eastAsia="es-MX"/>
        </w:rPr>
        <w:t>destinarán</w:t>
      </w:r>
      <w:r w:rsidR="0081017D" w:rsidRPr="00907C18">
        <w:rPr>
          <w:rFonts w:cs="Arial"/>
          <w:sz w:val="26"/>
          <w:szCs w:val="26"/>
          <w:u w:val="single"/>
          <w:lang w:eastAsia="es-MX"/>
        </w:rPr>
        <w:t xml:space="preserve"> en un 50 por ciento al bienestar social</w:t>
      </w:r>
      <w:r w:rsidR="000F0113" w:rsidRPr="00907C18">
        <w:rPr>
          <w:rFonts w:cs="Arial"/>
          <w:sz w:val="26"/>
          <w:szCs w:val="26"/>
          <w:u w:val="single"/>
          <w:lang w:eastAsia="es-MX"/>
        </w:rPr>
        <w:t xml:space="preserve">, asignándose a los programas y actividades a cargo de las Secretarias de Desarrollo Social, de Salud, y de </w:t>
      </w:r>
      <w:r w:rsidR="00B76056" w:rsidRPr="00907C18">
        <w:rPr>
          <w:rFonts w:cs="Arial"/>
          <w:sz w:val="26"/>
          <w:szCs w:val="26"/>
          <w:u w:val="single"/>
          <w:lang w:eastAsia="es-MX"/>
        </w:rPr>
        <w:t>Educación</w:t>
      </w:r>
      <w:r w:rsidR="000F0113" w:rsidRPr="00907C18">
        <w:rPr>
          <w:rFonts w:cs="Arial"/>
          <w:sz w:val="26"/>
          <w:szCs w:val="26"/>
          <w:u w:val="single"/>
          <w:lang w:eastAsia="es-MX"/>
        </w:rPr>
        <w:t xml:space="preserve">, conforme al acuerdo que dicte el Ejecutivo del </w:t>
      </w:r>
      <w:r w:rsidR="00B76056" w:rsidRPr="00907C18">
        <w:rPr>
          <w:rFonts w:cs="Arial"/>
          <w:sz w:val="26"/>
          <w:szCs w:val="26"/>
          <w:u w:val="single"/>
          <w:lang w:eastAsia="es-MX"/>
        </w:rPr>
        <w:t>Estado</w:t>
      </w:r>
      <w:r w:rsidR="000F0113" w:rsidRPr="00907C18">
        <w:rPr>
          <w:rFonts w:cs="Arial"/>
          <w:sz w:val="26"/>
          <w:szCs w:val="26"/>
          <w:u w:val="single"/>
          <w:lang w:eastAsia="es-MX"/>
        </w:rPr>
        <w:t xml:space="preserve">. El otro 50 por ciento se </w:t>
      </w:r>
      <w:r w:rsidR="00B76056" w:rsidRPr="00907C18">
        <w:rPr>
          <w:rFonts w:cs="Arial"/>
          <w:sz w:val="26"/>
          <w:szCs w:val="26"/>
          <w:u w:val="single"/>
          <w:lang w:eastAsia="es-MX"/>
        </w:rPr>
        <w:t>asignará</w:t>
      </w:r>
      <w:r w:rsidR="000F0113" w:rsidRPr="00907C18">
        <w:rPr>
          <w:rFonts w:cs="Arial"/>
          <w:sz w:val="26"/>
          <w:szCs w:val="26"/>
          <w:u w:val="single"/>
          <w:lang w:eastAsia="es-MX"/>
        </w:rPr>
        <w:t xml:space="preserve"> a partes iguales para los programas y actividades de la Secretaria de Gobierno en el </w:t>
      </w:r>
      <w:r w:rsidR="00B76056" w:rsidRPr="00907C18">
        <w:rPr>
          <w:rFonts w:cs="Arial"/>
          <w:sz w:val="26"/>
          <w:szCs w:val="26"/>
          <w:u w:val="single"/>
          <w:lang w:eastAsia="es-MX"/>
        </w:rPr>
        <w:t>Área</w:t>
      </w:r>
      <w:r w:rsidR="000F0113" w:rsidRPr="00907C18">
        <w:rPr>
          <w:rFonts w:cs="Arial"/>
          <w:sz w:val="26"/>
          <w:szCs w:val="26"/>
          <w:u w:val="single"/>
          <w:lang w:eastAsia="es-MX"/>
        </w:rPr>
        <w:t xml:space="preserve"> de Seguridad Publica y </w:t>
      </w:r>
      <w:r w:rsidR="00B76056" w:rsidRPr="00907C18">
        <w:rPr>
          <w:rFonts w:cs="Arial"/>
          <w:sz w:val="26"/>
          <w:szCs w:val="26"/>
          <w:u w:val="single"/>
          <w:lang w:eastAsia="es-MX"/>
        </w:rPr>
        <w:t>Fiscalía</w:t>
      </w:r>
      <w:r w:rsidR="000F0113" w:rsidRPr="00907C18">
        <w:rPr>
          <w:rFonts w:cs="Arial"/>
          <w:sz w:val="26"/>
          <w:szCs w:val="26"/>
          <w:u w:val="single"/>
          <w:lang w:eastAsia="es-MX"/>
        </w:rPr>
        <w:t xml:space="preserve"> </w:t>
      </w:r>
      <w:r w:rsidR="00B76056" w:rsidRPr="00907C18">
        <w:rPr>
          <w:rFonts w:cs="Arial"/>
          <w:sz w:val="26"/>
          <w:szCs w:val="26"/>
          <w:u w:val="single"/>
          <w:lang w:eastAsia="es-MX"/>
        </w:rPr>
        <w:t>General</w:t>
      </w:r>
      <w:r w:rsidR="000F0113" w:rsidRPr="00907C18">
        <w:rPr>
          <w:rFonts w:cs="Arial"/>
          <w:sz w:val="26"/>
          <w:szCs w:val="26"/>
          <w:u w:val="single"/>
          <w:lang w:eastAsia="es-MX"/>
        </w:rPr>
        <w:t xml:space="preserve"> </w:t>
      </w:r>
      <w:r w:rsidR="00B76056" w:rsidRPr="00907C18">
        <w:rPr>
          <w:rFonts w:cs="Arial"/>
          <w:sz w:val="26"/>
          <w:szCs w:val="26"/>
          <w:u w:val="single"/>
          <w:lang w:eastAsia="es-MX"/>
        </w:rPr>
        <w:t>del</w:t>
      </w:r>
      <w:r w:rsidR="000F0113" w:rsidRPr="00907C18">
        <w:rPr>
          <w:rFonts w:cs="Arial"/>
          <w:sz w:val="26"/>
          <w:szCs w:val="26"/>
          <w:u w:val="single"/>
          <w:lang w:eastAsia="es-MX"/>
        </w:rPr>
        <w:t xml:space="preserve"> Estado”.</w:t>
      </w:r>
    </w:p>
    <w:p w14:paraId="3D91F23E" w14:textId="77777777" w:rsidR="00611378" w:rsidRPr="00907C18" w:rsidRDefault="0081017D" w:rsidP="008B2BF5">
      <w:pPr>
        <w:spacing w:line="360" w:lineRule="auto"/>
        <w:rPr>
          <w:rFonts w:cs="Arial"/>
          <w:sz w:val="26"/>
          <w:szCs w:val="26"/>
          <w:lang w:eastAsia="es-MX"/>
        </w:rPr>
      </w:pPr>
      <w:r w:rsidRPr="00907C18">
        <w:rPr>
          <w:rFonts w:cs="Arial"/>
          <w:sz w:val="26"/>
          <w:szCs w:val="26"/>
          <w:lang w:eastAsia="es-MX"/>
        </w:rPr>
        <w:t xml:space="preserve"> </w:t>
      </w:r>
      <w:r w:rsidR="00206E8D" w:rsidRPr="00907C18">
        <w:rPr>
          <w:rFonts w:cs="Arial"/>
          <w:sz w:val="26"/>
          <w:szCs w:val="26"/>
          <w:lang w:eastAsia="es-MX"/>
        </w:rPr>
        <w:t xml:space="preserve"> </w:t>
      </w:r>
      <w:r w:rsidR="00B01E99" w:rsidRPr="00907C18">
        <w:rPr>
          <w:rFonts w:cs="Arial"/>
          <w:sz w:val="26"/>
          <w:szCs w:val="26"/>
          <w:lang w:eastAsia="es-MX"/>
        </w:rPr>
        <w:t xml:space="preserve"> </w:t>
      </w:r>
    </w:p>
    <w:p w14:paraId="2306FD5B" w14:textId="77777777" w:rsidR="00611378" w:rsidRPr="00907C18" w:rsidRDefault="00B76056" w:rsidP="008B2BF5">
      <w:pPr>
        <w:spacing w:line="360" w:lineRule="auto"/>
        <w:rPr>
          <w:rFonts w:cs="Arial"/>
          <w:sz w:val="26"/>
          <w:szCs w:val="26"/>
          <w:lang w:eastAsia="es-MX"/>
        </w:rPr>
      </w:pPr>
      <w:r w:rsidRPr="00907C18">
        <w:rPr>
          <w:rFonts w:cs="Arial"/>
          <w:sz w:val="26"/>
          <w:szCs w:val="26"/>
          <w:lang w:eastAsia="es-MX"/>
        </w:rPr>
        <w:lastRenderedPageBreak/>
        <w:t>Así</w:t>
      </w:r>
      <w:r w:rsidR="004535AF" w:rsidRPr="00907C18">
        <w:rPr>
          <w:rFonts w:cs="Arial"/>
          <w:sz w:val="26"/>
          <w:szCs w:val="26"/>
          <w:lang w:eastAsia="es-MX"/>
        </w:rPr>
        <w:t xml:space="preserve"> mismo</w:t>
      </w:r>
      <w:r w:rsidRPr="00907C18">
        <w:rPr>
          <w:rFonts w:cs="Arial"/>
          <w:sz w:val="26"/>
          <w:szCs w:val="26"/>
          <w:lang w:eastAsia="es-MX"/>
        </w:rPr>
        <w:t>,</w:t>
      </w:r>
      <w:r w:rsidR="004535AF" w:rsidRPr="00907C18">
        <w:rPr>
          <w:rFonts w:cs="Arial"/>
          <w:sz w:val="26"/>
          <w:szCs w:val="26"/>
          <w:lang w:eastAsia="es-MX"/>
        </w:rPr>
        <w:t xml:space="preserve"> el </w:t>
      </w:r>
      <w:r w:rsidRPr="00907C18">
        <w:rPr>
          <w:rFonts w:cs="Arial"/>
          <w:sz w:val="26"/>
          <w:szCs w:val="26"/>
          <w:lang w:eastAsia="es-MX"/>
        </w:rPr>
        <w:t>párrafo</w:t>
      </w:r>
      <w:r w:rsidR="004535AF" w:rsidRPr="00907C18">
        <w:rPr>
          <w:rFonts w:cs="Arial"/>
          <w:sz w:val="26"/>
          <w:szCs w:val="26"/>
          <w:lang w:eastAsia="es-MX"/>
        </w:rPr>
        <w:t xml:space="preserve"> segundo del </w:t>
      </w:r>
      <w:r w:rsidRPr="00907C18">
        <w:rPr>
          <w:rFonts w:cs="Arial"/>
          <w:sz w:val="26"/>
          <w:szCs w:val="26"/>
          <w:lang w:eastAsia="es-MX"/>
        </w:rPr>
        <w:t>artículo</w:t>
      </w:r>
      <w:r w:rsidR="004535AF" w:rsidRPr="00907C18">
        <w:rPr>
          <w:rFonts w:cs="Arial"/>
          <w:sz w:val="26"/>
          <w:szCs w:val="26"/>
          <w:lang w:eastAsia="es-MX"/>
        </w:rPr>
        <w:t xml:space="preserve"> 6 de la Ley Citada, literalmente dice: “</w:t>
      </w:r>
      <w:r w:rsidR="00C43899" w:rsidRPr="00907C18">
        <w:rPr>
          <w:rFonts w:cs="Arial"/>
          <w:sz w:val="26"/>
          <w:szCs w:val="26"/>
          <w:lang w:eastAsia="es-MX"/>
        </w:rPr>
        <w:t xml:space="preserve">El Ministerio Publico </w:t>
      </w:r>
      <w:r w:rsidR="007E0F0A" w:rsidRPr="00907C18">
        <w:rPr>
          <w:rFonts w:cs="Arial"/>
          <w:sz w:val="26"/>
          <w:szCs w:val="26"/>
          <w:lang w:eastAsia="es-MX"/>
        </w:rPr>
        <w:t>podrá</w:t>
      </w:r>
      <w:r w:rsidR="00C43899" w:rsidRPr="00907C18">
        <w:rPr>
          <w:rFonts w:cs="Arial"/>
          <w:sz w:val="26"/>
          <w:szCs w:val="26"/>
          <w:lang w:eastAsia="es-MX"/>
        </w:rPr>
        <w:t xml:space="preserve"> desistirse de la </w:t>
      </w:r>
      <w:r w:rsidR="007E0F0A" w:rsidRPr="00907C18">
        <w:rPr>
          <w:rFonts w:cs="Arial"/>
          <w:sz w:val="26"/>
          <w:szCs w:val="26"/>
          <w:lang w:eastAsia="es-MX"/>
        </w:rPr>
        <w:t>acción</w:t>
      </w:r>
      <w:r w:rsidR="00C43899" w:rsidRPr="00907C18">
        <w:rPr>
          <w:rFonts w:cs="Arial"/>
          <w:sz w:val="26"/>
          <w:szCs w:val="26"/>
          <w:lang w:eastAsia="es-MX"/>
        </w:rPr>
        <w:t xml:space="preserve"> de </w:t>
      </w:r>
      <w:r w:rsidR="007E0F0A" w:rsidRPr="00907C18">
        <w:rPr>
          <w:rFonts w:cs="Arial"/>
          <w:sz w:val="26"/>
          <w:szCs w:val="26"/>
          <w:lang w:eastAsia="es-MX"/>
        </w:rPr>
        <w:t>extinción</w:t>
      </w:r>
      <w:r w:rsidR="00C43899" w:rsidRPr="00907C18">
        <w:rPr>
          <w:rFonts w:cs="Arial"/>
          <w:sz w:val="26"/>
          <w:szCs w:val="26"/>
          <w:lang w:eastAsia="es-MX"/>
        </w:rPr>
        <w:t xml:space="preserve"> de dominio en cualquier momento, antes de que se dicte sentencia definitiva, previo acuerdo del Fiscal General del Estado. En los mismos términos, </w:t>
      </w:r>
      <w:r w:rsidR="007E0F0A" w:rsidRPr="00907C18">
        <w:rPr>
          <w:rFonts w:cs="Arial"/>
          <w:sz w:val="26"/>
          <w:szCs w:val="26"/>
          <w:lang w:eastAsia="es-MX"/>
        </w:rPr>
        <w:t>podrá</w:t>
      </w:r>
      <w:r w:rsidR="00C43899" w:rsidRPr="00907C18">
        <w:rPr>
          <w:rFonts w:cs="Arial"/>
          <w:sz w:val="26"/>
          <w:szCs w:val="26"/>
          <w:lang w:eastAsia="es-MX"/>
        </w:rPr>
        <w:t xml:space="preserve"> desistirse de la pretensión respecto de ciertos bienes objeto de la </w:t>
      </w:r>
      <w:r w:rsidR="007E0F0A" w:rsidRPr="00907C18">
        <w:rPr>
          <w:rFonts w:cs="Arial"/>
          <w:sz w:val="26"/>
          <w:szCs w:val="26"/>
          <w:lang w:eastAsia="es-MX"/>
        </w:rPr>
        <w:t>acción</w:t>
      </w:r>
      <w:r w:rsidR="00C43899" w:rsidRPr="00907C18">
        <w:rPr>
          <w:rFonts w:cs="Arial"/>
          <w:sz w:val="26"/>
          <w:szCs w:val="26"/>
          <w:lang w:eastAsia="es-MX"/>
        </w:rPr>
        <w:t xml:space="preserve"> de </w:t>
      </w:r>
      <w:r w:rsidR="007E0F0A" w:rsidRPr="00907C18">
        <w:rPr>
          <w:rFonts w:cs="Arial"/>
          <w:sz w:val="26"/>
          <w:szCs w:val="26"/>
          <w:lang w:eastAsia="es-MX"/>
        </w:rPr>
        <w:t>extinción</w:t>
      </w:r>
      <w:r w:rsidR="00C43899" w:rsidRPr="00907C18">
        <w:rPr>
          <w:rFonts w:cs="Arial"/>
          <w:sz w:val="26"/>
          <w:szCs w:val="26"/>
          <w:lang w:eastAsia="es-MX"/>
        </w:rPr>
        <w:t xml:space="preserve"> de dominio”.</w:t>
      </w:r>
    </w:p>
    <w:p w14:paraId="5E3254D0" w14:textId="77777777" w:rsidR="00611378" w:rsidRPr="00907C18" w:rsidRDefault="00611378" w:rsidP="008B2BF5">
      <w:pPr>
        <w:spacing w:line="360" w:lineRule="auto"/>
        <w:rPr>
          <w:rFonts w:cs="Arial"/>
          <w:sz w:val="26"/>
          <w:szCs w:val="26"/>
          <w:lang w:eastAsia="es-MX"/>
        </w:rPr>
      </w:pPr>
    </w:p>
    <w:p w14:paraId="4BEC97B6" w14:textId="77777777" w:rsidR="0091663D" w:rsidRPr="00907C18" w:rsidRDefault="00F90570" w:rsidP="008B2BF5">
      <w:pPr>
        <w:spacing w:line="360" w:lineRule="auto"/>
        <w:rPr>
          <w:rFonts w:cs="Arial"/>
          <w:b/>
          <w:sz w:val="26"/>
          <w:szCs w:val="26"/>
          <w:u w:val="single"/>
          <w:lang w:eastAsia="es-MX"/>
        </w:rPr>
      </w:pPr>
      <w:r w:rsidRPr="00907C18">
        <w:rPr>
          <w:rFonts w:cs="Arial"/>
          <w:sz w:val="26"/>
          <w:szCs w:val="26"/>
          <w:lang w:eastAsia="es-MX"/>
        </w:rPr>
        <w:t xml:space="preserve"> </w:t>
      </w:r>
      <w:r w:rsidR="0010015C" w:rsidRPr="00907C18">
        <w:rPr>
          <w:rFonts w:cs="Arial"/>
          <w:sz w:val="26"/>
          <w:szCs w:val="26"/>
          <w:lang w:eastAsia="es-MX"/>
        </w:rPr>
        <w:t xml:space="preserve">Como puede observarse de las disposiciones legales antes citadas, </w:t>
      </w:r>
      <w:r w:rsidR="009B5258" w:rsidRPr="00907C18">
        <w:rPr>
          <w:rFonts w:cs="Arial"/>
          <w:sz w:val="26"/>
          <w:szCs w:val="26"/>
          <w:lang w:eastAsia="es-MX"/>
        </w:rPr>
        <w:t>están deben</w:t>
      </w:r>
      <w:r w:rsidR="0010015C" w:rsidRPr="00907C18">
        <w:rPr>
          <w:rFonts w:cs="Arial"/>
          <w:sz w:val="26"/>
          <w:szCs w:val="26"/>
          <w:lang w:eastAsia="es-MX"/>
        </w:rPr>
        <w:t xml:space="preserve"> de reformarse </w:t>
      </w:r>
      <w:r w:rsidR="009B5258" w:rsidRPr="00907C18">
        <w:rPr>
          <w:rFonts w:cs="Arial"/>
          <w:sz w:val="26"/>
          <w:szCs w:val="26"/>
          <w:lang w:eastAsia="es-MX"/>
        </w:rPr>
        <w:t>en su a</w:t>
      </w:r>
      <w:r w:rsidR="0010015C" w:rsidRPr="00907C18">
        <w:rPr>
          <w:rFonts w:cs="Arial"/>
          <w:sz w:val="26"/>
          <w:szCs w:val="26"/>
          <w:lang w:eastAsia="es-MX"/>
        </w:rPr>
        <w:t xml:space="preserve">rticulado, dado que hay que precisar con mayor claridad </w:t>
      </w:r>
      <w:r w:rsidR="008426A0" w:rsidRPr="00907C18">
        <w:rPr>
          <w:rFonts w:cs="Arial"/>
          <w:sz w:val="26"/>
          <w:szCs w:val="26"/>
          <w:lang w:eastAsia="es-MX"/>
        </w:rPr>
        <w:t xml:space="preserve">y precisión </w:t>
      </w:r>
      <w:r w:rsidR="0010015C" w:rsidRPr="00907C18">
        <w:rPr>
          <w:rFonts w:cs="Arial"/>
          <w:sz w:val="26"/>
          <w:szCs w:val="26"/>
          <w:lang w:eastAsia="es-MX"/>
        </w:rPr>
        <w:t xml:space="preserve">que los </w:t>
      </w:r>
      <w:r w:rsidR="002F18B0" w:rsidRPr="00907C18">
        <w:rPr>
          <w:rFonts w:cs="Arial"/>
          <w:b/>
          <w:sz w:val="26"/>
          <w:szCs w:val="26"/>
          <w:u w:val="single"/>
          <w:lang w:eastAsia="es-MX"/>
        </w:rPr>
        <w:t xml:space="preserve">remanentes del valor de los bienes que resulten del ejercicio de la </w:t>
      </w:r>
      <w:r w:rsidR="00A23530" w:rsidRPr="00907C18">
        <w:rPr>
          <w:rFonts w:cs="Arial"/>
          <w:b/>
          <w:sz w:val="26"/>
          <w:szCs w:val="26"/>
          <w:u w:val="single"/>
          <w:lang w:eastAsia="es-MX"/>
        </w:rPr>
        <w:t>acción</w:t>
      </w:r>
      <w:r w:rsidR="002F18B0" w:rsidRPr="00907C18">
        <w:rPr>
          <w:rFonts w:cs="Arial"/>
          <w:b/>
          <w:sz w:val="26"/>
          <w:szCs w:val="26"/>
          <w:u w:val="single"/>
          <w:lang w:eastAsia="es-MX"/>
        </w:rPr>
        <w:t xml:space="preserve"> de </w:t>
      </w:r>
      <w:r w:rsidR="00A23530" w:rsidRPr="00907C18">
        <w:rPr>
          <w:rFonts w:cs="Arial"/>
          <w:b/>
          <w:sz w:val="26"/>
          <w:szCs w:val="26"/>
          <w:u w:val="single"/>
          <w:lang w:eastAsia="es-MX"/>
        </w:rPr>
        <w:t>extinción</w:t>
      </w:r>
      <w:r w:rsidR="002F18B0" w:rsidRPr="00907C18">
        <w:rPr>
          <w:rFonts w:cs="Arial"/>
          <w:b/>
          <w:sz w:val="26"/>
          <w:szCs w:val="26"/>
          <w:u w:val="single"/>
          <w:lang w:eastAsia="es-MX"/>
        </w:rPr>
        <w:t xml:space="preserve"> de dominio, una vez aplicados los recursos correspondientes en términos del artículo 59 de esta ley, se utilizaran </w:t>
      </w:r>
      <w:r w:rsidR="008426A0" w:rsidRPr="00907C18">
        <w:rPr>
          <w:rFonts w:cs="Arial"/>
          <w:b/>
          <w:sz w:val="26"/>
          <w:szCs w:val="26"/>
          <w:u w:val="single"/>
          <w:lang w:eastAsia="es-MX"/>
        </w:rPr>
        <w:t xml:space="preserve">en un 30 por ciento </w:t>
      </w:r>
      <w:r w:rsidR="002F18B0" w:rsidRPr="00907C18">
        <w:rPr>
          <w:rFonts w:cs="Arial"/>
          <w:b/>
          <w:sz w:val="26"/>
          <w:szCs w:val="26"/>
          <w:u w:val="single"/>
          <w:lang w:eastAsia="es-MX"/>
        </w:rPr>
        <w:t>para</w:t>
      </w:r>
      <w:r w:rsidR="002D17C4" w:rsidRPr="00907C18">
        <w:rPr>
          <w:rFonts w:cs="Arial"/>
          <w:b/>
          <w:sz w:val="26"/>
          <w:szCs w:val="26"/>
          <w:u w:val="single"/>
          <w:lang w:eastAsia="es-MX"/>
        </w:rPr>
        <w:t xml:space="preserve"> mejorar la infraestructura hospitalaria </w:t>
      </w:r>
      <w:r w:rsidR="00A25AC9" w:rsidRPr="00907C18">
        <w:rPr>
          <w:rFonts w:cs="Arial"/>
          <w:b/>
          <w:sz w:val="26"/>
          <w:szCs w:val="26"/>
          <w:u w:val="single"/>
          <w:lang w:eastAsia="es-MX"/>
        </w:rPr>
        <w:t xml:space="preserve">y equipamiento </w:t>
      </w:r>
      <w:r w:rsidR="002D17C4" w:rsidRPr="00907C18">
        <w:rPr>
          <w:rFonts w:cs="Arial"/>
          <w:b/>
          <w:sz w:val="26"/>
          <w:szCs w:val="26"/>
          <w:u w:val="single"/>
          <w:lang w:eastAsia="es-MX"/>
        </w:rPr>
        <w:t xml:space="preserve">del </w:t>
      </w:r>
      <w:r w:rsidR="00311090" w:rsidRPr="00907C18">
        <w:rPr>
          <w:rFonts w:cs="Arial"/>
          <w:b/>
          <w:sz w:val="26"/>
          <w:szCs w:val="26"/>
          <w:u w:val="single"/>
          <w:lang w:eastAsia="es-MX"/>
        </w:rPr>
        <w:t>S</w:t>
      </w:r>
      <w:r w:rsidR="002D17C4" w:rsidRPr="00907C18">
        <w:rPr>
          <w:rFonts w:cs="Arial"/>
          <w:b/>
          <w:sz w:val="26"/>
          <w:szCs w:val="26"/>
          <w:u w:val="single"/>
          <w:lang w:eastAsia="es-MX"/>
        </w:rPr>
        <w:t xml:space="preserve">ector </w:t>
      </w:r>
      <w:r w:rsidR="00311090" w:rsidRPr="00907C18">
        <w:rPr>
          <w:rFonts w:cs="Arial"/>
          <w:b/>
          <w:sz w:val="26"/>
          <w:szCs w:val="26"/>
          <w:u w:val="single"/>
          <w:lang w:eastAsia="es-MX"/>
        </w:rPr>
        <w:t>S</w:t>
      </w:r>
      <w:r w:rsidR="002D17C4" w:rsidRPr="00907C18">
        <w:rPr>
          <w:rFonts w:cs="Arial"/>
          <w:b/>
          <w:sz w:val="26"/>
          <w:szCs w:val="26"/>
          <w:u w:val="single"/>
          <w:lang w:eastAsia="es-MX"/>
        </w:rPr>
        <w:t xml:space="preserve">alud del </w:t>
      </w:r>
      <w:r w:rsidR="00311090" w:rsidRPr="00907C18">
        <w:rPr>
          <w:rFonts w:cs="Arial"/>
          <w:b/>
          <w:sz w:val="26"/>
          <w:szCs w:val="26"/>
          <w:u w:val="single"/>
          <w:lang w:eastAsia="es-MX"/>
        </w:rPr>
        <w:t>E</w:t>
      </w:r>
      <w:r w:rsidR="002D17C4" w:rsidRPr="00907C18">
        <w:rPr>
          <w:rFonts w:cs="Arial"/>
          <w:b/>
          <w:sz w:val="26"/>
          <w:szCs w:val="26"/>
          <w:u w:val="single"/>
          <w:lang w:eastAsia="es-MX"/>
        </w:rPr>
        <w:t xml:space="preserve">stado, </w:t>
      </w:r>
      <w:r w:rsidR="002F18B0" w:rsidRPr="00907C18">
        <w:rPr>
          <w:rFonts w:cs="Arial"/>
          <w:b/>
          <w:sz w:val="26"/>
          <w:szCs w:val="26"/>
          <w:u w:val="single"/>
          <w:lang w:eastAsia="es-MX"/>
        </w:rPr>
        <w:t xml:space="preserve"> </w:t>
      </w:r>
      <w:r w:rsidR="008426A0" w:rsidRPr="00907C18">
        <w:rPr>
          <w:rFonts w:cs="Arial"/>
          <w:b/>
          <w:sz w:val="26"/>
          <w:szCs w:val="26"/>
          <w:u w:val="single"/>
          <w:lang w:eastAsia="es-MX"/>
        </w:rPr>
        <w:t xml:space="preserve">otro 30 por ciento </w:t>
      </w:r>
      <w:r w:rsidR="00A25AC9" w:rsidRPr="00907C18">
        <w:rPr>
          <w:rFonts w:cs="Arial"/>
          <w:b/>
          <w:sz w:val="26"/>
          <w:szCs w:val="26"/>
          <w:u w:val="single"/>
          <w:lang w:eastAsia="es-MX"/>
        </w:rPr>
        <w:t xml:space="preserve">para el </w:t>
      </w:r>
      <w:r w:rsidR="00311090" w:rsidRPr="00907C18">
        <w:rPr>
          <w:rFonts w:cs="Arial"/>
          <w:b/>
          <w:sz w:val="26"/>
          <w:szCs w:val="26"/>
          <w:u w:val="single"/>
          <w:lang w:eastAsia="es-MX"/>
        </w:rPr>
        <w:t>S</w:t>
      </w:r>
      <w:r w:rsidR="00A25AC9" w:rsidRPr="00907C18">
        <w:rPr>
          <w:rFonts w:cs="Arial"/>
          <w:b/>
          <w:sz w:val="26"/>
          <w:szCs w:val="26"/>
          <w:u w:val="single"/>
          <w:lang w:eastAsia="es-MX"/>
        </w:rPr>
        <w:t xml:space="preserve">ector </w:t>
      </w:r>
      <w:r w:rsidR="00311090" w:rsidRPr="00907C18">
        <w:rPr>
          <w:rFonts w:cs="Arial"/>
          <w:b/>
          <w:sz w:val="26"/>
          <w:szCs w:val="26"/>
          <w:u w:val="single"/>
          <w:lang w:eastAsia="es-MX"/>
        </w:rPr>
        <w:t>E</w:t>
      </w:r>
      <w:r w:rsidR="00A25AC9" w:rsidRPr="00907C18">
        <w:rPr>
          <w:rFonts w:cs="Arial"/>
          <w:b/>
          <w:sz w:val="26"/>
          <w:szCs w:val="26"/>
          <w:u w:val="single"/>
          <w:lang w:eastAsia="es-MX"/>
        </w:rPr>
        <w:t xml:space="preserve">ducativo </w:t>
      </w:r>
      <w:r w:rsidR="00311090" w:rsidRPr="00907C18">
        <w:rPr>
          <w:rFonts w:cs="Arial"/>
          <w:b/>
          <w:sz w:val="26"/>
          <w:szCs w:val="26"/>
          <w:u w:val="single"/>
          <w:lang w:eastAsia="es-MX"/>
        </w:rPr>
        <w:t>E</w:t>
      </w:r>
      <w:r w:rsidR="00A25AC9" w:rsidRPr="00907C18">
        <w:rPr>
          <w:rFonts w:cs="Arial"/>
          <w:b/>
          <w:sz w:val="26"/>
          <w:szCs w:val="26"/>
          <w:u w:val="single"/>
          <w:lang w:eastAsia="es-MX"/>
        </w:rPr>
        <w:t xml:space="preserve">statal, </w:t>
      </w:r>
      <w:r w:rsidR="001F082C" w:rsidRPr="00907C18">
        <w:rPr>
          <w:rFonts w:cs="Arial"/>
          <w:b/>
          <w:sz w:val="26"/>
          <w:szCs w:val="26"/>
          <w:u w:val="single"/>
          <w:lang w:eastAsia="es-MX"/>
        </w:rPr>
        <w:t xml:space="preserve">un 20 por ciento </w:t>
      </w:r>
      <w:r w:rsidR="00A23530" w:rsidRPr="00907C18">
        <w:rPr>
          <w:rFonts w:cs="Arial"/>
          <w:b/>
          <w:sz w:val="26"/>
          <w:szCs w:val="26"/>
          <w:u w:val="single"/>
          <w:lang w:eastAsia="es-MX"/>
        </w:rPr>
        <w:t xml:space="preserve">para los programas sociales dela </w:t>
      </w:r>
      <w:r w:rsidR="001F082C" w:rsidRPr="00907C18">
        <w:rPr>
          <w:rFonts w:cs="Arial"/>
          <w:b/>
          <w:sz w:val="26"/>
          <w:szCs w:val="26"/>
          <w:u w:val="single"/>
          <w:lang w:eastAsia="es-MX"/>
        </w:rPr>
        <w:t>S</w:t>
      </w:r>
      <w:r w:rsidR="00A23530" w:rsidRPr="00907C18">
        <w:rPr>
          <w:rFonts w:cs="Arial"/>
          <w:b/>
          <w:sz w:val="26"/>
          <w:szCs w:val="26"/>
          <w:u w:val="single"/>
          <w:lang w:eastAsia="es-MX"/>
        </w:rPr>
        <w:t xml:space="preserve">ecretaria de </w:t>
      </w:r>
      <w:r w:rsidR="00911918" w:rsidRPr="00907C18">
        <w:rPr>
          <w:rFonts w:cs="Arial"/>
          <w:b/>
          <w:sz w:val="26"/>
          <w:szCs w:val="26"/>
          <w:u w:val="single"/>
          <w:lang w:eastAsia="es-MX"/>
        </w:rPr>
        <w:t xml:space="preserve">Inclusión y </w:t>
      </w:r>
      <w:r w:rsidR="001F082C" w:rsidRPr="00907C18">
        <w:rPr>
          <w:rFonts w:cs="Arial"/>
          <w:b/>
          <w:sz w:val="26"/>
          <w:szCs w:val="26"/>
          <w:u w:val="single"/>
          <w:lang w:eastAsia="es-MX"/>
        </w:rPr>
        <w:t>D</w:t>
      </w:r>
      <w:r w:rsidR="00A23530" w:rsidRPr="00907C18">
        <w:rPr>
          <w:rFonts w:cs="Arial"/>
          <w:b/>
          <w:sz w:val="26"/>
          <w:szCs w:val="26"/>
          <w:u w:val="single"/>
          <w:lang w:eastAsia="es-MX"/>
        </w:rPr>
        <w:t xml:space="preserve">esarrollo </w:t>
      </w:r>
      <w:r w:rsidR="001F082C" w:rsidRPr="00907C18">
        <w:rPr>
          <w:rFonts w:cs="Arial"/>
          <w:b/>
          <w:sz w:val="26"/>
          <w:szCs w:val="26"/>
          <w:u w:val="single"/>
          <w:lang w:eastAsia="es-MX"/>
        </w:rPr>
        <w:t>S</w:t>
      </w:r>
      <w:r w:rsidR="00A23530" w:rsidRPr="00907C18">
        <w:rPr>
          <w:rFonts w:cs="Arial"/>
          <w:b/>
          <w:sz w:val="26"/>
          <w:szCs w:val="26"/>
          <w:u w:val="single"/>
          <w:lang w:eastAsia="es-MX"/>
        </w:rPr>
        <w:t>ocial,</w:t>
      </w:r>
      <w:r w:rsidR="001F082C" w:rsidRPr="00907C18">
        <w:rPr>
          <w:rFonts w:cs="Arial"/>
          <w:b/>
          <w:sz w:val="26"/>
          <w:szCs w:val="26"/>
          <w:u w:val="single"/>
          <w:lang w:eastAsia="es-MX"/>
        </w:rPr>
        <w:t xml:space="preserve"> y un 20 por ciento dividido en partes iguales para las </w:t>
      </w:r>
      <w:r w:rsidR="0091663D" w:rsidRPr="00907C18">
        <w:rPr>
          <w:rFonts w:cs="Arial"/>
          <w:b/>
          <w:sz w:val="26"/>
          <w:szCs w:val="26"/>
          <w:u w:val="single"/>
          <w:lang w:eastAsia="es-MX"/>
        </w:rPr>
        <w:t>áreas</w:t>
      </w:r>
      <w:r w:rsidR="001F082C" w:rsidRPr="00907C18">
        <w:rPr>
          <w:rFonts w:cs="Arial"/>
          <w:b/>
          <w:sz w:val="26"/>
          <w:szCs w:val="26"/>
          <w:u w:val="single"/>
          <w:lang w:eastAsia="es-MX"/>
        </w:rPr>
        <w:t xml:space="preserve"> de </w:t>
      </w:r>
      <w:r w:rsidR="0091663D" w:rsidRPr="00907C18">
        <w:rPr>
          <w:rFonts w:cs="Arial"/>
          <w:b/>
          <w:sz w:val="26"/>
          <w:szCs w:val="26"/>
          <w:u w:val="single"/>
          <w:lang w:eastAsia="es-MX"/>
        </w:rPr>
        <w:t>S</w:t>
      </w:r>
      <w:r w:rsidR="001F082C" w:rsidRPr="00907C18">
        <w:rPr>
          <w:rFonts w:cs="Arial"/>
          <w:b/>
          <w:sz w:val="26"/>
          <w:szCs w:val="26"/>
          <w:u w:val="single"/>
          <w:lang w:eastAsia="es-MX"/>
        </w:rPr>
        <w:t xml:space="preserve">eguridad </w:t>
      </w:r>
      <w:r w:rsidR="0091663D" w:rsidRPr="00907C18">
        <w:rPr>
          <w:rFonts w:cs="Arial"/>
          <w:b/>
          <w:sz w:val="26"/>
          <w:szCs w:val="26"/>
          <w:u w:val="single"/>
          <w:lang w:eastAsia="es-MX"/>
        </w:rPr>
        <w:t>P</w:t>
      </w:r>
      <w:r w:rsidR="001F082C" w:rsidRPr="00907C18">
        <w:rPr>
          <w:rFonts w:cs="Arial"/>
          <w:b/>
          <w:sz w:val="26"/>
          <w:szCs w:val="26"/>
          <w:u w:val="single"/>
          <w:lang w:eastAsia="es-MX"/>
        </w:rPr>
        <w:t xml:space="preserve">ublica y la </w:t>
      </w:r>
      <w:r w:rsidR="008575DC" w:rsidRPr="00907C18">
        <w:rPr>
          <w:rFonts w:cs="Arial"/>
          <w:b/>
          <w:sz w:val="26"/>
          <w:szCs w:val="26"/>
          <w:u w:val="single"/>
          <w:lang w:eastAsia="es-MX"/>
        </w:rPr>
        <w:t>Fiscalía</w:t>
      </w:r>
      <w:r w:rsidR="001F082C" w:rsidRPr="00907C18">
        <w:rPr>
          <w:rFonts w:cs="Arial"/>
          <w:b/>
          <w:sz w:val="26"/>
          <w:szCs w:val="26"/>
          <w:u w:val="single"/>
          <w:lang w:eastAsia="es-MX"/>
        </w:rPr>
        <w:t xml:space="preserve"> </w:t>
      </w:r>
      <w:r w:rsidR="0091663D" w:rsidRPr="00907C18">
        <w:rPr>
          <w:rFonts w:cs="Arial"/>
          <w:b/>
          <w:sz w:val="26"/>
          <w:szCs w:val="26"/>
          <w:u w:val="single"/>
          <w:lang w:eastAsia="es-MX"/>
        </w:rPr>
        <w:t>G</w:t>
      </w:r>
      <w:r w:rsidR="001F082C" w:rsidRPr="00907C18">
        <w:rPr>
          <w:rFonts w:cs="Arial"/>
          <w:b/>
          <w:sz w:val="26"/>
          <w:szCs w:val="26"/>
          <w:u w:val="single"/>
          <w:lang w:eastAsia="es-MX"/>
        </w:rPr>
        <w:t xml:space="preserve">eneral del </w:t>
      </w:r>
      <w:r w:rsidR="0091663D" w:rsidRPr="00907C18">
        <w:rPr>
          <w:rFonts w:cs="Arial"/>
          <w:b/>
          <w:sz w:val="26"/>
          <w:szCs w:val="26"/>
          <w:u w:val="single"/>
          <w:lang w:eastAsia="es-MX"/>
        </w:rPr>
        <w:t>E</w:t>
      </w:r>
      <w:r w:rsidR="001F082C" w:rsidRPr="00907C18">
        <w:rPr>
          <w:rFonts w:cs="Arial"/>
          <w:b/>
          <w:sz w:val="26"/>
          <w:szCs w:val="26"/>
          <w:u w:val="single"/>
          <w:lang w:eastAsia="es-MX"/>
        </w:rPr>
        <w:t>stado</w:t>
      </w:r>
      <w:r w:rsidR="0091663D" w:rsidRPr="00907C18">
        <w:rPr>
          <w:rFonts w:cs="Arial"/>
          <w:b/>
          <w:sz w:val="26"/>
          <w:szCs w:val="26"/>
          <w:u w:val="single"/>
          <w:lang w:eastAsia="es-MX"/>
        </w:rPr>
        <w:t>.</w:t>
      </w:r>
      <w:r w:rsidR="00A23530" w:rsidRPr="00907C18">
        <w:rPr>
          <w:rFonts w:cs="Arial"/>
          <w:b/>
          <w:sz w:val="26"/>
          <w:szCs w:val="26"/>
          <w:u w:val="single"/>
          <w:lang w:eastAsia="es-MX"/>
        </w:rPr>
        <w:t xml:space="preserve"> </w:t>
      </w:r>
    </w:p>
    <w:p w14:paraId="26F93958" w14:textId="77777777" w:rsidR="008D5C3D" w:rsidRPr="00907C18" w:rsidRDefault="008D5C3D" w:rsidP="008B2BF5">
      <w:pPr>
        <w:spacing w:line="360" w:lineRule="auto"/>
        <w:rPr>
          <w:rFonts w:cs="Arial"/>
          <w:sz w:val="26"/>
          <w:szCs w:val="26"/>
          <w:lang w:eastAsia="es-MX"/>
        </w:rPr>
      </w:pPr>
    </w:p>
    <w:p w14:paraId="42199C44" w14:textId="77777777" w:rsidR="0091663D" w:rsidRPr="00907C18" w:rsidRDefault="008575DC" w:rsidP="008B2BF5">
      <w:pPr>
        <w:spacing w:line="360" w:lineRule="auto"/>
        <w:rPr>
          <w:rFonts w:cs="Arial"/>
          <w:sz w:val="26"/>
          <w:szCs w:val="26"/>
          <w:lang w:eastAsia="es-MX"/>
        </w:rPr>
      </w:pPr>
      <w:r w:rsidRPr="00907C18">
        <w:rPr>
          <w:rFonts w:cs="Arial"/>
          <w:sz w:val="26"/>
          <w:szCs w:val="26"/>
          <w:lang w:eastAsia="es-MX"/>
        </w:rPr>
        <w:t xml:space="preserve">Lo anterior se </w:t>
      </w:r>
      <w:r w:rsidR="006540AC" w:rsidRPr="00907C18">
        <w:rPr>
          <w:rFonts w:cs="Arial"/>
          <w:sz w:val="26"/>
          <w:szCs w:val="26"/>
          <w:lang w:eastAsia="es-MX"/>
        </w:rPr>
        <w:t>estima</w:t>
      </w:r>
      <w:r w:rsidRPr="00907C18">
        <w:rPr>
          <w:rFonts w:cs="Arial"/>
          <w:sz w:val="26"/>
          <w:szCs w:val="26"/>
          <w:lang w:eastAsia="es-MX"/>
        </w:rPr>
        <w:t xml:space="preserve"> oportuno y necesario, dado que actualmente los rubros de salud y educación son las </w:t>
      </w:r>
      <w:r w:rsidR="00CA0F09" w:rsidRPr="00907C18">
        <w:rPr>
          <w:rFonts w:cs="Arial"/>
          <w:sz w:val="26"/>
          <w:szCs w:val="26"/>
          <w:lang w:eastAsia="es-MX"/>
        </w:rPr>
        <w:t>áreas</w:t>
      </w:r>
      <w:r w:rsidRPr="00907C18">
        <w:rPr>
          <w:rFonts w:cs="Arial"/>
          <w:sz w:val="26"/>
          <w:szCs w:val="26"/>
          <w:lang w:eastAsia="es-MX"/>
        </w:rPr>
        <w:t xml:space="preserve"> </w:t>
      </w:r>
      <w:r w:rsidR="00CA0F09" w:rsidRPr="00907C18">
        <w:rPr>
          <w:rFonts w:cs="Arial"/>
          <w:sz w:val="26"/>
          <w:szCs w:val="26"/>
          <w:lang w:eastAsia="es-MX"/>
        </w:rPr>
        <w:t>gubernamentales</w:t>
      </w:r>
      <w:r w:rsidRPr="00907C18">
        <w:rPr>
          <w:rFonts w:cs="Arial"/>
          <w:sz w:val="26"/>
          <w:szCs w:val="26"/>
          <w:lang w:eastAsia="es-MX"/>
        </w:rPr>
        <w:t xml:space="preserve"> </w:t>
      </w:r>
      <w:r w:rsidR="00CA0F09" w:rsidRPr="00907C18">
        <w:rPr>
          <w:rFonts w:cs="Arial"/>
          <w:sz w:val="26"/>
          <w:szCs w:val="26"/>
          <w:lang w:eastAsia="es-MX"/>
        </w:rPr>
        <w:t>más</w:t>
      </w:r>
      <w:r w:rsidRPr="00907C18">
        <w:rPr>
          <w:rFonts w:cs="Arial"/>
          <w:sz w:val="26"/>
          <w:szCs w:val="26"/>
          <w:lang w:eastAsia="es-MX"/>
        </w:rPr>
        <w:t xml:space="preserve"> sentidas de los ciudadanos, sin menospreciar las acciones de tipo comunitario que desarrollan tanto la </w:t>
      </w:r>
      <w:r w:rsidR="00911918" w:rsidRPr="00907C18">
        <w:rPr>
          <w:rFonts w:cs="Arial"/>
          <w:sz w:val="26"/>
          <w:szCs w:val="26"/>
          <w:lang w:eastAsia="es-MX"/>
        </w:rPr>
        <w:t>S</w:t>
      </w:r>
      <w:r w:rsidR="00CA0F09" w:rsidRPr="00907C18">
        <w:rPr>
          <w:rFonts w:cs="Arial"/>
          <w:sz w:val="26"/>
          <w:szCs w:val="26"/>
          <w:lang w:eastAsia="es-MX"/>
        </w:rPr>
        <w:t>ecretarias</w:t>
      </w:r>
      <w:r w:rsidRPr="00907C18">
        <w:rPr>
          <w:rFonts w:cs="Arial"/>
          <w:sz w:val="26"/>
          <w:szCs w:val="26"/>
          <w:lang w:eastAsia="es-MX"/>
        </w:rPr>
        <w:t xml:space="preserve"> de </w:t>
      </w:r>
      <w:r w:rsidR="002170B7" w:rsidRPr="00907C18">
        <w:rPr>
          <w:rFonts w:cs="Arial"/>
          <w:sz w:val="26"/>
          <w:szCs w:val="26"/>
          <w:lang w:eastAsia="es-MX"/>
        </w:rPr>
        <w:t>Inclusión</w:t>
      </w:r>
      <w:r w:rsidR="00911918" w:rsidRPr="00907C18">
        <w:rPr>
          <w:rFonts w:cs="Arial"/>
          <w:sz w:val="26"/>
          <w:szCs w:val="26"/>
          <w:lang w:eastAsia="es-MX"/>
        </w:rPr>
        <w:t xml:space="preserve"> y D</w:t>
      </w:r>
      <w:r w:rsidRPr="00907C18">
        <w:rPr>
          <w:rFonts w:cs="Arial"/>
          <w:sz w:val="26"/>
          <w:szCs w:val="26"/>
          <w:lang w:eastAsia="es-MX"/>
        </w:rPr>
        <w:t xml:space="preserve">esarrollo </w:t>
      </w:r>
      <w:r w:rsidR="00911918" w:rsidRPr="00907C18">
        <w:rPr>
          <w:rFonts w:cs="Arial"/>
          <w:sz w:val="26"/>
          <w:szCs w:val="26"/>
          <w:lang w:eastAsia="es-MX"/>
        </w:rPr>
        <w:t>S</w:t>
      </w:r>
      <w:r w:rsidRPr="00907C18">
        <w:rPr>
          <w:rFonts w:cs="Arial"/>
          <w:sz w:val="26"/>
          <w:szCs w:val="26"/>
          <w:lang w:eastAsia="es-MX"/>
        </w:rPr>
        <w:t xml:space="preserve">ocial, la de </w:t>
      </w:r>
      <w:r w:rsidR="00911918" w:rsidRPr="00907C18">
        <w:rPr>
          <w:rFonts w:cs="Arial"/>
          <w:sz w:val="26"/>
          <w:szCs w:val="26"/>
          <w:lang w:eastAsia="es-MX"/>
        </w:rPr>
        <w:t>S</w:t>
      </w:r>
      <w:r w:rsidRPr="00907C18">
        <w:rPr>
          <w:rFonts w:cs="Arial"/>
          <w:sz w:val="26"/>
          <w:szCs w:val="26"/>
          <w:lang w:eastAsia="es-MX"/>
        </w:rPr>
        <w:t xml:space="preserve">eguridad </w:t>
      </w:r>
      <w:r w:rsidR="00911918" w:rsidRPr="00907C18">
        <w:rPr>
          <w:rFonts w:cs="Arial"/>
          <w:sz w:val="26"/>
          <w:szCs w:val="26"/>
          <w:lang w:eastAsia="es-MX"/>
        </w:rPr>
        <w:t>P</w:t>
      </w:r>
      <w:r w:rsidR="00CA0F09" w:rsidRPr="00907C18">
        <w:rPr>
          <w:rFonts w:cs="Arial"/>
          <w:sz w:val="26"/>
          <w:szCs w:val="26"/>
          <w:lang w:eastAsia="es-MX"/>
        </w:rPr>
        <w:t>ública</w:t>
      </w:r>
      <w:r w:rsidRPr="00907C18">
        <w:rPr>
          <w:rFonts w:cs="Arial"/>
          <w:sz w:val="26"/>
          <w:szCs w:val="26"/>
          <w:lang w:eastAsia="es-MX"/>
        </w:rPr>
        <w:t xml:space="preserve"> y la de </w:t>
      </w:r>
      <w:r w:rsidR="00911918" w:rsidRPr="00907C18">
        <w:rPr>
          <w:rFonts w:cs="Arial"/>
          <w:sz w:val="26"/>
          <w:szCs w:val="26"/>
          <w:lang w:eastAsia="es-MX"/>
        </w:rPr>
        <w:t>P</w:t>
      </w:r>
      <w:r w:rsidRPr="00907C18">
        <w:rPr>
          <w:rFonts w:cs="Arial"/>
          <w:sz w:val="26"/>
          <w:szCs w:val="26"/>
          <w:lang w:eastAsia="es-MX"/>
        </w:rPr>
        <w:t xml:space="preserve">rocuración de </w:t>
      </w:r>
      <w:r w:rsidR="00911918" w:rsidRPr="00907C18">
        <w:rPr>
          <w:rFonts w:cs="Arial"/>
          <w:sz w:val="26"/>
          <w:szCs w:val="26"/>
          <w:lang w:eastAsia="es-MX"/>
        </w:rPr>
        <w:t>J</w:t>
      </w:r>
      <w:r w:rsidRPr="00907C18">
        <w:rPr>
          <w:rFonts w:cs="Arial"/>
          <w:sz w:val="26"/>
          <w:szCs w:val="26"/>
          <w:lang w:eastAsia="es-MX"/>
        </w:rPr>
        <w:t>usticia</w:t>
      </w:r>
      <w:r w:rsidR="00CA0F09" w:rsidRPr="00907C18">
        <w:rPr>
          <w:rFonts w:cs="Arial"/>
          <w:sz w:val="26"/>
          <w:szCs w:val="26"/>
          <w:lang w:eastAsia="es-MX"/>
        </w:rPr>
        <w:t xml:space="preserve"> a través de la </w:t>
      </w:r>
      <w:r w:rsidR="000F75CA" w:rsidRPr="00907C18">
        <w:rPr>
          <w:rFonts w:cs="Arial"/>
          <w:sz w:val="26"/>
          <w:szCs w:val="26"/>
          <w:lang w:eastAsia="es-MX"/>
        </w:rPr>
        <w:t>Fiscalía</w:t>
      </w:r>
      <w:r w:rsidR="00CA0F09" w:rsidRPr="00907C18">
        <w:rPr>
          <w:rFonts w:cs="Arial"/>
          <w:sz w:val="26"/>
          <w:szCs w:val="26"/>
          <w:lang w:eastAsia="es-MX"/>
        </w:rPr>
        <w:t xml:space="preserve"> General</w:t>
      </w:r>
      <w:r w:rsidRPr="00907C18">
        <w:rPr>
          <w:rFonts w:cs="Arial"/>
          <w:sz w:val="26"/>
          <w:szCs w:val="26"/>
          <w:lang w:eastAsia="es-MX"/>
        </w:rPr>
        <w:t xml:space="preserve">, quienes como es de nuestro conocimiento pueden </w:t>
      </w:r>
      <w:proofErr w:type="spellStart"/>
      <w:r w:rsidRPr="00907C18">
        <w:rPr>
          <w:rFonts w:cs="Arial"/>
          <w:sz w:val="26"/>
          <w:szCs w:val="26"/>
          <w:lang w:eastAsia="es-MX"/>
        </w:rPr>
        <w:t>accesar</w:t>
      </w:r>
      <w:proofErr w:type="spellEnd"/>
      <w:r w:rsidRPr="00907C18">
        <w:rPr>
          <w:rFonts w:cs="Arial"/>
          <w:sz w:val="26"/>
          <w:szCs w:val="26"/>
          <w:lang w:eastAsia="es-MX"/>
        </w:rPr>
        <w:t xml:space="preserve"> a diversos recursos en sus respectivos r</w:t>
      </w:r>
      <w:r w:rsidR="002170B7" w:rsidRPr="00907C18">
        <w:rPr>
          <w:rFonts w:cs="Arial"/>
          <w:sz w:val="26"/>
          <w:szCs w:val="26"/>
          <w:lang w:eastAsia="es-MX"/>
        </w:rPr>
        <w:t>amos</w:t>
      </w:r>
      <w:r w:rsidR="000F75CA" w:rsidRPr="00907C18">
        <w:rPr>
          <w:rFonts w:cs="Arial"/>
          <w:sz w:val="26"/>
          <w:szCs w:val="26"/>
          <w:lang w:eastAsia="es-MX"/>
        </w:rPr>
        <w:t>,</w:t>
      </w:r>
      <w:r w:rsidRPr="00907C18">
        <w:rPr>
          <w:rFonts w:cs="Arial"/>
          <w:sz w:val="26"/>
          <w:szCs w:val="26"/>
          <w:lang w:eastAsia="es-MX"/>
        </w:rPr>
        <w:t xml:space="preserve"> de ahí, que </w:t>
      </w:r>
      <w:r w:rsidR="000F75CA" w:rsidRPr="00907C18">
        <w:rPr>
          <w:rFonts w:cs="Arial"/>
          <w:sz w:val="26"/>
          <w:szCs w:val="26"/>
          <w:lang w:eastAsia="es-MX"/>
        </w:rPr>
        <w:t xml:space="preserve">la distribución que se plantea en esta iniciativa resulte </w:t>
      </w:r>
      <w:r w:rsidR="00A34A28" w:rsidRPr="00907C18">
        <w:rPr>
          <w:rFonts w:cs="Arial"/>
          <w:sz w:val="26"/>
          <w:szCs w:val="26"/>
          <w:lang w:eastAsia="es-MX"/>
        </w:rPr>
        <w:t>más</w:t>
      </w:r>
      <w:r w:rsidR="000F75CA" w:rsidRPr="00907C18">
        <w:rPr>
          <w:rFonts w:cs="Arial"/>
          <w:sz w:val="26"/>
          <w:szCs w:val="26"/>
          <w:lang w:eastAsia="es-MX"/>
        </w:rPr>
        <w:t xml:space="preserve"> benévola para el sentir de los coahuilenses, en </w:t>
      </w:r>
      <w:r w:rsidR="006540AC" w:rsidRPr="00907C18">
        <w:rPr>
          <w:rFonts w:cs="Arial"/>
          <w:sz w:val="26"/>
          <w:szCs w:val="26"/>
          <w:lang w:eastAsia="es-MX"/>
        </w:rPr>
        <w:t>l</w:t>
      </w:r>
      <w:r w:rsidR="000F75CA" w:rsidRPr="00907C18">
        <w:rPr>
          <w:rFonts w:cs="Arial"/>
          <w:sz w:val="26"/>
          <w:szCs w:val="26"/>
          <w:lang w:eastAsia="es-MX"/>
        </w:rPr>
        <w:t xml:space="preserve">o que corresponde </w:t>
      </w:r>
      <w:r w:rsidR="006540AC" w:rsidRPr="00907C18">
        <w:rPr>
          <w:rFonts w:cs="Arial"/>
          <w:sz w:val="26"/>
          <w:szCs w:val="26"/>
          <w:lang w:eastAsia="es-MX"/>
        </w:rPr>
        <w:t xml:space="preserve">a </w:t>
      </w:r>
      <w:r w:rsidR="000F75CA" w:rsidRPr="00907C18">
        <w:rPr>
          <w:rFonts w:cs="Arial"/>
          <w:sz w:val="26"/>
          <w:szCs w:val="26"/>
          <w:lang w:eastAsia="es-MX"/>
        </w:rPr>
        <w:t xml:space="preserve">la </w:t>
      </w:r>
      <w:r w:rsidR="006540AC" w:rsidRPr="00907C18">
        <w:rPr>
          <w:rFonts w:cs="Arial"/>
          <w:sz w:val="26"/>
          <w:szCs w:val="26"/>
          <w:lang w:eastAsia="es-MX"/>
        </w:rPr>
        <w:t xml:space="preserve">aplicación </w:t>
      </w:r>
      <w:r w:rsidR="006540AC" w:rsidRPr="00907C18">
        <w:rPr>
          <w:rFonts w:cs="Arial"/>
          <w:sz w:val="26"/>
          <w:szCs w:val="26"/>
          <w:lang w:eastAsia="es-MX"/>
        </w:rPr>
        <w:lastRenderedPageBreak/>
        <w:t xml:space="preserve">a favor del </w:t>
      </w:r>
      <w:r w:rsidR="00F66487" w:rsidRPr="00907C18">
        <w:rPr>
          <w:rFonts w:cs="Arial"/>
          <w:sz w:val="26"/>
          <w:szCs w:val="26"/>
          <w:lang w:eastAsia="es-MX"/>
        </w:rPr>
        <w:t>E</w:t>
      </w:r>
      <w:r w:rsidR="006540AC" w:rsidRPr="00907C18">
        <w:rPr>
          <w:rFonts w:cs="Arial"/>
          <w:sz w:val="26"/>
          <w:szCs w:val="26"/>
          <w:lang w:eastAsia="es-MX"/>
        </w:rPr>
        <w:t xml:space="preserve">stado de los bienes que provengan de hechos ilícitos, </w:t>
      </w:r>
      <w:r w:rsidR="00A34A28" w:rsidRPr="00907C18">
        <w:rPr>
          <w:rFonts w:cs="Arial"/>
          <w:sz w:val="26"/>
          <w:szCs w:val="26"/>
          <w:lang w:eastAsia="es-MX"/>
        </w:rPr>
        <w:t xml:space="preserve">con motivo de la </w:t>
      </w:r>
      <w:r w:rsidR="008D5C3D" w:rsidRPr="00907C18">
        <w:rPr>
          <w:rFonts w:cs="Arial"/>
          <w:sz w:val="26"/>
          <w:szCs w:val="26"/>
          <w:lang w:eastAsia="es-MX"/>
        </w:rPr>
        <w:t>acción</w:t>
      </w:r>
      <w:r w:rsidR="00A34A28" w:rsidRPr="00907C18">
        <w:rPr>
          <w:rFonts w:cs="Arial"/>
          <w:sz w:val="26"/>
          <w:szCs w:val="26"/>
          <w:lang w:eastAsia="es-MX"/>
        </w:rPr>
        <w:t xml:space="preserve"> de </w:t>
      </w:r>
      <w:r w:rsidR="008D5C3D" w:rsidRPr="00907C18">
        <w:rPr>
          <w:rFonts w:cs="Arial"/>
          <w:sz w:val="26"/>
          <w:szCs w:val="26"/>
          <w:lang w:eastAsia="es-MX"/>
        </w:rPr>
        <w:t>extinción</w:t>
      </w:r>
      <w:r w:rsidR="00A34A28" w:rsidRPr="00907C18">
        <w:rPr>
          <w:rFonts w:cs="Arial"/>
          <w:sz w:val="26"/>
          <w:szCs w:val="26"/>
          <w:lang w:eastAsia="es-MX"/>
        </w:rPr>
        <w:t xml:space="preserve"> de dominio decretadas por la autoridad judicial correspondiente, para que tales fondos </w:t>
      </w:r>
      <w:r w:rsidR="006540AC" w:rsidRPr="00907C18">
        <w:rPr>
          <w:rFonts w:cs="Arial"/>
          <w:sz w:val="26"/>
          <w:szCs w:val="26"/>
          <w:lang w:eastAsia="es-MX"/>
        </w:rPr>
        <w:t xml:space="preserve">sean aplicados en </w:t>
      </w:r>
      <w:r w:rsidR="00F66487" w:rsidRPr="00907C18">
        <w:rPr>
          <w:rFonts w:cs="Arial"/>
          <w:sz w:val="26"/>
          <w:szCs w:val="26"/>
          <w:lang w:eastAsia="es-MX"/>
        </w:rPr>
        <w:t xml:space="preserve">un </w:t>
      </w:r>
      <w:r w:rsidR="006540AC" w:rsidRPr="00907C18">
        <w:rPr>
          <w:rFonts w:cs="Arial"/>
          <w:sz w:val="26"/>
          <w:szCs w:val="26"/>
          <w:lang w:eastAsia="es-MX"/>
        </w:rPr>
        <w:t xml:space="preserve">mayor porcentaje </w:t>
      </w:r>
      <w:r w:rsidR="00F66487" w:rsidRPr="00907C18">
        <w:rPr>
          <w:rFonts w:cs="Arial"/>
          <w:sz w:val="26"/>
          <w:szCs w:val="26"/>
          <w:lang w:eastAsia="es-MX"/>
        </w:rPr>
        <w:t>al</w:t>
      </w:r>
      <w:r w:rsidR="006540AC" w:rsidRPr="00907C18">
        <w:rPr>
          <w:rFonts w:cs="Arial"/>
          <w:sz w:val="26"/>
          <w:szCs w:val="26"/>
          <w:lang w:eastAsia="es-MX"/>
        </w:rPr>
        <w:t xml:space="preserve"> beneficio de </w:t>
      </w:r>
      <w:r w:rsidR="008D5C3D" w:rsidRPr="00907C18">
        <w:rPr>
          <w:rFonts w:cs="Arial"/>
          <w:sz w:val="26"/>
          <w:szCs w:val="26"/>
          <w:lang w:eastAsia="es-MX"/>
        </w:rPr>
        <w:t xml:space="preserve">la </w:t>
      </w:r>
      <w:r w:rsidR="006540AC" w:rsidRPr="00907C18">
        <w:rPr>
          <w:rFonts w:cs="Arial"/>
          <w:sz w:val="26"/>
          <w:szCs w:val="26"/>
          <w:lang w:eastAsia="es-MX"/>
        </w:rPr>
        <w:t xml:space="preserve">protección de la salud y la mejora en la educación de los coahuilenses. </w:t>
      </w:r>
    </w:p>
    <w:p w14:paraId="6B8CB87D" w14:textId="77777777" w:rsidR="00F90570" w:rsidRPr="00907C18" w:rsidRDefault="00F90570" w:rsidP="008B2BF5">
      <w:pPr>
        <w:spacing w:line="360" w:lineRule="auto"/>
        <w:rPr>
          <w:rFonts w:cs="Arial"/>
          <w:sz w:val="26"/>
          <w:szCs w:val="26"/>
          <w:lang w:eastAsia="es-MX"/>
        </w:rPr>
      </w:pPr>
    </w:p>
    <w:p w14:paraId="108E80CF" w14:textId="77777777" w:rsidR="00407DA1" w:rsidRPr="00907C18" w:rsidRDefault="00F66487" w:rsidP="007C00F0">
      <w:pPr>
        <w:spacing w:line="360" w:lineRule="auto"/>
        <w:rPr>
          <w:rFonts w:cs="Arial"/>
          <w:sz w:val="26"/>
          <w:szCs w:val="26"/>
          <w:lang w:eastAsia="es-MX"/>
        </w:rPr>
      </w:pPr>
      <w:r w:rsidRPr="00907C18">
        <w:rPr>
          <w:rFonts w:cs="Arial"/>
          <w:sz w:val="26"/>
          <w:szCs w:val="26"/>
          <w:lang w:eastAsia="es-MX"/>
        </w:rPr>
        <w:t xml:space="preserve">En ese mismo tenor, resulta conveniente dejar expresamente establecido en dicho ordenamiento jurídico, que el Ministerio </w:t>
      </w:r>
      <w:r w:rsidR="00821F7A" w:rsidRPr="00907C18">
        <w:rPr>
          <w:rFonts w:cs="Arial"/>
          <w:sz w:val="26"/>
          <w:szCs w:val="26"/>
          <w:lang w:eastAsia="es-MX"/>
        </w:rPr>
        <w:t>Público</w:t>
      </w:r>
      <w:r w:rsidRPr="00907C18">
        <w:rPr>
          <w:rFonts w:cs="Arial"/>
          <w:sz w:val="26"/>
          <w:szCs w:val="26"/>
          <w:lang w:eastAsia="es-MX"/>
        </w:rPr>
        <w:t xml:space="preserve"> </w:t>
      </w:r>
      <w:r w:rsidR="007C00F0" w:rsidRPr="00907C18">
        <w:rPr>
          <w:rFonts w:cs="Arial"/>
          <w:sz w:val="26"/>
          <w:szCs w:val="26"/>
        </w:rPr>
        <w:t xml:space="preserve">podrá desistirse de la acción de extinción de dominio, solo cuando existan las causas lógico jurídicas que justifiquen tal actuación, y dichas circunstancias sean expresadas fundadamente en tal determinación, </w:t>
      </w:r>
      <w:r w:rsidR="00BC1136" w:rsidRPr="00907C18">
        <w:rPr>
          <w:rFonts w:cs="Arial"/>
          <w:sz w:val="26"/>
          <w:szCs w:val="26"/>
          <w:lang w:eastAsia="es-MX"/>
        </w:rPr>
        <w:t>de ahí,</w:t>
      </w:r>
      <w:r w:rsidR="007C00F0" w:rsidRPr="00907C18">
        <w:rPr>
          <w:rFonts w:cs="Arial"/>
          <w:sz w:val="26"/>
          <w:szCs w:val="26"/>
          <w:lang w:eastAsia="es-MX"/>
        </w:rPr>
        <w:t xml:space="preserve"> </w:t>
      </w:r>
      <w:proofErr w:type="gramStart"/>
      <w:r w:rsidR="007C00F0" w:rsidRPr="00907C18">
        <w:rPr>
          <w:rFonts w:cs="Arial"/>
          <w:sz w:val="26"/>
          <w:szCs w:val="26"/>
          <w:lang w:eastAsia="es-MX"/>
        </w:rPr>
        <w:t>que</w:t>
      </w:r>
      <w:proofErr w:type="gramEnd"/>
      <w:r w:rsidR="00407DA1" w:rsidRPr="00907C18">
        <w:rPr>
          <w:rFonts w:cs="Arial"/>
          <w:sz w:val="26"/>
          <w:szCs w:val="26"/>
          <w:lang w:eastAsia="es-MX"/>
        </w:rPr>
        <w:t xml:space="preserve"> por las razones anteriormente expuestas, </w:t>
      </w:r>
      <w:r w:rsidR="000A27A9" w:rsidRPr="00907C18">
        <w:rPr>
          <w:rFonts w:cs="Arial"/>
          <w:sz w:val="26"/>
          <w:szCs w:val="26"/>
          <w:lang w:eastAsia="es-MX"/>
        </w:rPr>
        <w:t>p</w:t>
      </w:r>
      <w:r w:rsidR="00407DA1" w:rsidRPr="00907C18">
        <w:rPr>
          <w:rFonts w:cs="Arial"/>
          <w:sz w:val="26"/>
          <w:szCs w:val="26"/>
          <w:lang w:eastAsia="es-MX"/>
        </w:rPr>
        <w:t>on</w:t>
      </w:r>
      <w:r w:rsidR="000A27A9" w:rsidRPr="00907C18">
        <w:rPr>
          <w:rFonts w:cs="Arial"/>
          <w:sz w:val="26"/>
          <w:szCs w:val="26"/>
          <w:lang w:eastAsia="es-MX"/>
        </w:rPr>
        <w:t>ga</w:t>
      </w:r>
      <w:r w:rsidR="00407DA1" w:rsidRPr="00907C18">
        <w:rPr>
          <w:rFonts w:cs="Arial"/>
          <w:sz w:val="26"/>
          <w:szCs w:val="26"/>
          <w:lang w:eastAsia="es-MX"/>
        </w:rPr>
        <w:t xml:space="preserve"> a consideración de esta </w:t>
      </w:r>
      <w:r w:rsidR="008004CD" w:rsidRPr="00907C18">
        <w:rPr>
          <w:rFonts w:cs="Arial"/>
          <w:sz w:val="26"/>
          <w:szCs w:val="26"/>
          <w:lang w:eastAsia="es-MX"/>
        </w:rPr>
        <w:t>Soberanía</w:t>
      </w:r>
      <w:r w:rsidR="00407DA1" w:rsidRPr="00907C18">
        <w:rPr>
          <w:rFonts w:cs="Arial"/>
          <w:sz w:val="26"/>
          <w:szCs w:val="26"/>
          <w:lang w:eastAsia="es-MX"/>
        </w:rPr>
        <w:t xml:space="preserve"> la presente Iniciativa con Proyecto de: </w:t>
      </w:r>
    </w:p>
    <w:p w14:paraId="45F0402B" w14:textId="77777777" w:rsidR="00407DA1" w:rsidRPr="00907C18" w:rsidRDefault="00407DA1" w:rsidP="00407DA1">
      <w:pPr>
        <w:tabs>
          <w:tab w:val="left" w:pos="4820"/>
        </w:tabs>
        <w:spacing w:line="360" w:lineRule="auto"/>
        <w:rPr>
          <w:rFonts w:cs="Arial"/>
          <w:sz w:val="26"/>
          <w:szCs w:val="26"/>
        </w:rPr>
      </w:pPr>
    </w:p>
    <w:p w14:paraId="40E79BE2" w14:textId="77777777" w:rsidR="00AF6E34" w:rsidRPr="00907C18" w:rsidRDefault="00AF6E34" w:rsidP="00407DA1">
      <w:pPr>
        <w:jc w:val="center"/>
        <w:rPr>
          <w:rFonts w:cs="Arial"/>
          <w:b/>
          <w:sz w:val="26"/>
          <w:szCs w:val="26"/>
        </w:rPr>
      </w:pPr>
    </w:p>
    <w:p w14:paraId="10541076" w14:textId="77777777" w:rsidR="00407DA1" w:rsidRPr="00907C18" w:rsidRDefault="00407DA1" w:rsidP="00407DA1">
      <w:pPr>
        <w:jc w:val="center"/>
        <w:rPr>
          <w:rFonts w:cs="Arial"/>
          <w:b/>
          <w:sz w:val="26"/>
          <w:szCs w:val="26"/>
        </w:rPr>
      </w:pPr>
      <w:r w:rsidRPr="00907C18">
        <w:rPr>
          <w:rFonts w:cs="Arial"/>
          <w:b/>
          <w:sz w:val="26"/>
          <w:szCs w:val="26"/>
        </w:rPr>
        <w:t>DECRETO</w:t>
      </w:r>
      <w:r w:rsidR="000A27A9" w:rsidRPr="00907C18">
        <w:rPr>
          <w:rFonts w:cs="Arial"/>
          <w:b/>
          <w:sz w:val="26"/>
          <w:szCs w:val="26"/>
        </w:rPr>
        <w:t>:</w:t>
      </w:r>
    </w:p>
    <w:p w14:paraId="04082CCD" w14:textId="77777777" w:rsidR="000A27A9" w:rsidRPr="00907C18" w:rsidRDefault="000A27A9" w:rsidP="00407DA1">
      <w:pPr>
        <w:jc w:val="center"/>
        <w:rPr>
          <w:rFonts w:cs="Arial"/>
          <w:b/>
          <w:sz w:val="26"/>
          <w:szCs w:val="26"/>
        </w:rPr>
      </w:pPr>
    </w:p>
    <w:p w14:paraId="48AB7536" w14:textId="77777777" w:rsidR="000A27A9" w:rsidRPr="00907C18" w:rsidRDefault="000A27A9" w:rsidP="00407DA1">
      <w:pPr>
        <w:jc w:val="center"/>
        <w:rPr>
          <w:rFonts w:cs="Arial"/>
          <w:b/>
          <w:sz w:val="26"/>
          <w:szCs w:val="26"/>
        </w:rPr>
      </w:pPr>
    </w:p>
    <w:p w14:paraId="74BC700E" w14:textId="77777777" w:rsidR="00407DA1" w:rsidRPr="00907C18" w:rsidRDefault="00407DA1" w:rsidP="00A251F2">
      <w:pPr>
        <w:rPr>
          <w:rFonts w:cs="Arial"/>
          <w:b/>
          <w:sz w:val="26"/>
          <w:szCs w:val="26"/>
        </w:rPr>
      </w:pPr>
      <w:r w:rsidRPr="00907C18">
        <w:rPr>
          <w:rFonts w:cs="Arial"/>
          <w:b/>
          <w:sz w:val="26"/>
          <w:szCs w:val="26"/>
        </w:rPr>
        <w:t xml:space="preserve">ARTÍCULO ÚNICO. -  SE </w:t>
      </w:r>
      <w:r w:rsidR="00AF6E34" w:rsidRPr="00907C18">
        <w:rPr>
          <w:rFonts w:cs="Arial"/>
          <w:b/>
          <w:sz w:val="26"/>
          <w:szCs w:val="26"/>
          <w:u w:val="single"/>
        </w:rPr>
        <w:t xml:space="preserve">REFORMA EL ARTÍCULO 4°; EL PÁRRAFO SEGUNDO DEL ARTÍCULO 6°, </w:t>
      </w:r>
      <w:r w:rsidR="009C075E" w:rsidRPr="00907C18">
        <w:rPr>
          <w:rFonts w:cs="Arial"/>
          <w:b/>
          <w:sz w:val="26"/>
          <w:szCs w:val="26"/>
          <w:u w:val="single"/>
        </w:rPr>
        <w:t xml:space="preserve">ASÍ COMO </w:t>
      </w:r>
      <w:r w:rsidR="00AF6E34" w:rsidRPr="00907C18">
        <w:rPr>
          <w:rFonts w:cs="Arial"/>
          <w:b/>
          <w:sz w:val="26"/>
          <w:szCs w:val="26"/>
          <w:u w:val="single"/>
        </w:rPr>
        <w:t>EL PÁRRAFO PRIMERO Y SEGUNDO DEL ARTÍCULO 61, DE LA LEY DE EXTINCIÓN DE DOMINIO DEL ESTADO DE COAHUILA DE ZARAGOZA,</w:t>
      </w:r>
      <w:r w:rsidRPr="00907C18">
        <w:rPr>
          <w:rFonts w:cs="Arial"/>
          <w:b/>
          <w:sz w:val="26"/>
          <w:szCs w:val="26"/>
        </w:rPr>
        <w:t xml:space="preserve"> PARA QUEDAR COMO SIGUE:</w:t>
      </w:r>
    </w:p>
    <w:p w14:paraId="7C23C850" w14:textId="77777777" w:rsidR="00870E31" w:rsidRPr="00907C18" w:rsidRDefault="00870E31" w:rsidP="00407DA1">
      <w:pPr>
        <w:rPr>
          <w:rFonts w:cs="Arial"/>
          <w:b/>
          <w:sz w:val="26"/>
          <w:szCs w:val="26"/>
        </w:rPr>
      </w:pPr>
    </w:p>
    <w:p w14:paraId="03C88F64" w14:textId="77777777" w:rsidR="00870E31" w:rsidRPr="00907C18" w:rsidRDefault="00870E31" w:rsidP="00870E31">
      <w:pPr>
        <w:ind w:left="397" w:hanging="397"/>
        <w:rPr>
          <w:rFonts w:ascii="Arial Narrow" w:eastAsia="Calibri" w:hAnsi="Arial Narrow" w:cs="Arial"/>
          <w:sz w:val="26"/>
          <w:szCs w:val="26"/>
        </w:rPr>
      </w:pPr>
    </w:p>
    <w:p w14:paraId="40319937" w14:textId="77777777" w:rsidR="00A251F2" w:rsidRPr="00907C18" w:rsidRDefault="00870E31" w:rsidP="00870E31">
      <w:pPr>
        <w:rPr>
          <w:rFonts w:eastAsia="Calibri" w:cs="Arial"/>
          <w:b/>
          <w:sz w:val="26"/>
          <w:szCs w:val="26"/>
        </w:rPr>
      </w:pPr>
      <w:r w:rsidRPr="00907C18">
        <w:rPr>
          <w:rFonts w:eastAsia="Calibri" w:cs="Arial"/>
          <w:b/>
          <w:sz w:val="26"/>
          <w:szCs w:val="26"/>
        </w:rPr>
        <w:t xml:space="preserve">Artículo </w:t>
      </w:r>
      <w:r w:rsidR="00A251F2" w:rsidRPr="00907C18">
        <w:rPr>
          <w:rFonts w:eastAsia="Calibri" w:cs="Arial"/>
          <w:b/>
          <w:sz w:val="26"/>
          <w:szCs w:val="26"/>
        </w:rPr>
        <w:t>4…</w:t>
      </w:r>
    </w:p>
    <w:p w14:paraId="49CF9B10" w14:textId="77777777" w:rsidR="009000A8" w:rsidRPr="00907C18" w:rsidRDefault="009000A8" w:rsidP="00870E31">
      <w:pPr>
        <w:rPr>
          <w:rFonts w:eastAsia="Calibri" w:cs="Arial"/>
          <w:b/>
          <w:sz w:val="26"/>
          <w:szCs w:val="26"/>
        </w:rPr>
      </w:pPr>
    </w:p>
    <w:p w14:paraId="3C7C849D" w14:textId="77777777" w:rsidR="00870E31" w:rsidRPr="00907C18" w:rsidRDefault="009000A8" w:rsidP="00230B14">
      <w:pPr>
        <w:rPr>
          <w:rFonts w:eastAsia="Calibri" w:cs="Arial"/>
          <w:sz w:val="26"/>
          <w:szCs w:val="26"/>
        </w:rPr>
      </w:pPr>
      <w:r w:rsidRPr="00907C18">
        <w:rPr>
          <w:rFonts w:eastAsia="Calibri" w:cs="Arial"/>
          <w:sz w:val="26"/>
          <w:szCs w:val="26"/>
        </w:rPr>
        <w:t xml:space="preserve">Los bienes sobre los que se declare la extinción de dominio se aplicaran en favor del </w:t>
      </w:r>
      <w:r w:rsidR="007810DF" w:rsidRPr="00907C18">
        <w:rPr>
          <w:rFonts w:eastAsia="Calibri" w:cs="Arial"/>
          <w:sz w:val="26"/>
          <w:szCs w:val="26"/>
        </w:rPr>
        <w:t>E</w:t>
      </w:r>
      <w:r w:rsidRPr="00907C18">
        <w:rPr>
          <w:rFonts w:eastAsia="Calibri" w:cs="Arial"/>
          <w:sz w:val="26"/>
          <w:szCs w:val="26"/>
        </w:rPr>
        <w:t>stado</w:t>
      </w:r>
      <w:r w:rsidR="007810DF" w:rsidRPr="00907C18">
        <w:rPr>
          <w:rFonts w:eastAsia="Calibri" w:cs="Arial"/>
          <w:sz w:val="26"/>
          <w:szCs w:val="26"/>
        </w:rPr>
        <w:t xml:space="preserve"> y </w:t>
      </w:r>
      <w:r w:rsidR="00265408" w:rsidRPr="00907C18">
        <w:rPr>
          <w:rFonts w:eastAsia="Calibri" w:cs="Arial"/>
          <w:sz w:val="26"/>
          <w:szCs w:val="26"/>
        </w:rPr>
        <w:t>serán</w:t>
      </w:r>
      <w:r w:rsidR="007810DF" w:rsidRPr="00907C18">
        <w:rPr>
          <w:rFonts w:eastAsia="Calibri" w:cs="Arial"/>
          <w:sz w:val="26"/>
          <w:szCs w:val="26"/>
        </w:rPr>
        <w:t xml:space="preserve"> destinados, mediante acuerdo del Titular del Ejecutivo, que se publique en el </w:t>
      </w:r>
      <w:r w:rsidR="00265408" w:rsidRPr="00907C18">
        <w:rPr>
          <w:rFonts w:eastAsia="Calibri" w:cs="Arial"/>
          <w:sz w:val="26"/>
          <w:szCs w:val="26"/>
        </w:rPr>
        <w:t>Periódico</w:t>
      </w:r>
      <w:r w:rsidR="007810DF" w:rsidRPr="00907C18">
        <w:rPr>
          <w:rFonts w:eastAsia="Calibri" w:cs="Arial"/>
          <w:sz w:val="26"/>
          <w:szCs w:val="26"/>
        </w:rPr>
        <w:t xml:space="preserve"> Oficial del Gobierno del Estado, </w:t>
      </w:r>
      <w:r w:rsidR="0026284B" w:rsidRPr="00907C18">
        <w:rPr>
          <w:rFonts w:eastAsia="Calibri" w:cs="Arial"/>
          <w:b/>
          <w:sz w:val="26"/>
          <w:szCs w:val="26"/>
          <w:u w:val="single"/>
        </w:rPr>
        <w:t xml:space="preserve">a la mejora de la </w:t>
      </w:r>
      <w:r w:rsidR="00230B14" w:rsidRPr="00907C18">
        <w:rPr>
          <w:rFonts w:eastAsia="Calibri" w:cs="Arial"/>
          <w:b/>
          <w:sz w:val="26"/>
          <w:szCs w:val="26"/>
          <w:u w:val="single"/>
        </w:rPr>
        <w:t>infraestructura</w:t>
      </w:r>
      <w:r w:rsidR="0026284B" w:rsidRPr="00907C18">
        <w:rPr>
          <w:rFonts w:eastAsia="Calibri" w:cs="Arial"/>
          <w:b/>
          <w:sz w:val="26"/>
          <w:szCs w:val="26"/>
          <w:u w:val="single"/>
        </w:rPr>
        <w:t xml:space="preserve"> y equipamiento </w:t>
      </w:r>
      <w:r w:rsidR="005E580B" w:rsidRPr="00907C18">
        <w:rPr>
          <w:rFonts w:eastAsia="Calibri" w:cs="Arial"/>
          <w:b/>
          <w:sz w:val="26"/>
          <w:szCs w:val="26"/>
          <w:u w:val="single"/>
        </w:rPr>
        <w:t xml:space="preserve">del </w:t>
      </w:r>
      <w:r w:rsidR="00230B14" w:rsidRPr="00907C18">
        <w:rPr>
          <w:rFonts w:eastAsia="Calibri" w:cs="Arial"/>
          <w:b/>
          <w:sz w:val="26"/>
          <w:szCs w:val="26"/>
          <w:u w:val="single"/>
        </w:rPr>
        <w:t>s</w:t>
      </w:r>
      <w:r w:rsidR="005E580B" w:rsidRPr="00907C18">
        <w:rPr>
          <w:rFonts w:eastAsia="Calibri" w:cs="Arial"/>
          <w:b/>
          <w:sz w:val="26"/>
          <w:szCs w:val="26"/>
          <w:u w:val="single"/>
        </w:rPr>
        <w:t xml:space="preserve">ector </w:t>
      </w:r>
      <w:r w:rsidR="00230B14" w:rsidRPr="00907C18">
        <w:rPr>
          <w:rFonts w:eastAsia="Calibri" w:cs="Arial"/>
          <w:b/>
          <w:sz w:val="26"/>
          <w:szCs w:val="26"/>
          <w:u w:val="single"/>
        </w:rPr>
        <w:t>s</w:t>
      </w:r>
      <w:r w:rsidR="005E580B" w:rsidRPr="00907C18">
        <w:rPr>
          <w:rFonts w:eastAsia="Calibri" w:cs="Arial"/>
          <w:b/>
          <w:sz w:val="26"/>
          <w:szCs w:val="26"/>
          <w:u w:val="single"/>
        </w:rPr>
        <w:t xml:space="preserve">alud, del </w:t>
      </w:r>
      <w:r w:rsidR="00230B14" w:rsidRPr="00907C18">
        <w:rPr>
          <w:rFonts w:eastAsia="Calibri" w:cs="Arial"/>
          <w:b/>
          <w:sz w:val="26"/>
          <w:szCs w:val="26"/>
          <w:u w:val="single"/>
        </w:rPr>
        <w:t>s</w:t>
      </w:r>
      <w:r w:rsidR="005E580B" w:rsidRPr="00907C18">
        <w:rPr>
          <w:rFonts w:eastAsia="Calibri" w:cs="Arial"/>
          <w:b/>
          <w:sz w:val="26"/>
          <w:szCs w:val="26"/>
          <w:u w:val="single"/>
        </w:rPr>
        <w:t xml:space="preserve">ector educativo, a los programas sociales de la Secretaria de </w:t>
      </w:r>
      <w:r w:rsidR="00086F37" w:rsidRPr="00907C18">
        <w:rPr>
          <w:rFonts w:eastAsia="Calibri" w:cs="Arial"/>
          <w:b/>
          <w:sz w:val="26"/>
          <w:szCs w:val="26"/>
          <w:u w:val="single"/>
        </w:rPr>
        <w:t>Inclusión</w:t>
      </w:r>
      <w:r w:rsidR="005E580B" w:rsidRPr="00907C18">
        <w:rPr>
          <w:rFonts w:eastAsia="Calibri" w:cs="Arial"/>
          <w:b/>
          <w:sz w:val="26"/>
          <w:szCs w:val="26"/>
          <w:u w:val="single"/>
        </w:rPr>
        <w:t xml:space="preserve"> y Desarrollo Social,</w:t>
      </w:r>
      <w:r w:rsidR="005E580B" w:rsidRPr="00907C18">
        <w:rPr>
          <w:rFonts w:eastAsia="Calibri" w:cs="Arial"/>
          <w:sz w:val="26"/>
          <w:szCs w:val="26"/>
        </w:rPr>
        <w:t xml:space="preserve"> </w:t>
      </w:r>
      <w:r w:rsidR="00265408" w:rsidRPr="00907C18">
        <w:rPr>
          <w:rFonts w:eastAsia="Calibri" w:cs="Arial"/>
          <w:sz w:val="26"/>
          <w:szCs w:val="26"/>
        </w:rPr>
        <w:t xml:space="preserve">la seguridad </w:t>
      </w:r>
      <w:r w:rsidR="00086F37" w:rsidRPr="00907C18">
        <w:rPr>
          <w:rFonts w:eastAsia="Calibri" w:cs="Arial"/>
          <w:sz w:val="26"/>
          <w:szCs w:val="26"/>
        </w:rPr>
        <w:t>pública</w:t>
      </w:r>
      <w:r w:rsidR="00265408" w:rsidRPr="00907C18">
        <w:rPr>
          <w:rFonts w:eastAsia="Calibri" w:cs="Arial"/>
          <w:sz w:val="26"/>
          <w:szCs w:val="26"/>
        </w:rPr>
        <w:t xml:space="preserve"> y la procuración de justicia.</w:t>
      </w:r>
      <w:r w:rsidR="005E580B" w:rsidRPr="00907C18">
        <w:rPr>
          <w:rFonts w:eastAsia="Calibri" w:cs="Arial"/>
          <w:sz w:val="26"/>
          <w:szCs w:val="26"/>
        </w:rPr>
        <w:t xml:space="preserve"> </w:t>
      </w:r>
    </w:p>
    <w:p w14:paraId="0FF83FAC" w14:textId="77777777" w:rsidR="00870E31" w:rsidRPr="00907C18" w:rsidRDefault="00870E31" w:rsidP="00407DA1">
      <w:pPr>
        <w:rPr>
          <w:rFonts w:cs="Arial"/>
          <w:b/>
          <w:sz w:val="26"/>
          <w:szCs w:val="26"/>
        </w:rPr>
      </w:pPr>
    </w:p>
    <w:p w14:paraId="41AF6BA5" w14:textId="77777777" w:rsidR="00086F37" w:rsidRPr="00907C18" w:rsidRDefault="00086F37" w:rsidP="00407DA1">
      <w:pPr>
        <w:rPr>
          <w:rFonts w:cs="Arial"/>
          <w:b/>
          <w:sz w:val="26"/>
          <w:szCs w:val="26"/>
        </w:rPr>
      </w:pPr>
      <w:r w:rsidRPr="00907C18">
        <w:rPr>
          <w:rFonts w:cs="Arial"/>
          <w:b/>
          <w:sz w:val="26"/>
          <w:szCs w:val="26"/>
        </w:rPr>
        <w:t>Articulo 6….</w:t>
      </w:r>
    </w:p>
    <w:p w14:paraId="01C181B2" w14:textId="77777777" w:rsidR="00086F37" w:rsidRPr="00907C18" w:rsidRDefault="00086F37" w:rsidP="00407DA1">
      <w:pPr>
        <w:rPr>
          <w:rFonts w:cs="Arial"/>
          <w:b/>
          <w:sz w:val="26"/>
          <w:szCs w:val="26"/>
        </w:rPr>
      </w:pPr>
    </w:p>
    <w:p w14:paraId="77993A97" w14:textId="77777777" w:rsidR="00870E31" w:rsidRPr="00907C18" w:rsidRDefault="00086F37" w:rsidP="00407DA1">
      <w:pPr>
        <w:rPr>
          <w:rFonts w:cs="Arial"/>
          <w:b/>
          <w:sz w:val="26"/>
          <w:szCs w:val="26"/>
        </w:rPr>
      </w:pPr>
      <w:r w:rsidRPr="00907C18">
        <w:rPr>
          <w:rFonts w:cs="Arial"/>
          <w:b/>
          <w:sz w:val="26"/>
          <w:szCs w:val="26"/>
        </w:rPr>
        <w:t>…</w:t>
      </w:r>
    </w:p>
    <w:p w14:paraId="4C69A426" w14:textId="77777777" w:rsidR="00394E24" w:rsidRPr="00907C18" w:rsidRDefault="00394E24" w:rsidP="00407DA1">
      <w:pPr>
        <w:rPr>
          <w:rFonts w:cs="Arial"/>
          <w:b/>
          <w:sz w:val="26"/>
          <w:szCs w:val="26"/>
        </w:rPr>
      </w:pPr>
    </w:p>
    <w:p w14:paraId="0BCB28F0" w14:textId="77777777" w:rsidR="00394E24" w:rsidRPr="00907C18" w:rsidRDefault="00394E24" w:rsidP="00407DA1">
      <w:pPr>
        <w:rPr>
          <w:rFonts w:cs="Arial"/>
          <w:sz w:val="26"/>
          <w:szCs w:val="26"/>
        </w:rPr>
      </w:pPr>
      <w:r w:rsidRPr="00907C18">
        <w:rPr>
          <w:rFonts w:cs="Arial"/>
          <w:sz w:val="26"/>
          <w:szCs w:val="26"/>
        </w:rPr>
        <w:t xml:space="preserve">El Ministerio ´Publico </w:t>
      </w:r>
      <w:r w:rsidR="004942C3" w:rsidRPr="00907C18">
        <w:rPr>
          <w:rFonts w:cs="Arial"/>
          <w:sz w:val="26"/>
          <w:szCs w:val="26"/>
        </w:rPr>
        <w:t>podrá</w:t>
      </w:r>
      <w:r w:rsidRPr="00907C18">
        <w:rPr>
          <w:rFonts w:cs="Arial"/>
          <w:sz w:val="26"/>
          <w:szCs w:val="26"/>
        </w:rPr>
        <w:t xml:space="preserve"> desistirse de la </w:t>
      </w:r>
      <w:r w:rsidR="004942C3" w:rsidRPr="00907C18">
        <w:rPr>
          <w:rFonts w:cs="Arial"/>
          <w:sz w:val="26"/>
          <w:szCs w:val="26"/>
        </w:rPr>
        <w:t>acción</w:t>
      </w:r>
      <w:r w:rsidRPr="00907C18">
        <w:rPr>
          <w:rFonts w:cs="Arial"/>
          <w:sz w:val="26"/>
          <w:szCs w:val="26"/>
        </w:rPr>
        <w:t xml:space="preserve"> de </w:t>
      </w:r>
      <w:r w:rsidR="004942C3" w:rsidRPr="00907C18">
        <w:rPr>
          <w:rFonts w:cs="Arial"/>
          <w:sz w:val="26"/>
          <w:szCs w:val="26"/>
        </w:rPr>
        <w:t>extinción</w:t>
      </w:r>
      <w:r w:rsidRPr="00907C18">
        <w:rPr>
          <w:rFonts w:cs="Arial"/>
          <w:sz w:val="26"/>
          <w:szCs w:val="26"/>
        </w:rPr>
        <w:t xml:space="preserve"> de dominio en cualquier momento, antes de que se dicte sentencia definitiva, previo acuerdo del Fiscal General del Estado, </w:t>
      </w:r>
      <w:r w:rsidR="004942C3" w:rsidRPr="00907C18">
        <w:rPr>
          <w:rFonts w:cs="Arial"/>
          <w:b/>
          <w:sz w:val="26"/>
          <w:szCs w:val="26"/>
          <w:u w:val="single"/>
        </w:rPr>
        <w:t>solo cuando existan las causas lógico jurídicas que justifiquen tal actuación, y dichas circunstancias sean expresadas fundadamente en tal determinación.</w:t>
      </w:r>
      <w:r w:rsidR="00D616FB" w:rsidRPr="00907C18">
        <w:rPr>
          <w:rFonts w:cs="Arial"/>
          <w:b/>
          <w:sz w:val="26"/>
          <w:szCs w:val="26"/>
          <w:u w:val="single"/>
        </w:rPr>
        <w:t xml:space="preserve"> </w:t>
      </w:r>
      <w:r w:rsidR="00D616FB" w:rsidRPr="00907C18">
        <w:rPr>
          <w:rFonts w:cs="Arial"/>
          <w:sz w:val="26"/>
          <w:szCs w:val="26"/>
        </w:rPr>
        <w:t xml:space="preserve">En los mismos términos, podrá desistirse de la pretensión respecto de ciertos bienes objeto de la </w:t>
      </w:r>
      <w:r w:rsidR="0010300C" w:rsidRPr="00907C18">
        <w:rPr>
          <w:rFonts w:cs="Arial"/>
          <w:sz w:val="26"/>
          <w:szCs w:val="26"/>
        </w:rPr>
        <w:t>acción</w:t>
      </w:r>
      <w:r w:rsidR="00D616FB" w:rsidRPr="00907C18">
        <w:rPr>
          <w:rFonts w:cs="Arial"/>
          <w:sz w:val="26"/>
          <w:szCs w:val="26"/>
        </w:rPr>
        <w:t xml:space="preserve"> de </w:t>
      </w:r>
      <w:r w:rsidR="0010300C" w:rsidRPr="00907C18">
        <w:rPr>
          <w:rFonts w:cs="Arial"/>
          <w:sz w:val="26"/>
          <w:szCs w:val="26"/>
        </w:rPr>
        <w:t>extinción</w:t>
      </w:r>
      <w:r w:rsidR="00D616FB" w:rsidRPr="00907C18">
        <w:rPr>
          <w:rFonts w:cs="Arial"/>
          <w:sz w:val="26"/>
          <w:szCs w:val="26"/>
        </w:rPr>
        <w:t xml:space="preserve"> de dominio.</w:t>
      </w:r>
    </w:p>
    <w:p w14:paraId="0BEE3E95" w14:textId="77777777" w:rsidR="0010300C" w:rsidRPr="00907C18" w:rsidRDefault="0010300C" w:rsidP="00407DA1">
      <w:pPr>
        <w:rPr>
          <w:rFonts w:cs="Arial"/>
          <w:sz w:val="26"/>
          <w:szCs w:val="26"/>
        </w:rPr>
      </w:pPr>
    </w:p>
    <w:p w14:paraId="4DE380DE" w14:textId="77777777" w:rsidR="0010300C" w:rsidRPr="00907C18" w:rsidRDefault="00091987" w:rsidP="00407DA1">
      <w:pPr>
        <w:rPr>
          <w:rFonts w:cs="Arial"/>
          <w:b/>
          <w:sz w:val="26"/>
          <w:szCs w:val="26"/>
        </w:rPr>
      </w:pPr>
      <w:r w:rsidRPr="00907C18">
        <w:rPr>
          <w:rFonts w:cs="Arial"/>
          <w:b/>
          <w:sz w:val="26"/>
          <w:szCs w:val="26"/>
        </w:rPr>
        <w:t>Artículo 61…</w:t>
      </w:r>
    </w:p>
    <w:p w14:paraId="2BD39AF8" w14:textId="77777777" w:rsidR="00091987" w:rsidRPr="00907C18" w:rsidRDefault="00091987" w:rsidP="00407DA1">
      <w:pPr>
        <w:rPr>
          <w:rFonts w:cs="Arial"/>
          <w:b/>
          <w:sz w:val="26"/>
          <w:szCs w:val="26"/>
        </w:rPr>
      </w:pPr>
    </w:p>
    <w:p w14:paraId="6FECD928" w14:textId="77777777" w:rsidR="002D7825" w:rsidRPr="00907C18" w:rsidRDefault="00091987" w:rsidP="002D7825">
      <w:pPr>
        <w:rPr>
          <w:rFonts w:eastAsia="Calibri" w:cs="Arial"/>
          <w:sz w:val="26"/>
          <w:szCs w:val="26"/>
        </w:rPr>
      </w:pPr>
      <w:r w:rsidRPr="00907C18">
        <w:rPr>
          <w:rFonts w:cs="Arial"/>
          <w:sz w:val="26"/>
          <w:szCs w:val="26"/>
        </w:rPr>
        <w:t xml:space="preserve">Los remanentes del valor de los bienes que resulten una vez aplicados </w:t>
      </w:r>
      <w:r w:rsidR="002D7825" w:rsidRPr="00907C18">
        <w:rPr>
          <w:rFonts w:cs="Arial"/>
          <w:sz w:val="26"/>
          <w:szCs w:val="26"/>
        </w:rPr>
        <w:t xml:space="preserve">los recursos correspondientes en términos del </w:t>
      </w:r>
      <w:r w:rsidR="005A1638" w:rsidRPr="00907C18">
        <w:rPr>
          <w:rFonts w:cs="Arial"/>
          <w:sz w:val="26"/>
          <w:szCs w:val="26"/>
        </w:rPr>
        <w:t>artículo</w:t>
      </w:r>
      <w:r w:rsidR="002D7825" w:rsidRPr="00907C18">
        <w:rPr>
          <w:rFonts w:cs="Arial"/>
          <w:sz w:val="26"/>
          <w:szCs w:val="26"/>
        </w:rPr>
        <w:t xml:space="preserve"> 59 de esta ley, se utilizaran para </w:t>
      </w:r>
      <w:r w:rsidR="002D7825" w:rsidRPr="00907C18">
        <w:rPr>
          <w:rFonts w:eastAsia="Calibri" w:cs="Arial"/>
          <w:b/>
          <w:sz w:val="26"/>
          <w:szCs w:val="26"/>
          <w:u w:val="single"/>
        </w:rPr>
        <w:t>la mejora de la infraestructura y equipamiento del sector salud, del sector educativo, a los programas sociales de la Secretaria de Inclusión y Desarrollo Social,</w:t>
      </w:r>
      <w:r w:rsidR="002D7825" w:rsidRPr="00907C18">
        <w:rPr>
          <w:rFonts w:eastAsia="Calibri" w:cs="Arial"/>
          <w:sz w:val="26"/>
          <w:szCs w:val="26"/>
        </w:rPr>
        <w:t xml:space="preserve"> la seguridad pública y la procuración de justicia. </w:t>
      </w:r>
    </w:p>
    <w:p w14:paraId="6C53D528" w14:textId="77777777" w:rsidR="005A1638" w:rsidRPr="00907C18" w:rsidRDefault="005A1638" w:rsidP="002D7825">
      <w:pPr>
        <w:rPr>
          <w:rFonts w:eastAsia="Calibri" w:cs="Arial"/>
          <w:sz w:val="26"/>
          <w:szCs w:val="26"/>
        </w:rPr>
      </w:pPr>
    </w:p>
    <w:p w14:paraId="672542A9" w14:textId="77777777" w:rsidR="002B4F31" w:rsidRPr="00907C18" w:rsidRDefault="005A1638" w:rsidP="002B4F31">
      <w:pPr>
        <w:spacing w:line="360" w:lineRule="auto"/>
        <w:rPr>
          <w:rFonts w:cs="Arial"/>
          <w:sz w:val="26"/>
          <w:szCs w:val="26"/>
          <w:u w:val="single"/>
          <w:lang w:eastAsia="es-MX"/>
        </w:rPr>
      </w:pPr>
      <w:r w:rsidRPr="00907C18">
        <w:rPr>
          <w:rFonts w:eastAsia="Calibri" w:cs="Arial"/>
          <w:sz w:val="26"/>
          <w:szCs w:val="26"/>
        </w:rPr>
        <w:t xml:space="preserve">Dichos remanentes se </w:t>
      </w:r>
      <w:r w:rsidR="00FC73A3" w:rsidRPr="00907C18">
        <w:rPr>
          <w:rFonts w:eastAsia="Calibri" w:cs="Arial"/>
          <w:sz w:val="26"/>
          <w:szCs w:val="26"/>
        </w:rPr>
        <w:t>destinarán</w:t>
      </w:r>
      <w:r w:rsidRPr="00907C18">
        <w:rPr>
          <w:rFonts w:eastAsia="Calibri" w:cs="Arial"/>
          <w:sz w:val="26"/>
          <w:szCs w:val="26"/>
        </w:rPr>
        <w:t xml:space="preserve"> en un </w:t>
      </w:r>
      <w:r w:rsidR="002B4F31" w:rsidRPr="00907C18">
        <w:rPr>
          <w:rFonts w:cs="Arial"/>
          <w:b/>
          <w:sz w:val="26"/>
          <w:szCs w:val="26"/>
          <w:u w:val="single"/>
          <w:lang w:eastAsia="es-MX"/>
        </w:rPr>
        <w:t xml:space="preserve">30 por ciento para mejorar la infraestructura hospitalaria y equipamiento del </w:t>
      </w:r>
      <w:r w:rsidR="00DD24D9" w:rsidRPr="00907C18">
        <w:rPr>
          <w:rFonts w:cs="Arial"/>
          <w:b/>
          <w:sz w:val="26"/>
          <w:szCs w:val="26"/>
          <w:u w:val="single"/>
          <w:lang w:eastAsia="es-MX"/>
        </w:rPr>
        <w:t>s</w:t>
      </w:r>
      <w:r w:rsidR="002B4F31" w:rsidRPr="00907C18">
        <w:rPr>
          <w:rFonts w:cs="Arial"/>
          <w:b/>
          <w:sz w:val="26"/>
          <w:szCs w:val="26"/>
          <w:u w:val="single"/>
          <w:lang w:eastAsia="es-MX"/>
        </w:rPr>
        <w:t xml:space="preserve">ector </w:t>
      </w:r>
      <w:r w:rsidR="00DD24D9" w:rsidRPr="00907C18">
        <w:rPr>
          <w:rFonts w:cs="Arial"/>
          <w:b/>
          <w:sz w:val="26"/>
          <w:szCs w:val="26"/>
          <w:u w:val="single"/>
          <w:lang w:eastAsia="es-MX"/>
        </w:rPr>
        <w:t>s</w:t>
      </w:r>
      <w:r w:rsidR="002B4F31" w:rsidRPr="00907C18">
        <w:rPr>
          <w:rFonts w:cs="Arial"/>
          <w:b/>
          <w:sz w:val="26"/>
          <w:szCs w:val="26"/>
          <w:u w:val="single"/>
          <w:lang w:eastAsia="es-MX"/>
        </w:rPr>
        <w:t xml:space="preserve">alud del </w:t>
      </w:r>
      <w:r w:rsidR="00DD24D9" w:rsidRPr="00907C18">
        <w:rPr>
          <w:rFonts w:cs="Arial"/>
          <w:b/>
          <w:sz w:val="26"/>
          <w:szCs w:val="26"/>
          <w:u w:val="single"/>
          <w:lang w:eastAsia="es-MX"/>
        </w:rPr>
        <w:t>e</w:t>
      </w:r>
      <w:r w:rsidR="002B4F31" w:rsidRPr="00907C18">
        <w:rPr>
          <w:rFonts w:cs="Arial"/>
          <w:b/>
          <w:sz w:val="26"/>
          <w:szCs w:val="26"/>
          <w:u w:val="single"/>
          <w:lang w:eastAsia="es-MX"/>
        </w:rPr>
        <w:t xml:space="preserve">stado, otro 30 por ciento para el </w:t>
      </w:r>
      <w:r w:rsidR="00DD24D9" w:rsidRPr="00907C18">
        <w:rPr>
          <w:rFonts w:cs="Arial"/>
          <w:b/>
          <w:sz w:val="26"/>
          <w:szCs w:val="26"/>
          <w:u w:val="single"/>
          <w:lang w:eastAsia="es-MX"/>
        </w:rPr>
        <w:t>s</w:t>
      </w:r>
      <w:r w:rsidR="002B4F31" w:rsidRPr="00907C18">
        <w:rPr>
          <w:rFonts w:cs="Arial"/>
          <w:b/>
          <w:sz w:val="26"/>
          <w:szCs w:val="26"/>
          <w:u w:val="single"/>
          <w:lang w:eastAsia="es-MX"/>
        </w:rPr>
        <w:t xml:space="preserve">ector </w:t>
      </w:r>
      <w:r w:rsidR="00DD24D9" w:rsidRPr="00907C18">
        <w:rPr>
          <w:rFonts w:cs="Arial"/>
          <w:b/>
          <w:sz w:val="26"/>
          <w:szCs w:val="26"/>
          <w:u w:val="single"/>
          <w:lang w:eastAsia="es-MX"/>
        </w:rPr>
        <w:t>e</w:t>
      </w:r>
      <w:r w:rsidR="002B4F31" w:rsidRPr="00907C18">
        <w:rPr>
          <w:rFonts w:cs="Arial"/>
          <w:b/>
          <w:sz w:val="26"/>
          <w:szCs w:val="26"/>
          <w:u w:val="single"/>
          <w:lang w:eastAsia="es-MX"/>
        </w:rPr>
        <w:t xml:space="preserve">ducativo </w:t>
      </w:r>
      <w:r w:rsidR="00DD24D9" w:rsidRPr="00907C18">
        <w:rPr>
          <w:rFonts w:cs="Arial"/>
          <w:b/>
          <w:sz w:val="26"/>
          <w:szCs w:val="26"/>
          <w:u w:val="single"/>
          <w:lang w:eastAsia="es-MX"/>
        </w:rPr>
        <w:t>e</w:t>
      </w:r>
      <w:r w:rsidR="002B4F31" w:rsidRPr="00907C18">
        <w:rPr>
          <w:rFonts w:cs="Arial"/>
          <w:b/>
          <w:sz w:val="26"/>
          <w:szCs w:val="26"/>
          <w:u w:val="single"/>
          <w:lang w:eastAsia="es-MX"/>
        </w:rPr>
        <w:t>statal, un 20 por ciento para los programas sociales de</w:t>
      </w:r>
      <w:r w:rsidR="00FC73A3" w:rsidRPr="00907C18">
        <w:rPr>
          <w:rFonts w:cs="Arial"/>
          <w:b/>
          <w:sz w:val="26"/>
          <w:szCs w:val="26"/>
          <w:u w:val="single"/>
          <w:lang w:eastAsia="es-MX"/>
        </w:rPr>
        <w:t xml:space="preserve"> </w:t>
      </w:r>
      <w:r w:rsidR="002B4F31" w:rsidRPr="00907C18">
        <w:rPr>
          <w:rFonts w:cs="Arial"/>
          <w:b/>
          <w:sz w:val="26"/>
          <w:szCs w:val="26"/>
          <w:u w:val="single"/>
          <w:lang w:eastAsia="es-MX"/>
        </w:rPr>
        <w:t xml:space="preserve">la Secretaria de Inclusión y Desarrollo Social, y un 20 por ciento dividido en partes iguales para las áreas de Seguridad Publica y la Fiscalía General del Estado. </w:t>
      </w:r>
    </w:p>
    <w:p w14:paraId="1B7B333A" w14:textId="77777777" w:rsidR="005A1638" w:rsidRPr="00907C18" w:rsidRDefault="005A1638" w:rsidP="002D7825">
      <w:pPr>
        <w:rPr>
          <w:rFonts w:eastAsia="Calibri" w:cs="Arial"/>
          <w:sz w:val="26"/>
          <w:szCs w:val="26"/>
        </w:rPr>
      </w:pPr>
    </w:p>
    <w:p w14:paraId="6068E5C6" w14:textId="77777777" w:rsidR="00407DA1" w:rsidRPr="00907C18" w:rsidRDefault="00407DA1" w:rsidP="00407DA1">
      <w:pPr>
        <w:rPr>
          <w:rFonts w:cs="Arial"/>
          <w:b/>
          <w:sz w:val="26"/>
          <w:szCs w:val="26"/>
        </w:rPr>
      </w:pPr>
    </w:p>
    <w:p w14:paraId="3343D57E" w14:textId="77777777" w:rsidR="00407DA1" w:rsidRPr="00907C18" w:rsidRDefault="00407DA1" w:rsidP="00407DA1">
      <w:pPr>
        <w:jc w:val="center"/>
        <w:rPr>
          <w:rFonts w:cs="Arial"/>
          <w:b/>
          <w:sz w:val="26"/>
          <w:szCs w:val="26"/>
        </w:rPr>
      </w:pPr>
      <w:r w:rsidRPr="00907C18">
        <w:rPr>
          <w:rFonts w:cs="Arial"/>
          <w:b/>
          <w:sz w:val="26"/>
          <w:szCs w:val="26"/>
        </w:rPr>
        <w:t>TRANSITORIOS</w:t>
      </w:r>
    </w:p>
    <w:p w14:paraId="4C620037" w14:textId="77777777" w:rsidR="00407DA1" w:rsidRPr="00907C18" w:rsidRDefault="00407DA1" w:rsidP="00407DA1">
      <w:pPr>
        <w:jc w:val="center"/>
        <w:rPr>
          <w:rFonts w:cs="Arial"/>
          <w:b/>
          <w:sz w:val="26"/>
          <w:szCs w:val="26"/>
        </w:rPr>
      </w:pPr>
    </w:p>
    <w:p w14:paraId="66AF15B8" w14:textId="77777777" w:rsidR="00407DA1" w:rsidRPr="00907C18" w:rsidRDefault="00E270F0" w:rsidP="00407DA1">
      <w:pPr>
        <w:rPr>
          <w:rFonts w:cs="Arial"/>
          <w:sz w:val="26"/>
          <w:szCs w:val="26"/>
        </w:rPr>
      </w:pPr>
      <w:r w:rsidRPr="00907C18">
        <w:rPr>
          <w:rFonts w:cs="Arial"/>
          <w:b/>
          <w:sz w:val="26"/>
          <w:szCs w:val="26"/>
        </w:rPr>
        <w:t>ÚNICO. -</w:t>
      </w:r>
      <w:r w:rsidR="00407DA1" w:rsidRPr="00907C18">
        <w:rPr>
          <w:rFonts w:cs="Arial"/>
          <w:b/>
          <w:sz w:val="26"/>
          <w:szCs w:val="26"/>
        </w:rPr>
        <w:t xml:space="preserve"> </w:t>
      </w:r>
      <w:r w:rsidR="00407DA1" w:rsidRPr="00907C18">
        <w:rPr>
          <w:rFonts w:cs="Arial"/>
          <w:sz w:val="26"/>
          <w:szCs w:val="26"/>
        </w:rPr>
        <w:t>El presente decreto entrara en vigor el día siguiente al de su publicación en el Periódico Oficial del Estado.</w:t>
      </w:r>
    </w:p>
    <w:p w14:paraId="65E12894" w14:textId="77777777" w:rsidR="00407DA1" w:rsidRPr="00907C18" w:rsidRDefault="00407DA1" w:rsidP="00407DA1">
      <w:pPr>
        <w:rPr>
          <w:rFonts w:cs="Arial"/>
          <w:sz w:val="26"/>
          <w:szCs w:val="26"/>
        </w:rPr>
      </w:pPr>
    </w:p>
    <w:p w14:paraId="09DEB5D2" w14:textId="77777777" w:rsidR="00933008" w:rsidRPr="00907C18" w:rsidRDefault="00933008" w:rsidP="00407DA1">
      <w:pPr>
        <w:jc w:val="center"/>
        <w:rPr>
          <w:rFonts w:cs="Arial"/>
          <w:b/>
          <w:sz w:val="26"/>
          <w:szCs w:val="26"/>
        </w:rPr>
      </w:pPr>
    </w:p>
    <w:p w14:paraId="3FF1FD06" w14:textId="77777777" w:rsidR="00407DA1" w:rsidRPr="00907C18" w:rsidRDefault="00407DA1" w:rsidP="00407DA1">
      <w:pPr>
        <w:jc w:val="center"/>
        <w:rPr>
          <w:rFonts w:cs="Arial"/>
          <w:b/>
          <w:sz w:val="26"/>
          <w:szCs w:val="26"/>
        </w:rPr>
      </w:pPr>
      <w:r w:rsidRPr="00907C18">
        <w:rPr>
          <w:rFonts w:cs="Arial"/>
          <w:b/>
          <w:sz w:val="26"/>
          <w:szCs w:val="26"/>
        </w:rPr>
        <w:t>ATENTAMENTE</w:t>
      </w:r>
    </w:p>
    <w:p w14:paraId="4184B0D0" w14:textId="19C2C2BB" w:rsidR="00407DA1" w:rsidRPr="00907C18" w:rsidRDefault="00407DA1" w:rsidP="00407DA1">
      <w:pPr>
        <w:jc w:val="center"/>
        <w:rPr>
          <w:rFonts w:cs="Arial"/>
          <w:b/>
          <w:sz w:val="26"/>
          <w:szCs w:val="26"/>
        </w:rPr>
      </w:pPr>
      <w:r w:rsidRPr="00907C18">
        <w:rPr>
          <w:rFonts w:cs="Arial"/>
          <w:b/>
          <w:sz w:val="26"/>
          <w:szCs w:val="26"/>
        </w:rPr>
        <w:t>“POR UNA PATRIA ORDENADA Y GENEROSA, Y UNA VIDA MEJOR PARA TODOS”</w:t>
      </w:r>
    </w:p>
    <w:p w14:paraId="1A7FE90A" w14:textId="21FA6247" w:rsidR="00407DA1" w:rsidRPr="00907C18" w:rsidRDefault="00407DA1" w:rsidP="00407DA1">
      <w:pPr>
        <w:jc w:val="center"/>
        <w:rPr>
          <w:rFonts w:cs="Arial"/>
          <w:b/>
          <w:sz w:val="26"/>
          <w:szCs w:val="26"/>
        </w:rPr>
      </w:pPr>
    </w:p>
    <w:p w14:paraId="381BF76E" w14:textId="77777777" w:rsidR="00407DA1" w:rsidRPr="00907C18" w:rsidRDefault="00407DA1" w:rsidP="00407DA1">
      <w:pPr>
        <w:jc w:val="center"/>
        <w:rPr>
          <w:rFonts w:cs="Arial"/>
          <w:b/>
          <w:sz w:val="26"/>
          <w:szCs w:val="26"/>
        </w:rPr>
      </w:pPr>
      <w:r w:rsidRPr="00907C18">
        <w:rPr>
          <w:rFonts w:cs="Arial"/>
          <w:b/>
          <w:sz w:val="26"/>
          <w:szCs w:val="26"/>
        </w:rPr>
        <w:t>GRUPO PARLAMENTARIO “DEL PARTIDO ACCIÓN NACIONAL”.</w:t>
      </w:r>
    </w:p>
    <w:p w14:paraId="23F005CA" w14:textId="196A5A68" w:rsidR="00407DA1" w:rsidRPr="00907C18" w:rsidRDefault="00407DA1" w:rsidP="00407DA1">
      <w:pPr>
        <w:jc w:val="center"/>
        <w:rPr>
          <w:rFonts w:cs="Arial"/>
          <w:b/>
          <w:sz w:val="26"/>
          <w:szCs w:val="26"/>
        </w:rPr>
      </w:pPr>
      <w:r w:rsidRPr="00907C18">
        <w:rPr>
          <w:rFonts w:cs="Arial"/>
          <w:b/>
          <w:sz w:val="26"/>
          <w:szCs w:val="26"/>
        </w:rPr>
        <w:t>SALTILLO, COAHUILA DE ZARAGOZA; A 0</w:t>
      </w:r>
      <w:r w:rsidR="0048373F" w:rsidRPr="00907C18">
        <w:rPr>
          <w:rFonts w:cs="Arial"/>
          <w:b/>
          <w:sz w:val="26"/>
          <w:szCs w:val="26"/>
        </w:rPr>
        <w:t>9</w:t>
      </w:r>
      <w:r w:rsidRPr="00907C18">
        <w:rPr>
          <w:rFonts w:cs="Arial"/>
          <w:b/>
          <w:sz w:val="26"/>
          <w:szCs w:val="26"/>
        </w:rPr>
        <w:t xml:space="preserve"> DE </w:t>
      </w:r>
      <w:r w:rsidR="00E270F0" w:rsidRPr="00907C18">
        <w:rPr>
          <w:rFonts w:cs="Arial"/>
          <w:b/>
          <w:sz w:val="26"/>
          <w:szCs w:val="26"/>
        </w:rPr>
        <w:t>SEPTIEMB</w:t>
      </w:r>
      <w:r w:rsidR="008004CD" w:rsidRPr="00907C18">
        <w:rPr>
          <w:rFonts w:cs="Arial"/>
          <w:b/>
          <w:sz w:val="26"/>
          <w:szCs w:val="26"/>
        </w:rPr>
        <w:t>R</w:t>
      </w:r>
      <w:r w:rsidR="00E270F0" w:rsidRPr="00907C18">
        <w:rPr>
          <w:rFonts w:cs="Arial"/>
          <w:b/>
          <w:sz w:val="26"/>
          <w:szCs w:val="26"/>
        </w:rPr>
        <w:t>E</w:t>
      </w:r>
      <w:r w:rsidRPr="00907C18">
        <w:rPr>
          <w:rFonts w:cs="Arial"/>
          <w:b/>
          <w:sz w:val="26"/>
          <w:szCs w:val="26"/>
        </w:rPr>
        <w:t xml:space="preserve"> DE 20</w:t>
      </w:r>
      <w:r w:rsidR="008004CD" w:rsidRPr="00907C18">
        <w:rPr>
          <w:rFonts w:cs="Arial"/>
          <w:b/>
          <w:sz w:val="26"/>
          <w:szCs w:val="26"/>
        </w:rPr>
        <w:t>20</w:t>
      </w:r>
      <w:r w:rsidRPr="00907C18">
        <w:rPr>
          <w:rFonts w:cs="Arial"/>
          <w:b/>
          <w:sz w:val="26"/>
          <w:szCs w:val="26"/>
        </w:rPr>
        <w:t>.</w:t>
      </w:r>
    </w:p>
    <w:p w14:paraId="5E44C60C" w14:textId="79A41826" w:rsidR="0048373F" w:rsidRPr="00907C18" w:rsidRDefault="0048373F" w:rsidP="00407DA1">
      <w:pPr>
        <w:jc w:val="center"/>
        <w:rPr>
          <w:rFonts w:cs="Arial"/>
          <w:b/>
          <w:sz w:val="26"/>
          <w:szCs w:val="26"/>
        </w:rPr>
      </w:pPr>
    </w:p>
    <w:p w14:paraId="1324B4FB" w14:textId="47AF13DC" w:rsidR="0048373F" w:rsidRPr="0048373F" w:rsidRDefault="0048373F" w:rsidP="0048373F">
      <w:pPr>
        <w:pBdr>
          <w:top w:val="nil"/>
          <w:left w:val="nil"/>
          <w:bottom w:val="nil"/>
          <w:right w:val="nil"/>
          <w:between w:val="nil"/>
          <w:bar w:val="nil"/>
        </w:pBdr>
        <w:spacing w:after="160" w:line="360" w:lineRule="auto"/>
        <w:jc w:val="center"/>
        <w:rPr>
          <w:rFonts w:eastAsia="Calibri" w:cs="Arial"/>
          <w:color w:val="000000"/>
          <w:sz w:val="24"/>
          <w:szCs w:val="24"/>
          <w:u w:color="000000"/>
          <w:bdr w:val="nil"/>
          <w:lang w:eastAsia="es-MX"/>
        </w:rPr>
      </w:pPr>
      <w:bookmarkStart w:id="1" w:name="_Hlk32219682"/>
    </w:p>
    <w:p w14:paraId="023FB424" w14:textId="77777777" w:rsidR="0048373F" w:rsidRPr="0048373F" w:rsidRDefault="0048373F" w:rsidP="0048373F">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eastAsia="es-MX"/>
        </w:rPr>
      </w:pPr>
      <w:r w:rsidRPr="0048373F">
        <w:rPr>
          <w:rFonts w:ascii="Calibri" w:eastAsia="Calibri" w:hAnsi="Calibri" w:cs="Calibri"/>
          <w:color w:val="000000"/>
          <w:sz w:val="24"/>
          <w:szCs w:val="24"/>
          <w:u w:color="000000"/>
          <w:bdr w:val="nil"/>
          <w:lang w:eastAsia="es-MX"/>
        </w:rPr>
        <w:t xml:space="preserve">DIP. </w:t>
      </w:r>
      <w:r w:rsidRPr="0048373F">
        <w:rPr>
          <w:rFonts w:ascii="Calibri" w:eastAsia="Calibri" w:hAnsi="Calibri" w:cs="Calibri"/>
          <w:color w:val="000000"/>
          <w:sz w:val="24"/>
          <w:u w:color="000000"/>
          <w:bdr w:val="nil"/>
          <w:lang w:eastAsia="es-MX"/>
        </w:rPr>
        <w:t>MARCELO DE JESÚS TORRES COFIÑO</w:t>
      </w: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48373F" w:rsidRPr="0048373F" w14:paraId="46009F60" w14:textId="77777777" w:rsidTr="00AE0BD6">
        <w:trPr>
          <w:trHeight w:val="1570"/>
        </w:trPr>
        <w:tc>
          <w:tcPr>
            <w:tcW w:w="5471" w:type="dxa"/>
          </w:tcPr>
          <w:p w14:paraId="62C4B07C" w14:textId="201B19AE"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r w:rsidRPr="0048373F">
              <w:rPr>
                <w:rFonts w:ascii="Calibri" w:eastAsia="Calibri" w:hAnsi="Calibri" w:cs="Calibri"/>
                <w:lang w:eastAsia="en-US"/>
              </w:rPr>
              <w:tab/>
            </w:r>
            <w:r w:rsidRPr="0048373F">
              <w:rPr>
                <w:rFonts w:ascii="Calibri" w:eastAsia="Calibri" w:hAnsi="Calibri" w:cs="Calibri"/>
                <w:lang w:eastAsia="en-US"/>
              </w:rPr>
              <w:tab/>
            </w:r>
          </w:p>
          <w:p w14:paraId="2EB36063"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3285798D" w14:textId="1ACBF771" w:rsidR="0048373F" w:rsidRPr="0048373F" w:rsidRDefault="0048373F" w:rsidP="0048373F">
            <w:pPr>
              <w:tabs>
                <w:tab w:val="left" w:pos="885"/>
                <w:tab w:val="center" w:pos="4987"/>
                <w:tab w:val="left" w:pos="5056"/>
              </w:tabs>
              <w:spacing w:line="360" w:lineRule="auto"/>
              <w:jc w:val="center"/>
              <w:rPr>
                <w:rFonts w:ascii="Calibri" w:eastAsia="Calibri" w:hAnsi="Calibri" w:cs="Calibri"/>
                <w:lang w:eastAsia="en-US"/>
              </w:rPr>
            </w:pPr>
            <w:r w:rsidRPr="0048373F">
              <w:rPr>
                <w:rFonts w:ascii="Calibri" w:eastAsia="Calibri" w:hAnsi="Calibri" w:cs="Calibri"/>
                <w:sz w:val="24"/>
                <w:lang w:eastAsia="en-US"/>
              </w:rPr>
              <w:t xml:space="preserve">DIP. </w:t>
            </w:r>
            <w:r w:rsidRPr="0048373F">
              <w:rPr>
                <w:rFonts w:ascii="Calibri" w:eastAsia="Calibri" w:hAnsi="Calibri" w:cs="Calibri"/>
                <w:sz w:val="24"/>
                <w:szCs w:val="24"/>
                <w:lang w:eastAsia="en-US"/>
              </w:rPr>
              <w:t>ROSA NILDA GONZALEZ NORIEGA</w:t>
            </w:r>
            <w:r w:rsidRPr="0048373F">
              <w:rPr>
                <w:rFonts w:ascii="Calibri" w:eastAsia="Calibri" w:hAnsi="Calibri" w:cs="Calibri"/>
                <w:sz w:val="24"/>
                <w:lang w:eastAsia="en-US"/>
              </w:rPr>
              <w:t xml:space="preserve"> </w:t>
            </w:r>
          </w:p>
        </w:tc>
        <w:tc>
          <w:tcPr>
            <w:tcW w:w="4594" w:type="dxa"/>
          </w:tcPr>
          <w:p w14:paraId="4594E9EB" w14:textId="35C20B73"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0662EE68"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1C60BB5D" w14:textId="77777777"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val="pt-BR" w:eastAsia="en-US"/>
              </w:rPr>
            </w:pPr>
            <w:r w:rsidRPr="0048373F">
              <w:rPr>
                <w:rFonts w:ascii="Calibri" w:eastAsia="Calibri" w:hAnsi="Calibri" w:cs="Calibri"/>
                <w:sz w:val="24"/>
                <w:szCs w:val="24"/>
                <w:lang w:val="pt-BR" w:eastAsia="en-US"/>
              </w:rPr>
              <w:t>DIP. MARIA EUGENIA CAZARES MARTINEZ</w:t>
            </w:r>
          </w:p>
        </w:tc>
      </w:tr>
      <w:tr w:rsidR="0048373F" w:rsidRPr="0048373F" w14:paraId="621DAEB2" w14:textId="77777777" w:rsidTr="00AE0BD6">
        <w:trPr>
          <w:trHeight w:val="398"/>
        </w:trPr>
        <w:tc>
          <w:tcPr>
            <w:tcW w:w="5471" w:type="dxa"/>
          </w:tcPr>
          <w:p w14:paraId="18D84265" w14:textId="4B2BD4E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3B77E5F9"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01BE4DAA" w14:textId="458FA3B9"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val="pt-BR" w:eastAsia="en-US"/>
              </w:rPr>
            </w:pPr>
            <w:r w:rsidRPr="0048373F">
              <w:rPr>
                <w:rFonts w:ascii="Calibri" w:eastAsia="Calibri" w:hAnsi="Calibri" w:cs="Calibri"/>
                <w:sz w:val="24"/>
                <w:szCs w:val="24"/>
                <w:lang w:eastAsia="en-US"/>
              </w:rPr>
              <w:t>DIP. BLANCA EPPEN CANALES</w:t>
            </w:r>
          </w:p>
        </w:tc>
        <w:tc>
          <w:tcPr>
            <w:tcW w:w="4594" w:type="dxa"/>
          </w:tcPr>
          <w:p w14:paraId="0D9B7630"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2011C6F6"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650A95B2" w14:textId="77777777"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val="pt-BR" w:eastAsia="en-US"/>
              </w:rPr>
            </w:pPr>
            <w:r w:rsidRPr="0048373F">
              <w:rPr>
                <w:rFonts w:ascii="Calibri" w:eastAsia="Calibri" w:hAnsi="Calibri" w:cs="Calibri"/>
                <w:sz w:val="24"/>
                <w:szCs w:val="24"/>
                <w:lang w:eastAsia="en-US"/>
              </w:rPr>
              <w:t>DIP. FERNANDO IZAGUIRRE VALDES</w:t>
            </w:r>
          </w:p>
        </w:tc>
      </w:tr>
      <w:tr w:rsidR="0048373F" w:rsidRPr="0048373F" w14:paraId="484FA745" w14:textId="77777777" w:rsidTr="00AE0BD6">
        <w:trPr>
          <w:trHeight w:val="398"/>
        </w:trPr>
        <w:tc>
          <w:tcPr>
            <w:tcW w:w="5471" w:type="dxa"/>
          </w:tcPr>
          <w:p w14:paraId="27C3C51F" w14:textId="2B985649"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438F5C96"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6DDFB96F"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3AD9DA73" w14:textId="77777777"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eastAsia="en-US"/>
              </w:rPr>
            </w:pPr>
            <w:r w:rsidRPr="0048373F">
              <w:rPr>
                <w:rFonts w:ascii="Calibri" w:eastAsia="Calibri" w:hAnsi="Calibri" w:cs="Calibri"/>
                <w:sz w:val="24"/>
                <w:szCs w:val="24"/>
                <w:lang w:eastAsia="en-US"/>
              </w:rPr>
              <w:t>DIP. GABRIELA ZAPOPAN GARZA GALVÁN</w:t>
            </w:r>
          </w:p>
        </w:tc>
        <w:tc>
          <w:tcPr>
            <w:tcW w:w="4594" w:type="dxa"/>
          </w:tcPr>
          <w:p w14:paraId="1C76525A"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0241F4EE"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375E04B6"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2CE78114" w14:textId="40360AF8"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val="pt-BR" w:eastAsia="en-US"/>
              </w:rPr>
            </w:pPr>
            <w:r w:rsidRPr="0048373F">
              <w:rPr>
                <w:rFonts w:ascii="Calibri" w:eastAsia="Calibri" w:hAnsi="Calibri" w:cs="Calibri"/>
                <w:sz w:val="24"/>
                <w:szCs w:val="24"/>
                <w:lang w:val="pt-BR" w:eastAsia="en-US"/>
              </w:rPr>
              <w:t>DIP. GERARDO ABRAHAM AGUADO GÓMEZ</w:t>
            </w:r>
          </w:p>
        </w:tc>
      </w:tr>
      <w:tr w:rsidR="0048373F" w:rsidRPr="0048373F" w14:paraId="79773914" w14:textId="77777777" w:rsidTr="00AE0BD6">
        <w:trPr>
          <w:trHeight w:val="398"/>
        </w:trPr>
        <w:tc>
          <w:tcPr>
            <w:tcW w:w="5471" w:type="dxa"/>
          </w:tcPr>
          <w:p w14:paraId="32D0D517" w14:textId="6106D7F9"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553BD9FB"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742644AD"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val="pt-BR" w:eastAsia="en-US"/>
              </w:rPr>
            </w:pPr>
          </w:p>
          <w:p w14:paraId="7B25A086" w14:textId="77777777"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eastAsia="en-US"/>
              </w:rPr>
            </w:pPr>
            <w:r w:rsidRPr="0048373F">
              <w:rPr>
                <w:rFonts w:ascii="Calibri" w:eastAsia="Calibri" w:hAnsi="Calibri" w:cs="Calibri"/>
                <w:sz w:val="24"/>
                <w:szCs w:val="24"/>
                <w:lang w:eastAsia="en-US"/>
              </w:rPr>
              <w:t>DIP. JUAN ANTONIO GARCÍA VILLA</w:t>
            </w:r>
          </w:p>
        </w:tc>
        <w:tc>
          <w:tcPr>
            <w:tcW w:w="4594" w:type="dxa"/>
          </w:tcPr>
          <w:p w14:paraId="6D8C224C"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665F3761"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6DDC6B7D" w14:textId="77777777" w:rsidR="0048373F" w:rsidRPr="0048373F" w:rsidRDefault="0048373F" w:rsidP="0048373F">
            <w:pPr>
              <w:tabs>
                <w:tab w:val="left" w:pos="885"/>
                <w:tab w:val="center" w:pos="4987"/>
                <w:tab w:val="left" w:pos="5056"/>
              </w:tabs>
              <w:spacing w:line="360" w:lineRule="auto"/>
              <w:jc w:val="left"/>
              <w:rPr>
                <w:rFonts w:ascii="Calibri" w:eastAsia="Calibri" w:hAnsi="Calibri" w:cs="Calibri"/>
                <w:lang w:eastAsia="en-US"/>
              </w:rPr>
            </w:pPr>
          </w:p>
          <w:p w14:paraId="3C147FCA" w14:textId="77777777" w:rsidR="0048373F" w:rsidRPr="0048373F" w:rsidRDefault="0048373F" w:rsidP="0048373F">
            <w:pPr>
              <w:tabs>
                <w:tab w:val="left" w:pos="885"/>
                <w:tab w:val="center" w:pos="4987"/>
                <w:tab w:val="left" w:pos="5056"/>
              </w:tabs>
              <w:spacing w:line="360" w:lineRule="auto"/>
              <w:jc w:val="center"/>
              <w:rPr>
                <w:rFonts w:ascii="Calibri" w:eastAsia="Calibri" w:hAnsi="Calibri" w:cs="Calibri"/>
                <w:sz w:val="24"/>
                <w:szCs w:val="24"/>
                <w:lang w:eastAsia="en-US"/>
              </w:rPr>
            </w:pPr>
            <w:r w:rsidRPr="0048373F">
              <w:rPr>
                <w:rFonts w:ascii="Calibri" w:eastAsia="Calibri" w:hAnsi="Calibri" w:cs="Calibri"/>
                <w:sz w:val="24"/>
                <w:szCs w:val="24"/>
                <w:lang w:eastAsia="en-US"/>
              </w:rPr>
              <w:t>DIP. JUAN CARLOS GUERRA LÓPEZ NEGRETE</w:t>
            </w:r>
          </w:p>
        </w:tc>
      </w:tr>
    </w:tbl>
    <w:p w14:paraId="6DD5A627" w14:textId="4AB4F024" w:rsidR="0048373F" w:rsidRDefault="0048373F" w:rsidP="0048373F">
      <w:pPr>
        <w:tabs>
          <w:tab w:val="left" w:pos="885"/>
          <w:tab w:val="center" w:pos="4987"/>
          <w:tab w:val="left" w:pos="5056"/>
        </w:tabs>
        <w:spacing w:after="200" w:line="360" w:lineRule="auto"/>
        <w:jc w:val="left"/>
        <w:rPr>
          <w:rFonts w:ascii="Calibri" w:eastAsia="Calibri" w:hAnsi="Calibri" w:cs="Calibri"/>
          <w:b/>
          <w:lang w:eastAsia="en-US"/>
        </w:rPr>
      </w:pPr>
    </w:p>
    <w:p w14:paraId="1A6D7D4E" w14:textId="77777777" w:rsidR="00907C18" w:rsidRPr="0048373F" w:rsidRDefault="00907C18" w:rsidP="0048373F">
      <w:pPr>
        <w:tabs>
          <w:tab w:val="left" w:pos="885"/>
          <w:tab w:val="center" w:pos="4987"/>
          <w:tab w:val="left" w:pos="5056"/>
        </w:tabs>
        <w:spacing w:after="200" w:line="360" w:lineRule="auto"/>
        <w:jc w:val="left"/>
        <w:rPr>
          <w:rFonts w:ascii="Calibri" w:eastAsia="Calibri" w:hAnsi="Calibri" w:cs="Calibri"/>
          <w:b/>
          <w:lang w:eastAsia="en-US"/>
        </w:rPr>
      </w:pPr>
      <w:bookmarkStart w:id="2" w:name="_GoBack"/>
      <w:bookmarkEnd w:id="1"/>
      <w:bookmarkEnd w:id="2"/>
    </w:p>
    <w:sectPr w:rsidR="00907C18" w:rsidRPr="0048373F" w:rsidSect="00AD0039">
      <w:head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D301" w14:textId="77777777" w:rsidR="00537BDC" w:rsidRDefault="00537BDC" w:rsidP="0048373F">
      <w:r>
        <w:separator/>
      </w:r>
    </w:p>
  </w:endnote>
  <w:endnote w:type="continuationSeparator" w:id="0">
    <w:p w14:paraId="32ED6488" w14:textId="77777777" w:rsidR="00537BDC" w:rsidRDefault="00537BDC" w:rsidP="0048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CCDA6" w14:textId="77777777" w:rsidR="00537BDC" w:rsidRDefault="00537BDC" w:rsidP="0048373F">
      <w:r>
        <w:separator/>
      </w:r>
    </w:p>
  </w:footnote>
  <w:footnote w:type="continuationSeparator" w:id="0">
    <w:p w14:paraId="6B3BE344" w14:textId="77777777" w:rsidR="00537BDC" w:rsidRDefault="00537BDC" w:rsidP="0048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BF184" w14:textId="77777777" w:rsidR="0048373F" w:rsidRDefault="0048373F" w:rsidP="0048373F">
    <w:pPr>
      <w:widowControl w:val="0"/>
      <w:pBdr>
        <w:top w:val="nil"/>
        <w:left w:val="nil"/>
        <w:bottom w:val="nil"/>
        <w:right w:val="nil"/>
        <w:between w:val="nil"/>
      </w:pBdr>
      <w:spacing w:line="276" w:lineRule="auto"/>
      <w:jc w:val="left"/>
    </w:pPr>
  </w:p>
  <w:tbl>
    <w:tblPr>
      <w:tblW w:w="11057" w:type="dxa"/>
      <w:jc w:val="center"/>
      <w:tblLayout w:type="fixed"/>
      <w:tblLook w:val="0400" w:firstRow="0" w:lastRow="0" w:firstColumn="0" w:lastColumn="0" w:noHBand="0" w:noVBand="1"/>
    </w:tblPr>
    <w:tblGrid>
      <w:gridCol w:w="1541"/>
      <w:gridCol w:w="7975"/>
      <w:gridCol w:w="1541"/>
    </w:tblGrid>
    <w:tr w:rsidR="0048373F" w14:paraId="485C927E" w14:textId="77777777" w:rsidTr="00AE0BD6">
      <w:trPr>
        <w:jc w:val="center"/>
      </w:trPr>
      <w:tc>
        <w:tcPr>
          <w:tcW w:w="1541" w:type="dxa"/>
        </w:tcPr>
        <w:p w14:paraId="61CD0235" w14:textId="77777777" w:rsidR="0048373F" w:rsidRDefault="0048373F" w:rsidP="0048373F">
          <w:pPr>
            <w:rPr>
              <w:b/>
              <w:sz w:val="12"/>
              <w:szCs w:val="12"/>
            </w:rPr>
          </w:pPr>
          <w:r>
            <w:rPr>
              <w:noProof/>
              <w:lang w:eastAsia="es-MX"/>
            </w:rPr>
            <w:drawing>
              <wp:anchor distT="0" distB="0" distL="114300" distR="114300" simplePos="0" relativeHeight="251659264" behindDoc="0" locked="0" layoutInCell="1" hidden="0" allowOverlap="1" wp14:anchorId="4278831D" wp14:editId="5F81EAC4">
                <wp:simplePos x="0" y="0"/>
                <wp:positionH relativeFrom="column">
                  <wp:posOffset>181923</wp:posOffset>
                </wp:positionH>
                <wp:positionV relativeFrom="paragraph">
                  <wp:posOffset>45085</wp:posOffset>
                </wp:positionV>
                <wp:extent cx="902335" cy="886460"/>
                <wp:effectExtent l="0" t="0" r="0" b="8890"/>
                <wp:wrapNone/>
                <wp:docPr id="5" name="image2.png" descr="Escudo de Coahuila de Zaragoza_BN_05"/>
                <wp:cNvGraphicFramePr/>
                <a:graphic xmlns:a="http://schemas.openxmlformats.org/drawingml/2006/main">
                  <a:graphicData uri="http://schemas.openxmlformats.org/drawingml/2006/picture">
                    <pic:pic xmlns:pic="http://schemas.openxmlformats.org/drawingml/2006/picture">
                      <pic:nvPicPr>
                        <pic:cNvPr id="0" name="image2.png" descr="Escudo de Coahuila de Zaragoza_BN_05"/>
                        <pic:cNvPicPr preferRelativeResize="0"/>
                      </pic:nvPicPr>
                      <pic:blipFill>
                        <a:blip r:embed="rId1"/>
                        <a:srcRect/>
                        <a:stretch>
                          <a:fillRect/>
                        </a:stretch>
                      </pic:blipFill>
                      <pic:spPr>
                        <a:xfrm>
                          <a:off x="0" y="0"/>
                          <a:ext cx="902335" cy="886460"/>
                        </a:xfrm>
                        <a:prstGeom prst="rect">
                          <a:avLst/>
                        </a:prstGeom>
                        <a:ln/>
                      </pic:spPr>
                    </pic:pic>
                  </a:graphicData>
                </a:graphic>
              </wp:anchor>
            </w:drawing>
          </w:r>
        </w:p>
        <w:p w14:paraId="10DAA05F" w14:textId="77777777" w:rsidR="0048373F" w:rsidRDefault="0048373F" w:rsidP="0048373F">
          <w:pPr>
            <w:jc w:val="center"/>
            <w:rPr>
              <w:b/>
              <w:sz w:val="12"/>
              <w:szCs w:val="12"/>
            </w:rPr>
          </w:pPr>
        </w:p>
        <w:p w14:paraId="2E470C51" w14:textId="77777777" w:rsidR="0048373F" w:rsidRDefault="0048373F" w:rsidP="0048373F">
          <w:pPr>
            <w:jc w:val="center"/>
            <w:rPr>
              <w:b/>
              <w:sz w:val="12"/>
              <w:szCs w:val="12"/>
            </w:rPr>
          </w:pPr>
        </w:p>
        <w:p w14:paraId="76B054EA" w14:textId="77777777" w:rsidR="0048373F" w:rsidRDefault="0048373F" w:rsidP="0048373F">
          <w:pPr>
            <w:jc w:val="center"/>
            <w:rPr>
              <w:b/>
              <w:sz w:val="12"/>
              <w:szCs w:val="12"/>
            </w:rPr>
          </w:pPr>
        </w:p>
        <w:p w14:paraId="65B69EE0" w14:textId="77777777" w:rsidR="0048373F" w:rsidRDefault="0048373F" w:rsidP="0048373F">
          <w:pPr>
            <w:jc w:val="center"/>
            <w:rPr>
              <w:b/>
              <w:sz w:val="12"/>
              <w:szCs w:val="12"/>
            </w:rPr>
          </w:pPr>
        </w:p>
        <w:p w14:paraId="29F9D99C" w14:textId="77777777" w:rsidR="0048373F" w:rsidRDefault="0048373F" w:rsidP="0048373F">
          <w:pPr>
            <w:jc w:val="center"/>
            <w:rPr>
              <w:b/>
              <w:sz w:val="12"/>
              <w:szCs w:val="12"/>
            </w:rPr>
          </w:pPr>
        </w:p>
        <w:p w14:paraId="711DEE2A" w14:textId="77777777" w:rsidR="0048373F" w:rsidRDefault="0048373F" w:rsidP="0048373F">
          <w:pPr>
            <w:jc w:val="center"/>
            <w:rPr>
              <w:b/>
              <w:sz w:val="12"/>
              <w:szCs w:val="12"/>
            </w:rPr>
          </w:pPr>
        </w:p>
        <w:p w14:paraId="2446BFD0" w14:textId="77777777" w:rsidR="0048373F" w:rsidRDefault="0048373F" w:rsidP="0048373F">
          <w:pPr>
            <w:jc w:val="center"/>
            <w:rPr>
              <w:b/>
              <w:sz w:val="12"/>
              <w:szCs w:val="12"/>
            </w:rPr>
          </w:pPr>
        </w:p>
        <w:p w14:paraId="49396075" w14:textId="77777777" w:rsidR="0048373F" w:rsidRDefault="0048373F" w:rsidP="0048373F">
          <w:pPr>
            <w:jc w:val="center"/>
            <w:rPr>
              <w:b/>
              <w:sz w:val="12"/>
              <w:szCs w:val="12"/>
            </w:rPr>
          </w:pPr>
        </w:p>
        <w:p w14:paraId="393656CD" w14:textId="77777777" w:rsidR="0048373F" w:rsidRDefault="0048373F" w:rsidP="0048373F">
          <w:pPr>
            <w:jc w:val="center"/>
            <w:rPr>
              <w:b/>
              <w:sz w:val="12"/>
              <w:szCs w:val="12"/>
            </w:rPr>
          </w:pPr>
        </w:p>
        <w:p w14:paraId="74ACB855" w14:textId="77777777" w:rsidR="0048373F" w:rsidRDefault="0048373F" w:rsidP="0048373F">
          <w:pPr>
            <w:jc w:val="center"/>
            <w:rPr>
              <w:b/>
              <w:sz w:val="12"/>
              <w:szCs w:val="12"/>
            </w:rPr>
          </w:pPr>
        </w:p>
        <w:p w14:paraId="2128881F" w14:textId="77777777" w:rsidR="0048373F" w:rsidRDefault="0048373F" w:rsidP="0048373F">
          <w:pPr>
            <w:jc w:val="center"/>
            <w:rPr>
              <w:b/>
              <w:sz w:val="12"/>
              <w:szCs w:val="12"/>
            </w:rPr>
          </w:pPr>
        </w:p>
      </w:tc>
      <w:tc>
        <w:tcPr>
          <w:tcW w:w="7975" w:type="dxa"/>
        </w:tcPr>
        <w:p w14:paraId="2AFACED3" w14:textId="77777777" w:rsidR="0048373F" w:rsidRDefault="0048373F" w:rsidP="0048373F">
          <w:pPr>
            <w:jc w:val="center"/>
            <w:rPr>
              <w:b/>
              <w:sz w:val="22"/>
              <w:szCs w:val="22"/>
            </w:rPr>
          </w:pPr>
        </w:p>
        <w:p w14:paraId="72DD4C04" w14:textId="77777777" w:rsidR="0048373F" w:rsidRDefault="0048373F" w:rsidP="0048373F">
          <w:pPr>
            <w:tabs>
              <w:tab w:val="center" w:pos="4252"/>
              <w:tab w:val="left" w:pos="5040"/>
              <w:tab w:val="right" w:pos="8504"/>
            </w:tabs>
            <w:jc w:val="center"/>
            <w:rPr>
              <w:rFonts w:ascii="Times New Roman" w:hAnsi="Times New Roman"/>
              <w:smallCaps/>
              <w:sz w:val="32"/>
              <w:szCs w:val="32"/>
            </w:rPr>
          </w:pPr>
          <w:r>
            <w:rPr>
              <w:rFonts w:ascii="Times New Roman" w:hAnsi="Times New Roman"/>
              <w:smallCaps/>
              <w:sz w:val="32"/>
              <w:szCs w:val="32"/>
            </w:rPr>
            <w:t>Congreso del Estado Independiente,</w:t>
          </w:r>
        </w:p>
        <w:p w14:paraId="2EBA2DB7" w14:textId="77777777" w:rsidR="0048373F" w:rsidRDefault="0048373F" w:rsidP="0048373F">
          <w:pPr>
            <w:tabs>
              <w:tab w:val="center" w:pos="4252"/>
              <w:tab w:val="left" w:pos="5040"/>
              <w:tab w:val="right" w:pos="8504"/>
            </w:tabs>
            <w:ind w:right="-93"/>
            <w:jc w:val="center"/>
            <w:rPr>
              <w:rFonts w:ascii="Times New Roman" w:hAnsi="Times New Roman"/>
              <w:smallCaps/>
              <w:sz w:val="32"/>
              <w:szCs w:val="32"/>
            </w:rPr>
          </w:pPr>
          <w:r>
            <w:rPr>
              <w:rFonts w:ascii="Times New Roman" w:hAnsi="Times New Roman"/>
              <w:smallCaps/>
              <w:sz w:val="32"/>
              <w:szCs w:val="32"/>
            </w:rPr>
            <w:t>Libre y Soberano de Coahuila de Zaragoza</w:t>
          </w:r>
        </w:p>
        <w:p w14:paraId="37788D7D" w14:textId="77777777" w:rsidR="0048373F" w:rsidRDefault="0048373F" w:rsidP="0048373F">
          <w:pPr>
            <w:tabs>
              <w:tab w:val="center" w:pos="4252"/>
              <w:tab w:val="left" w:pos="5040"/>
              <w:tab w:val="right" w:pos="8504"/>
            </w:tabs>
            <w:ind w:right="-93"/>
            <w:jc w:val="center"/>
            <w:rPr>
              <w:rFonts w:ascii="Times New Roman" w:hAnsi="Times New Roman"/>
              <w:smallCaps/>
              <w:sz w:val="18"/>
              <w:szCs w:val="18"/>
            </w:rPr>
          </w:pPr>
        </w:p>
        <w:p w14:paraId="26D8BD3E" w14:textId="77777777" w:rsidR="0048373F" w:rsidRDefault="0048373F" w:rsidP="0048373F">
          <w:pPr>
            <w:tabs>
              <w:tab w:val="center" w:pos="4252"/>
              <w:tab w:val="left" w:pos="5040"/>
              <w:tab w:val="right" w:pos="8504"/>
            </w:tabs>
            <w:ind w:right="-93"/>
            <w:jc w:val="center"/>
            <w:rPr>
              <w:rFonts w:ascii="Times New Roman" w:hAnsi="Times New Roman"/>
              <w:smallCaps/>
              <w:sz w:val="32"/>
              <w:szCs w:val="32"/>
            </w:rPr>
          </w:pPr>
          <w:r>
            <w:rPr>
              <w:rFonts w:ascii="Times New Roman" w:hAnsi="Times New Roman"/>
              <w:sz w:val="18"/>
              <w:szCs w:val="18"/>
            </w:rPr>
            <w:t>“2020, Año del Centenario Luctuoso de Venustiano Carranza, el Varón de Cuatro Ciénegas”</w:t>
          </w:r>
        </w:p>
        <w:p w14:paraId="63E0BC47" w14:textId="77777777" w:rsidR="0048373F" w:rsidRDefault="0048373F" w:rsidP="0048373F">
          <w:pPr>
            <w:jc w:val="center"/>
            <w:rPr>
              <w:b/>
              <w:sz w:val="12"/>
              <w:szCs w:val="12"/>
            </w:rPr>
          </w:pPr>
        </w:p>
      </w:tc>
      <w:tc>
        <w:tcPr>
          <w:tcW w:w="1541" w:type="dxa"/>
        </w:tcPr>
        <w:p w14:paraId="3FA3D7F2" w14:textId="77777777" w:rsidR="0048373F" w:rsidRDefault="0048373F" w:rsidP="0048373F">
          <w:pPr>
            <w:jc w:val="center"/>
            <w:rPr>
              <w:b/>
              <w:sz w:val="12"/>
              <w:szCs w:val="12"/>
            </w:rPr>
          </w:pPr>
          <w:r>
            <w:rPr>
              <w:noProof/>
              <w:lang w:eastAsia="es-MX"/>
            </w:rPr>
            <w:drawing>
              <wp:anchor distT="0" distB="0" distL="114300" distR="114300" simplePos="0" relativeHeight="251660288" behindDoc="0" locked="0" layoutInCell="1" hidden="0" allowOverlap="1" wp14:anchorId="614ABA02" wp14:editId="0ACEB6B2">
                <wp:simplePos x="0" y="0"/>
                <wp:positionH relativeFrom="column">
                  <wp:posOffset>120015</wp:posOffset>
                </wp:positionH>
                <wp:positionV relativeFrom="paragraph">
                  <wp:posOffset>-289559</wp:posOffset>
                </wp:positionV>
                <wp:extent cx="485140" cy="1323975"/>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85140" cy="1323975"/>
                        </a:xfrm>
                        <a:prstGeom prst="rect">
                          <a:avLst/>
                        </a:prstGeom>
                        <a:ln/>
                      </pic:spPr>
                    </pic:pic>
                  </a:graphicData>
                </a:graphic>
              </wp:anchor>
            </w:drawing>
          </w:r>
        </w:p>
        <w:p w14:paraId="0BA024D3" w14:textId="77777777" w:rsidR="0048373F" w:rsidRDefault="0048373F" w:rsidP="0048373F">
          <w:pPr>
            <w:jc w:val="center"/>
            <w:rPr>
              <w:b/>
              <w:sz w:val="12"/>
              <w:szCs w:val="12"/>
            </w:rPr>
          </w:pPr>
        </w:p>
        <w:p w14:paraId="19B17830" w14:textId="77777777" w:rsidR="0048373F" w:rsidRDefault="0048373F" w:rsidP="0048373F">
          <w:pPr>
            <w:jc w:val="center"/>
            <w:rPr>
              <w:b/>
              <w:sz w:val="12"/>
              <w:szCs w:val="12"/>
            </w:rPr>
          </w:pPr>
        </w:p>
      </w:tc>
    </w:tr>
  </w:tbl>
  <w:p w14:paraId="226CC970" w14:textId="77777777" w:rsidR="0048373F" w:rsidRDefault="0048373F" w:rsidP="0048373F">
    <w:pPr>
      <w:pBdr>
        <w:top w:val="nil"/>
        <w:left w:val="nil"/>
        <w:bottom w:val="nil"/>
        <w:right w:val="nil"/>
        <w:between w:val="nil"/>
      </w:pBdr>
      <w:tabs>
        <w:tab w:val="center" w:pos="4252"/>
        <w:tab w:val="right" w:pos="8504"/>
      </w:tabs>
      <w:ind w:right="49"/>
      <w:rPr>
        <w:color w:val="000000"/>
      </w:rPr>
    </w:pPr>
  </w:p>
  <w:p w14:paraId="4311E350" w14:textId="77777777" w:rsidR="0048373F" w:rsidRDefault="004837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4895"/>
    <w:multiLevelType w:val="hybridMultilevel"/>
    <w:tmpl w:val="961E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1"/>
    <w:rsid w:val="00017181"/>
    <w:rsid w:val="0005275E"/>
    <w:rsid w:val="0005558E"/>
    <w:rsid w:val="00086F37"/>
    <w:rsid w:val="00091987"/>
    <w:rsid w:val="000A27A9"/>
    <w:rsid w:val="000C3BD5"/>
    <w:rsid w:val="000D35E1"/>
    <w:rsid w:val="000F0113"/>
    <w:rsid w:val="000F75CA"/>
    <w:rsid w:val="0010015C"/>
    <w:rsid w:val="00100BA0"/>
    <w:rsid w:val="0010300C"/>
    <w:rsid w:val="00121732"/>
    <w:rsid w:val="0016644A"/>
    <w:rsid w:val="00194589"/>
    <w:rsid w:val="001B17B6"/>
    <w:rsid w:val="001B2332"/>
    <w:rsid w:val="001B50BA"/>
    <w:rsid w:val="001F082C"/>
    <w:rsid w:val="00202945"/>
    <w:rsid w:val="00206E8D"/>
    <w:rsid w:val="00207214"/>
    <w:rsid w:val="002170B7"/>
    <w:rsid w:val="00223AEC"/>
    <w:rsid w:val="00230B14"/>
    <w:rsid w:val="00246884"/>
    <w:rsid w:val="00252715"/>
    <w:rsid w:val="00252B27"/>
    <w:rsid w:val="00254D91"/>
    <w:rsid w:val="00256D1E"/>
    <w:rsid w:val="0026284B"/>
    <w:rsid w:val="00265408"/>
    <w:rsid w:val="002670B8"/>
    <w:rsid w:val="002A5329"/>
    <w:rsid w:val="002B461F"/>
    <w:rsid w:val="002B4F31"/>
    <w:rsid w:val="002C359D"/>
    <w:rsid w:val="002D17C4"/>
    <w:rsid w:val="002D7825"/>
    <w:rsid w:val="002E46E6"/>
    <w:rsid w:val="002F18B0"/>
    <w:rsid w:val="00311090"/>
    <w:rsid w:val="00313470"/>
    <w:rsid w:val="00341A5F"/>
    <w:rsid w:val="00346069"/>
    <w:rsid w:val="003561EF"/>
    <w:rsid w:val="00360C07"/>
    <w:rsid w:val="00394189"/>
    <w:rsid w:val="00394E24"/>
    <w:rsid w:val="003A082C"/>
    <w:rsid w:val="003A49C3"/>
    <w:rsid w:val="003B3569"/>
    <w:rsid w:val="003F6D20"/>
    <w:rsid w:val="00407DA1"/>
    <w:rsid w:val="00416988"/>
    <w:rsid w:val="004215BF"/>
    <w:rsid w:val="004343F4"/>
    <w:rsid w:val="004356E7"/>
    <w:rsid w:val="00436EE3"/>
    <w:rsid w:val="004535AF"/>
    <w:rsid w:val="00471740"/>
    <w:rsid w:val="00472338"/>
    <w:rsid w:val="0048373F"/>
    <w:rsid w:val="004942C3"/>
    <w:rsid w:val="005240E6"/>
    <w:rsid w:val="00537BDC"/>
    <w:rsid w:val="005646DA"/>
    <w:rsid w:val="005A1638"/>
    <w:rsid w:val="005A6873"/>
    <w:rsid w:val="005B57D3"/>
    <w:rsid w:val="005C7923"/>
    <w:rsid w:val="005D6900"/>
    <w:rsid w:val="005E3B36"/>
    <w:rsid w:val="005E580B"/>
    <w:rsid w:val="00611378"/>
    <w:rsid w:val="0062778B"/>
    <w:rsid w:val="00630A78"/>
    <w:rsid w:val="0064498E"/>
    <w:rsid w:val="006540AC"/>
    <w:rsid w:val="006A2E63"/>
    <w:rsid w:val="006A5F72"/>
    <w:rsid w:val="007100DD"/>
    <w:rsid w:val="00715458"/>
    <w:rsid w:val="0072349E"/>
    <w:rsid w:val="00732AA3"/>
    <w:rsid w:val="00732D91"/>
    <w:rsid w:val="0074383F"/>
    <w:rsid w:val="007810DF"/>
    <w:rsid w:val="007917EB"/>
    <w:rsid w:val="007C00F0"/>
    <w:rsid w:val="007E0F0A"/>
    <w:rsid w:val="007E6C31"/>
    <w:rsid w:val="008004CD"/>
    <w:rsid w:val="008009A9"/>
    <w:rsid w:val="00802EF8"/>
    <w:rsid w:val="0081017D"/>
    <w:rsid w:val="00821F7A"/>
    <w:rsid w:val="008426A0"/>
    <w:rsid w:val="008575DC"/>
    <w:rsid w:val="0085767F"/>
    <w:rsid w:val="00870E31"/>
    <w:rsid w:val="00897ABF"/>
    <w:rsid w:val="008B2BF5"/>
    <w:rsid w:val="008B586E"/>
    <w:rsid w:val="008C1EBD"/>
    <w:rsid w:val="008D5C3D"/>
    <w:rsid w:val="008F6327"/>
    <w:rsid w:val="008F74EB"/>
    <w:rsid w:val="008F7B21"/>
    <w:rsid w:val="009000A8"/>
    <w:rsid w:val="00907C18"/>
    <w:rsid w:val="00911918"/>
    <w:rsid w:val="0091663D"/>
    <w:rsid w:val="00933008"/>
    <w:rsid w:val="00957DFB"/>
    <w:rsid w:val="00961C99"/>
    <w:rsid w:val="009B5258"/>
    <w:rsid w:val="009C075E"/>
    <w:rsid w:val="009D264E"/>
    <w:rsid w:val="009E3DFB"/>
    <w:rsid w:val="00A23530"/>
    <w:rsid w:val="00A251F2"/>
    <w:rsid w:val="00A25AC9"/>
    <w:rsid w:val="00A34A28"/>
    <w:rsid w:val="00A62695"/>
    <w:rsid w:val="00AC1EAA"/>
    <w:rsid w:val="00AC234D"/>
    <w:rsid w:val="00AD0039"/>
    <w:rsid w:val="00AD3F17"/>
    <w:rsid w:val="00AE69C2"/>
    <w:rsid w:val="00AF6E34"/>
    <w:rsid w:val="00B01E99"/>
    <w:rsid w:val="00B038F8"/>
    <w:rsid w:val="00B12F88"/>
    <w:rsid w:val="00B14B60"/>
    <w:rsid w:val="00B16C27"/>
    <w:rsid w:val="00B17037"/>
    <w:rsid w:val="00B76056"/>
    <w:rsid w:val="00B8047C"/>
    <w:rsid w:val="00BB1F18"/>
    <w:rsid w:val="00BB3E37"/>
    <w:rsid w:val="00BB4051"/>
    <w:rsid w:val="00BC1136"/>
    <w:rsid w:val="00C2457F"/>
    <w:rsid w:val="00C43899"/>
    <w:rsid w:val="00C55A63"/>
    <w:rsid w:val="00C86EC0"/>
    <w:rsid w:val="00C9554E"/>
    <w:rsid w:val="00CA0F09"/>
    <w:rsid w:val="00CB29BB"/>
    <w:rsid w:val="00CE3BAF"/>
    <w:rsid w:val="00CE65B9"/>
    <w:rsid w:val="00D24603"/>
    <w:rsid w:val="00D616FB"/>
    <w:rsid w:val="00D64937"/>
    <w:rsid w:val="00D65139"/>
    <w:rsid w:val="00DA4BBB"/>
    <w:rsid w:val="00DA7383"/>
    <w:rsid w:val="00DB7065"/>
    <w:rsid w:val="00DD24D9"/>
    <w:rsid w:val="00E067A1"/>
    <w:rsid w:val="00E270F0"/>
    <w:rsid w:val="00E35224"/>
    <w:rsid w:val="00E4540F"/>
    <w:rsid w:val="00E54BD7"/>
    <w:rsid w:val="00EB14B6"/>
    <w:rsid w:val="00EC509A"/>
    <w:rsid w:val="00EF1712"/>
    <w:rsid w:val="00F205A3"/>
    <w:rsid w:val="00F21357"/>
    <w:rsid w:val="00F241EB"/>
    <w:rsid w:val="00F27EBB"/>
    <w:rsid w:val="00F51057"/>
    <w:rsid w:val="00F64675"/>
    <w:rsid w:val="00F66487"/>
    <w:rsid w:val="00F727AC"/>
    <w:rsid w:val="00F90570"/>
    <w:rsid w:val="00FB4951"/>
    <w:rsid w:val="00FC73A3"/>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480E"/>
  <w15:chartTrackingRefBased/>
  <w15:docId w15:val="{7FFD0A83-F45F-4FBA-B6BD-7C622619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DA1"/>
    <w:pPr>
      <w:spacing w:after="0" w:line="240" w:lineRule="auto"/>
      <w:jc w:val="both"/>
    </w:pPr>
    <w:rPr>
      <w:rFonts w:ascii="Arial" w:eastAsia="Times New Roman" w:hAnsi="Arial" w:cs="Times New Roman"/>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64498E"/>
    <w:rPr>
      <w:rFonts w:ascii="Consolas" w:hAnsi="Consolas"/>
      <w:sz w:val="21"/>
      <w:szCs w:val="21"/>
    </w:rPr>
  </w:style>
  <w:style w:type="character" w:customStyle="1" w:styleId="TextosinformatoCar">
    <w:name w:val="Texto sin formato Car"/>
    <w:basedOn w:val="Fuentedeprrafopredeter"/>
    <w:link w:val="Textosinformato"/>
    <w:uiPriority w:val="99"/>
    <w:rsid w:val="0064498E"/>
    <w:rPr>
      <w:rFonts w:ascii="Consolas" w:eastAsia="Times New Roman" w:hAnsi="Consolas" w:cs="Times New Roman"/>
      <w:sz w:val="21"/>
      <w:szCs w:val="21"/>
      <w:lang w:val="es-MX" w:eastAsia="es-ES"/>
    </w:rPr>
  </w:style>
  <w:style w:type="table" w:styleId="Tablaconcuadrcula">
    <w:name w:val="Table Grid"/>
    <w:basedOn w:val="Tablanormal"/>
    <w:uiPriority w:val="59"/>
    <w:rsid w:val="0048373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8373F"/>
    <w:pPr>
      <w:tabs>
        <w:tab w:val="center" w:pos="4680"/>
        <w:tab w:val="right" w:pos="9360"/>
      </w:tabs>
    </w:pPr>
  </w:style>
  <w:style w:type="character" w:customStyle="1" w:styleId="EncabezadoCar">
    <w:name w:val="Encabezado Car"/>
    <w:basedOn w:val="Fuentedeprrafopredeter"/>
    <w:link w:val="Encabezado"/>
    <w:uiPriority w:val="99"/>
    <w:rsid w:val="0048373F"/>
    <w:rPr>
      <w:rFonts w:ascii="Arial" w:eastAsia="Times New Roman" w:hAnsi="Arial" w:cs="Times New Roman"/>
      <w:sz w:val="20"/>
      <w:szCs w:val="20"/>
      <w:lang w:val="es-MX" w:eastAsia="es-ES"/>
    </w:rPr>
  </w:style>
  <w:style w:type="paragraph" w:styleId="Piedepgina">
    <w:name w:val="footer"/>
    <w:basedOn w:val="Normal"/>
    <w:link w:val="PiedepginaCar"/>
    <w:uiPriority w:val="99"/>
    <w:unhideWhenUsed/>
    <w:rsid w:val="0048373F"/>
    <w:pPr>
      <w:tabs>
        <w:tab w:val="center" w:pos="4680"/>
        <w:tab w:val="right" w:pos="9360"/>
      </w:tabs>
    </w:pPr>
  </w:style>
  <w:style w:type="character" w:customStyle="1" w:styleId="PiedepginaCar">
    <w:name w:val="Pie de página Car"/>
    <w:basedOn w:val="Fuentedeprrafopredeter"/>
    <w:link w:val="Piedepgina"/>
    <w:uiPriority w:val="99"/>
    <w:rsid w:val="0048373F"/>
    <w:rPr>
      <w:rFonts w:ascii="Arial" w:eastAsia="Times New Roman" w:hAnsi="Arial" w:cs="Times New Roman"/>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Juan Lumbreras Teniente</cp:lastModifiedBy>
  <cp:revision>3</cp:revision>
  <dcterms:created xsi:type="dcterms:W3CDTF">2020-09-09T00:52:00Z</dcterms:created>
  <dcterms:modified xsi:type="dcterms:W3CDTF">2020-09-09T00:53:00Z</dcterms:modified>
</cp:coreProperties>
</file>