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4B021" w14:textId="77777777" w:rsidR="0070375E" w:rsidRDefault="0070375E" w:rsidP="0070375E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14:paraId="79B207A3" w14:textId="6C3EC767" w:rsidR="0070375E" w:rsidRPr="0070375E" w:rsidRDefault="0070375E" w:rsidP="0070375E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</w:pPr>
      <w:r w:rsidRPr="0070375E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Iniciativa con Proyecto de Decreto por la que se adiciona un quinto párrafo al artículo 211 del </w:t>
      </w:r>
      <w:r w:rsidRPr="0070375E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Código Penal de Coahuila de Zaragoza.</w:t>
      </w:r>
    </w:p>
    <w:p w14:paraId="7825A251" w14:textId="749C9C3C" w:rsidR="00A919F2" w:rsidRPr="0070375E" w:rsidRDefault="00A919F2" w:rsidP="0070375E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14:paraId="5A1220B1" w14:textId="309ECC4A" w:rsidR="0070375E" w:rsidRPr="0070375E" w:rsidRDefault="0070375E" w:rsidP="0070375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En relación a </w:t>
      </w:r>
      <w:r w:rsidRPr="0070375E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prote</w:t>
      </w:r>
      <w:bookmarkStart w:id="0" w:name="_GoBack"/>
      <w:bookmarkEnd w:id="0"/>
      <w:r w:rsidRPr="0070375E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ger a aquellas personas, pero sobre todo a las mujeres, que han sido víctimas de la indiferencia de la autoridad ante la que fue denunciada su desaparición.</w:t>
      </w:r>
    </w:p>
    <w:p w14:paraId="1CE449F6" w14:textId="4FC391A4" w:rsidR="0070375E" w:rsidRDefault="0070375E" w:rsidP="0070375E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14:paraId="13B9B29E" w14:textId="024C569E" w:rsidR="0070375E" w:rsidRPr="0070375E" w:rsidRDefault="0070375E" w:rsidP="0070375E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  <w:r w:rsidRPr="0070375E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Planteada por el </w:t>
      </w:r>
      <w:r w:rsidRPr="0070375E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Diputado Emilio Alejandro de Hoyos Montemayor</w:t>
      </w:r>
      <w:r w:rsidRPr="0070375E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,</w:t>
      </w:r>
      <w:r w:rsidRPr="0070375E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</w:t>
      </w:r>
      <w:r w:rsidRPr="0070375E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>conjuntamente con</w:t>
      </w:r>
      <w:r w:rsidRPr="0070375E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 </w:t>
      </w:r>
      <w:r w:rsidRPr="0070375E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la </w:t>
      </w:r>
      <w:r w:rsidRPr="0070375E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 xml:space="preserve">Diputada </w:t>
      </w:r>
      <w:proofErr w:type="spellStart"/>
      <w:r w:rsidRPr="0070375E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Zulmma</w:t>
      </w:r>
      <w:proofErr w:type="spellEnd"/>
      <w:r w:rsidRPr="0070375E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 xml:space="preserve"> </w:t>
      </w:r>
      <w:proofErr w:type="spellStart"/>
      <w:r w:rsidRPr="0070375E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Verenice</w:t>
      </w:r>
      <w:proofErr w:type="spellEnd"/>
      <w:r w:rsidRPr="0070375E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 xml:space="preserve"> Guerrero Cázares, </w:t>
      </w:r>
      <w:r w:rsidRPr="0070375E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>del Grupo Parlamentario “</w:t>
      </w:r>
      <w:proofErr w:type="spellStart"/>
      <w:r w:rsidRPr="0070375E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>Brigido</w:t>
      </w:r>
      <w:proofErr w:type="spellEnd"/>
      <w:r w:rsidRPr="0070375E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 Ramiro Moreno Hernández” del Partido Unidad Democrática de Coahuila.</w:t>
      </w:r>
    </w:p>
    <w:p w14:paraId="56061B95" w14:textId="77777777" w:rsidR="0070375E" w:rsidRPr="0070375E" w:rsidRDefault="0070375E" w:rsidP="0070375E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14:paraId="435D0835" w14:textId="7BBBFB41" w:rsidR="0070375E" w:rsidRPr="0070375E" w:rsidRDefault="0070375E" w:rsidP="0070375E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70375E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Fecha de Lectura de la Iniciativa: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07</w:t>
      </w:r>
      <w:r w:rsidRPr="0070375E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de </w:t>
      </w:r>
      <w:proofErr w:type="gramStart"/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Octubre</w:t>
      </w:r>
      <w:proofErr w:type="gramEnd"/>
      <w:r w:rsidRPr="0070375E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de 2020.</w:t>
      </w:r>
    </w:p>
    <w:p w14:paraId="6310B45D" w14:textId="77777777" w:rsidR="0070375E" w:rsidRPr="0070375E" w:rsidRDefault="0070375E" w:rsidP="0070375E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es-ES"/>
        </w:rPr>
      </w:pPr>
    </w:p>
    <w:p w14:paraId="04B7A445" w14:textId="13BB952C" w:rsidR="0070375E" w:rsidRDefault="0070375E" w:rsidP="0070375E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  <w:r w:rsidRPr="0070375E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Turnada a la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 </w:t>
      </w:r>
      <w:r w:rsidRPr="0070375E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Comisión de Gobernación, Puntos Constitucionales y Justicia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.</w:t>
      </w:r>
    </w:p>
    <w:p w14:paraId="2C51F386" w14:textId="77777777" w:rsidR="0070375E" w:rsidRDefault="0070375E" w:rsidP="0070375E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4644CE84" w14:textId="77777777" w:rsidR="0070375E" w:rsidRPr="0070375E" w:rsidRDefault="0070375E" w:rsidP="0070375E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70375E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Lectura del Dictamen: </w:t>
      </w:r>
    </w:p>
    <w:p w14:paraId="58B37A90" w14:textId="77777777" w:rsidR="0070375E" w:rsidRPr="0070375E" w:rsidRDefault="0070375E" w:rsidP="0070375E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14:paraId="7871D3A1" w14:textId="77777777" w:rsidR="0070375E" w:rsidRPr="0070375E" w:rsidRDefault="0070375E" w:rsidP="0070375E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70375E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Decreto No. </w:t>
      </w:r>
    </w:p>
    <w:p w14:paraId="41D0C837" w14:textId="77777777" w:rsidR="0070375E" w:rsidRPr="0070375E" w:rsidRDefault="0070375E" w:rsidP="0070375E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14:paraId="019DC239" w14:textId="77777777" w:rsidR="0070375E" w:rsidRPr="0070375E" w:rsidRDefault="0070375E" w:rsidP="0070375E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70375E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Publicación en el Periódico Oficial del Gobierno del Estado:</w:t>
      </w:r>
      <w:r w:rsidRPr="0070375E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</w:t>
      </w:r>
    </w:p>
    <w:p w14:paraId="1C30A8D3" w14:textId="77777777" w:rsidR="0070375E" w:rsidRPr="0070375E" w:rsidRDefault="0070375E" w:rsidP="0070375E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14:paraId="11C96F43" w14:textId="77777777" w:rsidR="0070375E" w:rsidRPr="0070375E" w:rsidRDefault="0070375E" w:rsidP="0070375E">
      <w:pPr>
        <w:jc w:val="both"/>
        <w:rPr>
          <w:rFonts w:ascii="Arial" w:eastAsia="Arial" w:hAnsi="Arial" w:cs="Arial"/>
          <w:b/>
          <w:color w:val="000000"/>
          <w:sz w:val="28"/>
          <w:szCs w:val="28"/>
          <w:lang w:eastAsia="es-MX"/>
        </w:rPr>
      </w:pPr>
    </w:p>
    <w:p w14:paraId="3722A235" w14:textId="77777777" w:rsidR="0070375E" w:rsidRDefault="0070375E" w:rsidP="00750666">
      <w:pPr>
        <w:jc w:val="both"/>
        <w:rPr>
          <w:rFonts w:ascii="Calibri" w:eastAsia="Calibri" w:hAnsi="Calibri" w:cs="Calibri"/>
          <w:color w:val="2E75B5"/>
          <w:sz w:val="32"/>
          <w:szCs w:val="32"/>
          <w:lang w:val="es-ES_tradnl" w:eastAsia="es-MX"/>
        </w:rPr>
      </w:pPr>
    </w:p>
    <w:p w14:paraId="7D17140C" w14:textId="78B26EE6" w:rsidR="0070375E" w:rsidRDefault="0070375E" w:rsidP="00750666">
      <w:pPr>
        <w:jc w:val="both"/>
        <w:rPr>
          <w:rFonts w:ascii="Calibri" w:eastAsia="Calibri" w:hAnsi="Calibri" w:cs="Calibri"/>
          <w:color w:val="2E75B5"/>
          <w:sz w:val="32"/>
          <w:szCs w:val="32"/>
          <w:lang w:val="es-ES_tradnl" w:eastAsia="es-MX"/>
        </w:rPr>
      </w:pPr>
    </w:p>
    <w:p w14:paraId="70556FA1" w14:textId="7859A802" w:rsidR="0070375E" w:rsidRDefault="0070375E">
      <w:pPr>
        <w:spacing w:after="160" w:line="259" w:lineRule="auto"/>
        <w:rPr>
          <w:rFonts w:ascii="Calibri" w:eastAsia="Calibri" w:hAnsi="Calibri" w:cs="Calibri"/>
          <w:color w:val="2E75B5"/>
          <w:sz w:val="32"/>
          <w:szCs w:val="32"/>
          <w:lang w:val="es-ES_tradnl" w:eastAsia="es-MX"/>
        </w:rPr>
      </w:pPr>
      <w:r>
        <w:rPr>
          <w:rFonts w:ascii="Calibri" w:eastAsia="Calibri" w:hAnsi="Calibri" w:cs="Calibri"/>
          <w:color w:val="2E75B5"/>
          <w:sz w:val="32"/>
          <w:szCs w:val="32"/>
          <w:lang w:val="es-ES_tradnl" w:eastAsia="es-MX"/>
        </w:rPr>
        <w:br w:type="page"/>
      </w:r>
    </w:p>
    <w:p w14:paraId="228F4E30" w14:textId="77777777" w:rsidR="0070375E" w:rsidRDefault="0070375E" w:rsidP="00750666">
      <w:pPr>
        <w:jc w:val="both"/>
        <w:rPr>
          <w:rFonts w:ascii="Calibri" w:eastAsia="Calibri" w:hAnsi="Calibri" w:cs="Calibri"/>
          <w:color w:val="2E75B5"/>
          <w:sz w:val="32"/>
          <w:szCs w:val="32"/>
          <w:lang w:val="es-ES_tradnl" w:eastAsia="es-MX"/>
        </w:rPr>
      </w:pPr>
    </w:p>
    <w:p w14:paraId="78CFAB39" w14:textId="19DAC0DD" w:rsidR="00750666" w:rsidRPr="00DE2061" w:rsidRDefault="00750666" w:rsidP="00750666">
      <w:pPr>
        <w:jc w:val="both"/>
        <w:rPr>
          <w:rFonts w:ascii="Arial" w:eastAsia="Arial" w:hAnsi="Arial" w:cs="Arial"/>
          <w:b/>
          <w:color w:val="000000"/>
          <w:sz w:val="28"/>
          <w:szCs w:val="28"/>
          <w:lang w:val="es-ES_tradnl" w:eastAsia="es-MX"/>
        </w:rPr>
      </w:pPr>
      <w:r w:rsidRPr="00DE2061">
        <w:rPr>
          <w:rFonts w:ascii="Arial" w:eastAsia="Arial" w:hAnsi="Arial" w:cs="Arial"/>
          <w:b/>
          <w:color w:val="000000"/>
          <w:sz w:val="28"/>
          <w:szCs w:val="28"/>
          <w:lang w:val="es-ES_tradnl" w:eastAsia="es-MX"/>
        </w:rPr>
        <w:t>H. PLENO DEL CONGRESO DEL ESTADO DE COAHUILA DE ZARAGOZA.</w:t>
      </w:r>
    </w:p>
    <w:p w14:paraId="51E8B4A0" w14:textId="77777777" w:rsidR="00750666" w:rsidRPr="00DE2061" w:rsidRDefault="00750666" w:rsidP="00750666">
      <w:pPr>
        <w:jc w:val="both"/>
        <w:rPr>
          <w:rFonts w:ascii="Arial" w:eastAsia="Arial" w:hAnsi="Arial" w:cs="Arial"/>
          <w:b/>
          <w:color w:val="000000"/>
          <w:sz w:val="28"/>
          <w:szCs w:val="28"/>
          <w:lang w:val="es-ES_tradnl" w:eastAsia="es-MX"/>
        </w:rPr>
      </w:pPr>
    </w:p>
    <w:p w14:paraId="67662EF8" w14:textId="77777777" w:rsidR="00750666" w:rsidRPr="00DE2061" w:rsidRDefault="00750666" w:rsidP="00750666">
      <w:pPr>
        <w:jc w:val="both"/>
        <w:rPr>
          <w:rFonts w:ascii="Arial" w:eastAsia="Arial" w:hAnsi="Arial" w:cs="Arial"/>
          <w:b/>
          <w:color w:val="000000"/>
          <w:sz w:val="28"/>
          <w:szCs w:val="28"/>
          <w:lang w:val="es-ES_tradnl" w:eastAsia="es-MX"/>
        </w:rPr>
      </w:pPr>
      <w:r w:rsidRPr="00DE2061">
        <w:rPr>
          <w:rFonts w:ascii="Arial" w:eastAsia="Arial" w:hAnsi="Arial" w:cs="Arial"/>
          <w:b/>
          <w:color w:val="000000"/>
          <w:sz w:val="28"/>
          <w:szCs w:val="28"/>
          <w:lang w:val="es-ES_tradnl" w:eastAsia="es-MX"/>
        </w:rPr>
        <w:t>PRESENTE.</w:t>
      </w:r>
    </w:p>
    <w:p w14:paraId="064B63B4" w14:textId="77777777" w:rsidR="00A668E7" w:rsidRPr="00DE2061" w:rsidRDefault="00A668E7" w:rsidP="00A668E7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bookmarkStart w:id="1" w:name="_gjdgxs" w:colFirst="0" w:colLast="0"/>
      <w:bookmarkEnd w:id="1"/>
    </w:p>
    <w:p w14:paraId="5FB4B317" w14:textId="6E02EB4B" w:rsidR="00750666" w:rsidRPr="00DE2061" w:rsidRDefault="00A668E7" w:rsidP="00750666">
      <w:pPr>
        <w:tabs>
          <w:tab w:val="left" w:pos="8321"/>
        </w:tabs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E2061">
        <w:rPr>
          <w:rFonts w:ascii="Arial" w:hAnsi="Arial" w:cs="Arial"/>
          <w:b/>
          <w:sz w:val="28"/>
          <w:szCs w:val="28"/>
        </w:rPr>
        <w:t>INICIATIVA CON PROYE</w:t>
      </w:r>
      <w:r w:rsidR="005814DA" w:rsidRPr="00DE2061">
        <w:rPr>
          <w:rFonts w:ascii="Arial" w:hAnsi="Arial" w:cs="Arial"/>
          <w:b/>
          <w:sz w:val="28"/>
          <w:szCs w:val="28"/>
        </w:rPr>
        <w:t xml:space="preserve">CTO DE DECRETO POR </w:t>
      </w:r>
      <w:r w:rsidR="005814DA">
        <w:rPr>
          <w:rFonts w:ascii="Arial" w:hAnsi="Arial" w:cs="Arial"/>
          <w:b/>
          <w:sz w:val="28"/>
          <w:szCs w:val="28"/>
        </w:rPr>
        <w:t>LA</w:t>
      </w:r>
      <w:r w:rsidR="005814DA" w:rsidRPr="00DE2061">
        <w:rPr>
          <w:rFonts w:ascii="Arial" w:hAnsi="Arial" w:cs="Arial"/>
          <w:b/>
          <w:sz w:val="28"/>
          <w:szCs w:val="28"/>
        </w:rPr>
        <w:t xml:space="preserve"> QUE SE</w:t>
      </w:r>
      <w:r w:rsidR="005814DA" w:rsidRPr="005814DA">
        <w:rPr>
          <w:rFonts w:ascii="Arial" w:hAnsi="Arial" w:cs="Arial"/>
          <w:b/>
          <w:sz w:val="28"/>
          <w:szCs w:val="28"/>
        </w:rPr>
        <w:t xml:space="preserve"> ADICIONA </w:t>
      </w:r>
      <w:r w:rsidR="00F76D99" w:rsidRPr="00F76D99">
        <w:rPr>
          <w:rFonts w:ascii="Arial" w:hAnsi="Arial" w:cs="Arial"/>
          <w:b/>
          <w:sz w:val="28"/>
          <w:szCs w:val="28"/>
        </w:rPr>
        <w:t xml:space="preserve">UN QUINTO PÁRRAFO AL ARTÍCULO 211 </w:t>
      </w:r>
      <w:r w:rsidR="00F76D99">
        <w:rPr>
          <w:rFonts w:ascii="Arial" w:hAnsi="Arial" w:cs="Arial"/>
          <w:b/>
          <w:sz w:val="28"/>
          <w:szCs w:val="28"/>
        </w:rPr>
        <w:t>DE</w:t>
      </w:r>
      <w:r w:rsidR="00474709">
        <w:rPr>
          <w:rFonts w:ascii="Arial" w:hAnsi="Arial" w:cs="Arial"/>
          <w:b/>
          <w:sz w:val="28"/>
          <w:szCs w:val="28"/>
        </w:rPr>
        <w:t xml:space="preserve">L </w:t>
      </w:r>
      <w:r w:rsidR="005814DA" w:rsidRPr="005814DA">
        <w:rPr>
          <w:rFonts w:ascii="Arial" w:hAnsi="Arial" w:cs="Arial"/>
          <w:b/>
          <w:sz w:val="28"/>
          <w:szCs w:val="28"/>
        </w:rPr>
        <w:t>CÓDIGO PENAL DE COAHUILA DE ZARAGOZA</w:t>
      </w:r>
      <w:r w:rsidRPr="00DE2061">
        <w:rPr>
          <w:rFonts w:ascii="Arial" w:hAnsi="Arial" w:cs="Arial"/>
          <w:b/>
          <w:bCs/>
          <w:sz w:val="28"/>
          <w:szCs w:val="28"/>
        </w:rPr>
        <w:t>, A CARGO DEL DIPUTADO EMILIO ALEJANDRO DE HOYOS MONTEMAYOR, DEL GRUPO PARLAMENTARIO “BRÍGIDO RAMIRO MORENO HERNÁNDEZ” DEL PARTIDO UNIDAD DEMOCRÁTICA DE COAHUILA</w:t>
      </w:r>
      <w:r w:rsidR="00DE2061">
        <w:rPr>
          <w:rFonts w:ascii="Arial" w:hAnsi="Arial" w:cs="Arial"/>
          <w:b/>
          <w:bCs/>
          <w:sz w:val="28"/>
          <w:szCs w:val="28"/>
        </w:rPr>
        <w:t>,</w:t>
      </w:r>
      <w:r w:rsidRPr="00DE2061">
        <w:rPr>
          <w:rFonts w:ascii="Arial" w:hAnsi="Arial" w:cs="Arial"/>
          <w:b/>
          <w:bCs/>
          <w:sz w:val="28"/>
          <w:szCs w:val="28"/>
        </w:rPr>
        <w:t xml:space="preserve"> CONJUNTAMENTE CON LA DIPUTADA ZULMMA VERENICE GUERRERO CÁZARES.</w:t>
      </w:r>
    </w:p>
    <w:p w14:paraId="416BBFF2" w14:textId="77777777" w:rsidR="00A668E7" w:rsidRPr="00DE2061" w:rsidRDefault="00A668E7" w:rsidP="00750666">
      <w:pPr>
        <w:tabs>
          <w:tab w:val="left" w:pos="8321"/>
        </w:tabs>
        <w:spacing w:line="360" w:lineRule="auto"/>
        <w:jc w:val="both"/>
        <w:rPr>
          <w:rFonts w:ascii="Arial" w:eastAsia="Arial" w:hAnsi="Arial" w:cs="Arial"/>
          <w:b/>
          <w:sz w:val="28"/>
          <w:szCs w:val="28"/>
          <w:lang w:val="es-ES_tradnl" w:eastAsia="es-MX"/>
        </w:rPr>
      </w:pPr>
    </w:p>
    <w:p w14:paraId="32476C12" w14:textId="03CB0142" w:rsidR="00750666" w:rsidRPr="00DE2061" w:rsidRDefault="00750666" w:rsidP="00750666">
      <w:pPr>
        <w:tabs>
          <w:tab w:val="left" w:pos="8321"/>
        </w:tabs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  <w:r w:rsidRPr="00DE2061">
        <w:rPr>
          <w:rFonts w:ascii="Arial" w:eastAsia="Arial" w:hAnsi="Arial" w:cs="Arial"/>
          <w:sz w:val="28"/>
          <w:szCs w:val="28"/>
          <w:lang w:val="es-ES_tradnl" w:eastAsia="es-MX"/>
        </w:rPr>
        <w:t xml:space="preserve">El que suscribe, </w:t>
      </w:r>
      <w:bookmarkStart w:id="2" w:name="_Hlk38792804"/>
      <w:r w:rsidRPr="00DE2061">
        <w:rPr>
          <w:rFonts w:ascii="Arial" w:eastAsia="Arial" w:hAnsi="Arial" w:cs="Arial"/>
          <w:b/>
          <w:sz w:val="28"/>
          <w:szCs w:val="28"/>
          <w:lang w:val="es-ES_tradnl" w:eastAsia="es-MX"/>
        </w:rPr>
        <w:t xml:space="preserve">Emilio Alejandro de Hoyos Montemayor, </w:t>
      </w:r>
      <w:r w:rsidRPr="00DE2061">
        <w:rPr>
          <w:rFonts w:ascii="Arial" w:eastAsia="Arial" w:hAnsi="Arial" w:cs="Arial"/>
          <w:sz w:val="28"/>
          <w:szCs w:val="28"/>
          <w:lang w:val="es-ES_tradnl" w:eastAsia="es-MX"/>
        </w:rPr>
        <w:t xml:space="preserve">Diputado de la Sexagésima Primera Legislatura del Honorable Congreso del Estado por el Grupo Parlamentario “Brígido </w:t>
      </w:r>
      <w:r w:rsidR="006A579B" w:rsidRPr="00DE2061">
        <w:rPr>
          <w:rFonts w:ascii="Arial" w:eastAsia="Arial" w:hAnsi="Arial" w:cs="Arial"/>
          <w:sz w:val="28"/>
          <w:szCs w:val="28"/>
          <w:lang w:val="es-ES_tradnl" w:eastAsia="es-MX"/>
        </w:rPr>
        <w:t>R</w:t>
      </w:r>
      <w:r w:rsidRPr="00DE2061">
        <w:rPr>
          <w:rFonts w:ascii="Arial" w:eastAsia="Arial" w:hAnsi="Arial" w:cs="Arial"/>
          <w:sz w:val="28"/>
          <w:szCs w:val="28"/>
          <w:lang w:val="es-ES_tradnl" w:eastAsia="es-MX"/>
        </w:rPr>
        <w:t>amiro Moreno Hernández” del Partido Unidad Democrática de Coahuila</w:t>
      </w:r>
      <w:r w:rsidRPr="00DE2061">
        <w:rPr>
          <w:rFonts w:ascii="Arial" w:eastAsia="Arial" w:hAnsi="Arial" w:cs="Arial"/>
          <w:b/>
          <w:sz w:val="28"/>
          <w:szCs w:val="28"/>
          <w:lang w:val="es-ES_tradnl" w:eastAsia="es-MX"/>
        </w:rPr>
        <w:t xml:space="preserve">, </w:t>
      </w:r>
      <w:r w:rsidR="006A579B" w:rsidRPr="00DE2061">
        <w:rPr>
          <w:rFonts w:ascii="Arial" w:eastAsia="Arial" w:hAnsi="Arial" w:cs="Arial"/>
          <w:b/>
          <w:sz w:val="28"/>
          <w:szCs w:val="28"/>
          <w:lang w:val="es-ES_tradnl" w:eastAsia="es-MX"/>
        </w:rPr>
        <w:t xml:space="preserve">conjuntamente con la Diputada </w:t>
      </w:r>
      <w:proofErr w:type="spellStart"/>
      <w:r w:rsidR="006A579B" w:rsidRPr="00DE2061">
        <w:rPr>
          <w:rFonts w:ascii="Arial" w:eastAsia="Arial" w:hAnsi="Arial" w:cs="Arial"/>
          <w:b/>
          <w:sz w:val="28"/>
          <w:szCs w:val="28"/>
          <w:lang w:val="es-ES_tradnl" w:eastAsia="es-MX"/>
        </w:rPr>
        <w:t>Zulmma</w:t>
      </w:r>
      <w:proofErr w:type="spellEnd"/>
      <w:r w:rsidR="006A579B" w:rsidRPr="00DE2061">
        <w:rPr>
          <w:rFonts w:ascii="Arial" w:eastAsia="Arial" w:hAnsi="Arial" w:cs="Arial"/>
          <w:b/>
          <w:sz w:val="28"/>
          <w:szCs w:val="28"/>
          <w:lang w:val="es-ES_tradnl" w:eastAsia="es-MX"/>
        </w:rPr>
        <w:t xml:space="preserve"> </w:t>
      </w:r>
      <w:proofErr w:type="spellStart"/>
      <w:r w:rsidR="006A579B" w:rsidRPr="00DE2061">
        <w:rPr>
          <w:rFonts w:ascii="Arial" w:eastAsia="Arial" w:hAnsi="Arial" w:cs="Arial"/>
          <w:b/>
          <w:sz w:val="28"/>
          <w:szCs w:val="28"/>
          <w:lang w:val="es-ES_tradnl" w:eastAsia="es-MX"/>
        </w:rPr>
        <w:t>Verenice</w:t>
      </w:r>
      <w:proofErr w:type="spellEnd"/>
      <w:r w:rsidR="006A579B" w:rsidRPr="00DE2061">
        <w:rPr>
          <w:rFonts w:ascii="Arial" w:eastAsia="Arial" w:hAnsi="Arial" w:cs="Arial"/>
          <w:b/>
          <w:sz w:val="28"/>
          <w:szCs w:val="28"/>
          <w:lang w:val="es-ES_tradnl" w:eastAsia="es-MX"/>
        </w:rPr>
        <w:t xml:space="preserve"> Guerrero Cázares </w:t>
      </w:r>
      <w:bookmarkEnd w:id="2"/>
      <w:r w:rsidRPr="00DE2061">
        <w:rPr>
          <w:rFonts w:ascii="Arial" w:eastAsia="Arial" w:hAnsi="Arial" w:cs="Arial"/>
          <w:sz w:val="28"/>
          <w:szCs w:val="28"/>
          <w:lang w:val="es-ES_tradnl" w:eastAsia="es-MX"/>
        </w:rPr>
        <w:t xml:space="preserve">en ejercicio de la facultad legislativa que concede el artículo 59 fracción I, 65 y 67 fracción I, de la Constitución Política del Estado de Coahuila de Zaragoza, y con fundamento en los artículos 21 fracción IV, 152 fracción I, 159 y 160 de </w:t>
      </w:r>
      <w:r w:rsidRPr="00DE2061">
        <w:rPr>
          <w:rFonts w:ascii="Arial" w:eastAsia="Arial" w:hAnsi="Arial" w:cs="Arial"/>
          <w:sz w:val="28"/>
          <w:szCs w:val="28"/>
          <w:lang w:val="es-ES_tradnl" w:eastAsia="es-MX"/>
        </w:rPr>
        <w:lastRenderedPageBreak/>
        <w:t>la Ley Orgánica del Congreso del Estado Independiente Libre y Soberano de Coahuila de Zaragoza, someto a consideración del pleno de ésta Honorable Representación iniciativa con proyecto de decreto que</w:t>
      </w:r>
      <w:r w:rsidR="005814DA" w:rsidRPr="005814DA">
        <w:rPr>
          <w:rFonts w:ascii="Arial" w:eastAsia="Arial" w:hAnsi="Arial" w:cs="Arial"/>
          <w:sz w:val="28"/>
          <w:szCs w:val="28"/>
          <w:lang w:val="es-ES_tradnl" w:eastAsia="es-MX"/>
        </w:rPr>
        <w:t xml:space="preserve"> adiciona </w:t>
      </w:r>
      <w:r w:rsidR="0097155C" w:rsidRPr="0097155C">
        <w:rPr>
          <w:rFonts w:ascii="Arial" w:eastAsia="Arial" w:hAnsi="Arial" w:cs="Arial"/>
          <w:sz w:val="28"/>
          <w:szCs w:val="28"/>
          <w:lang w:val="es-ES_tradnl" w:eastAsia="es-MX"/>
        </w:rPr>
        <w:t xml:space="preserve">un quinto párrafo al artículo 211 </w:t>
      </w:r>
      <w:r w:rsidR="0097155C">
        <w:rPr>
          <w:rFonts w:ascii="Arial" w:eastAsia="Arial" w:hAnsi="Arial" w:cs="Arial"/>
          <w:sz w:val="28"/>
          <w:szCs w:val="28"/>
          <w:lang w:val="es-ES_tradnl" w:eastAsia="es-MX"/>
        </w:rPr>
        <w:t xml:space="preserve">del </w:t>
      </w:r>
      <w:r w:rsidR="005814DA" w:rsidRPr="005814DA">
        <w:rPr>
          <w:rFonts w:ascii="Arial" w:eastAsia="Arial" w:hAnsi="Arial" w:cs="Arial"/>
          <w:sz w:val="28"/>
          <w:szCs w:val="28"/>
          <w:lang w:val="es-ES_tradnl" w:eastAsia="es-MX"/>
        </w:rPr>
        <w:t>Código Penal de Coahuila de Zaragoza</w:t>
      </w:r>
      <w:r w:rsidRPr="00DE2061">
        <w:rPr>
          <w:rFonts w:ascii="Arial" w:eastAsia="Arial" w:hAnsi="Arial" w:cs="Arial"/>
          <w:sz w:val="28"/>
          <w:szCs w:val="28"/>
          <w:lang w:val="es-ES_tradnl" w:eastAsia="es-MX"/>
        </w:rPr>
        <w:t>, al tenor de la siguiente:</w:t>
      </w:r>
    </w:p>
    <w:p w14:paraId="7909CBE6" w14:textId="77777777" w:rsidR="00750666" w:rsidRPr="00DE2061" w:rsidRDefault="00750666" w:rsidP="00750666">
      <w:pPr>
        <w:jc w:val="center"/>
        <w:rPr>
          <w:rFonts w:ascii="Arial" w:eastAsia="Arial" w:hAnsi="Arial" w:cs="Arial"/>
          <w:b/>
          <w:sz w:val="28"/>
          <w:szCs w:val="28"/>
          <w:lang w:val="es-ES_tradnl" w:eastAsia="es-MX"/>
        </w:rPr>
      </w:pPr>
    </w:p>
    <w:p w14:paraId="282413C3" w14:textId="2E9677AA" w:rsidR="00DC4DDC" w:rsidRDefault="00750666" w:rsidP="004D3D78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  <w:lang w:val="es-ES_tradnl" w:eastAsia="es-MX"/>
        </w:rPr>
      </w:pPr>
      <w:r w:rsidRPr="00DE2061">
        <w:rPr>
          <w:rFonts w:ascii="Arial" w:eastAsia="Arial" w:hAnsi="Arial" w:cs="Arial"/>
          <w:b/>
          <w:sz w:val="28"/>
          <w:szCs w:val="28"/>
          <w:lang w:val="es-ES_tradnl" w:eastAsia="es-MX"/>
        </w:rPr>
        <w:t>EXPOSICION DE MOTIVOS</w:t>
      </w:r>
    </w:p>
    <w:p w14:paraId="5D798BF9" w14:textId="77777777" w:rsidR="004D3D78" w:rsidRPr="004D3D78" w:rsidRDefault="004D3D78" w:rsidP="004D3D78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  <w:lang w:val="es-ES_tradnl" w:eastAsia="es-MX"/>
        </w:rPr>
      </w:pPr>
    </w:p>
    <w:p w14:paraId="5C348D43" w14:textId="548D9624" w:rsidR="00BB72C9" w:rsidRDefault="00BB72C9" w:rsidP="00BB72C9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  <w:r w:rsidRPr="00BB72C9">
        <w:rPr>
          <w:rFonts w:ascii="Arial" w:eastAsia="Arial" w:hAnsi="Arial" w:cs="Arial"/>
          <w:sz w:val="28"/>
          <w:szCs w:val="28"/>
          <w:lang w:val="es-ES_tradnl" w:eastAsia="es-MX"/>
        </w:rPr>
        <w:t>La Corte Interamericana de Derechos Humanos</w:t>
      </w:r>
      <w:r w:rsidR="001650B1">
        <w:rPr>
          <w:rFonts w:ascii="Arial" w:eastAsia="Arial" w:hAnsi="Arial" w:cs="Arial"/>
          <w:sz w:val="28"/>
          <w:szCs w:val="28"/>
          <w:lang w:val="es-ES_tradnl" w:eastAsia="es-MX"/>
        </w:rPr>
        <w:t xml:space="preserve"> ha definido </w:t>
      </w:r>
      <w:r w:rsidRPr="00BB72C9">
        <w:rPr>
          <w:rFonts w:ascii="Arial" w:eastAsia="Arial" w:hAnsi="Arial" w:cs="Arial"/>
          <w:sz w:val="28"/>
          <w:szCs w:val="28"/>
          <w:lang w:val="es-ES_tradnl" w:eastAsia="es-MX"/>
        </w:rPr>
        <w:t>como</w:t>
      </w:r>
      <w:r w:rsidR="006A069E">
        <w:rPr>
          <w:rFonts w:ascii="Arial" w:eastAsia="Arial" w:hAnsi="Arial" w:cs="Arial"/>
          <w:sz w:val="28"/>
          <w:szCs w:val="28"/>
          <w:lang w:val="es-ES_tradnl" w:eastAsia="es-MX"/>
        </w:rPr>
        <w:t xml:space="preserve"> </w:t>
      </w:r>
      <w:r w:rsidRPr="00BB72C9">
        <w:rPr>
          <w:rFonts w:ascii="Arial" w:eastAsia="Arial" w:hAnsi="Arial" w:cs="Arial"/>
          <w:sz w:val="28"/>
          <w:szCs w:val="28"/>
          <w:lang w:val="es-ES_tradnl" w:eastAsia="es-MX"/>
        </w:rPr>
        <w:t>feminicidio a los homicidios de mujeres por razones de género, considerando que</w:t>
      </w:r>
      <w:r w:rsidR="006A069E">
        <w:rPr>
          <w:rFonts w:ascii="Arial" w:eastAsia="Arial" w:hAnsi="Arial" w:cs="Arial"/>
          <w:sz w:val="28"/>
          <w:szCs w:val="28"/>
          <w:lang w:val="es-ES_tradnl" w:eastAsia="es-MX"/>
        </w:rPr>
        <w:t xml:space="preserve"> </w:t>
      </w:r>
      <w:r w:rsidRPr="00BB72C9">
        <w:rPr>
          <w:rFonts w:ascii="Arial" w:eastAsia="Arial" w:hAnsi="Arial" w:cs="Arial"/>
          <w:sz w:val="28"/>
          <w:szCs w:val="28"/>
          <w:lang w:val="es-ES_tradnl" w:eastAsia="es-MX"/>
        </w:rPr>
        <w:t>estos se dan como resultado de una situación estructural que responde a un fenómeno</w:t>
      </w:r>
      <w:r w:rsidR="006A069E">
        <w:rPr>
          <w:rFonts w:ascii="Arial" w:eastAsia="Arial" w:hAnsi="Arial" w:cs="Arial"/>
          <w:sz w:val="28"/>
          <w:szCs w:val="28"/>
          <w:lang w:val="es-ES_tradnl" w:eastAsia="es-MX"/>
        </w:rPr>
        <w:t xml:space="preserve"> </w:t>
      </w:r>
      <w:r w:rsidRPr="00BB72C9">
        <w:rPr>
          <w:rFonts w:ascii="Arial" w:eastAsia="Arial" w:hAnsi="Arial" w:cs="Arial"/>
          <w:sz w:val="28"/>
          <w:szCs w:val="28"/>
          <w:lang w:val="es-ES_tradnl" w:eastAsia="es-MX"/>
        </w:rPr>
        <w:t>social enraizado en las costumbres y mentalidades de las personas que justifican la</w:t>
      </w:r>
      <w:r w:rsidR="006A069E">
        <w:rPr>
          <w:rFonts w:ascii="Arial" w:eastAsia="Arial" w:hAnsi="Arial" w:cs="Arial"/>
          <w:sz w:val="28"/>
          <w:szCs w:val="28"/>
          <w:lang w:val="es-ES_tradnl" w:eastAsia="es-MX"/>
        </w:rPr>
        <w:t xml:space="preserve"> </w:t>
      </w:r>
      <w:r w:rsidRPr="00BB72C9">
        <w:rPr>
          <w:rFonts w:ascii="Arial" w:eastAsia="Arial" w:hAnsi="Arial" w:cs="Arial"/>
          <w:sz w:val="28"/>
          <w:szCs w:val="28"/>
          <w:lang w:val="es-ES_tradnl" w:eastAsia="es-MX"/>
        </w:rPr>
        <w:t>violencia y la discriminación basadas en el género.</w:t>
      </w:r>
    </w:p>
    <w:p w14:paraId="3D18B282" w14:textId="56C5CD40" w:rsidR="00057884" w:rsidRDefault="00057884" w:rsidP="00BB72C9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</w:p>
    <w:p w14:paraId="7D5FF8D9" w14:textId="2E5E47C3" w:rsidR="00F40C02" w:rsidRDefault="00F40C02" w:rsidP="00F40C02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  <w:r w:rsidRPr="00F40C02">
        <w:rPr>
          <w:rFonts w:ascii="Arial" w:eastAsia="Arial" w:hAnsi="Arial" w:cs="Arial"/>
          <w:sz w:val="28"/>
          <w:szCs w:val="28"/>
          <w:lang w:val="es-ES_tradnl" w:eastAsia="es-MX"/>
        </w:rPr>
        <w:t>El feminicidio es la expresión más extrema</w:t>
      </w:r>
      <w:r>
        <w:rPr>
          <w:rFonts w:ascii="Arial" w:eastAsia="Arial" w:hAnsi="Arial" w:cs="Arial"/>
          <w:sz w:val="28"/>
          <w:szCs w:val="28"/>
          <w:lang w:val="es-ES_tradnl" w:eastAsia="es-MX"/>
        </w:rPr>
        <w:t xml:space="preserve"> </w:t>
      </w:r>
      <w:r w:rsidRPr="00F40C02">
        <w:rPr>
          <w:rFonts w:ascii="Arial" w:eastAsia="Arial" w:hAnsi="Arial" w:cs="Arial"/>
          <w:sz w:val="28"/>
          <w:szCs w:val="28"/>
          <w:lang w:val="es-ES_tradnl" w:eastAsia="es-MX"/>
        </w:rPr>
        <w:t>de la violencia contra la mujer</w:t>
      </w:r>
      <w:r w:rsidR="00946284">
        <w:rPr>
          <w:rFonts w:ascii="Arial" w:eastAsia="Arial" w:hAnsi="Arial" w:cs="Arial"/>
          <w:sz w:val="28"/>
          <w:szCs w:val="28"/>
          <w:lang w:val="es-ES_tradnl" w:eastAsia="es-MX"/>
        </w:rPr>
        <w:t>,</w:t>
      </w:r>
      <w:r>
        <w:rPr>
          <w:rFonts w:ascii="Arial" w:eastAsia="Arial" w:hAnsi="Arial" w:cs="Arial"/>
          <w:sz w:val="28"/>
          <w:szCs w:val="28"/>
          <w:lang w:val="es-ES_tradnl" w:eastAsia="es-MX"/>
        </w:rPr>
        <w:t xml:space="preserve"> </w:t>
      </w:r>
      <w:r w:rsidR="00F81AD6">
        <w:rPr>
          <w:rFonts w:ascii="Arial" w:eastAsia="Arial" w:hAnsi="Arial" w:cs="Arial"/>
          <w:sz w:val="28"/>
          <w:szCs w:val="28"/>
          <w:lang w:val="es-ES_tradnl" w:eastAsia="es-MX"/>
        </w:rPr>
        <w:t xml:space="preserve">por el hecho de ser mujer, </w:t>
      </w:r>
      <w:r w:rsidRPr="00F40C02">
        <w:rPr>
          <w:rFonts w:ascii="Arial" w:eastAsia="Arial" w:hAnsi="Arial" w:cs="Arial"/>
          <w:sz w:val="28"/>
          <w:szCs w:val="28"/>
          <w:lang w:val="es-ES_tradnl" w:eastAsia="es-MX"/>
        </w:rPr>
        <w:t>y abarca cualquier homicidio de mujeres cometido</w:t>
      </w:r>
      <w:r w:rsidR="00946284">
        <w:rPr>
          <w:rFonts w:ascii="Arial" w:eastAsia="Arial" w:hAnsi="Arial" w:cs="Arial"/>
          <w:sz w:val="28"/>
          <w:szCs w:val="28"/>
          <w:lang w:val="es-ES_tradnl" w:eastAsia="es-MX"/>
        </w:rPr>
        <w:t xml:space="preserve"> </w:t>
      </w:r>
      <w:r w:rsidRPr="00F40C02">
        <w:rPr>
          <w:rFonts w:ascii="Arial" w:eastAsia="Arial" w:hAnsi="Arial" w:cs="Arial"/>
          <w:sz w:val="28"/>
          <w:szCs w:val="28"/>
          <w:lang w:val="es-ES_tradnl" w:eastAsia="es-MX"/>
        </w:rPr>
        <w:t>basándose en la discriminación de género.</w:t>
      </w:r>
    </w:p>
    <w:p w14:paraId="0C4ED079" w14:textId="77777777" w:rsidR="00F40C02" w:rsidRPr="00BB72C9" w:rsidRDefault="00F40C02" w:rsidP="00BB72C9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</w:p>
    <w:p w14:paraId="1C223D2B" w14:textId="5C900BA4" w:rsidR="00C62AB7" w:rsidRPr="00D77973" w:rsidRDefault="00BB72C9" w:rsidP="00D77973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  <w:r w:rsidRPr="00BB72C9">
        <w:rPr>
          <w:rFonts w:ascii="Arial" w:eastAsia="Arial" w:hAnsi="Arial" w:cs="Arial"/>
          <w:sz w:val="28"/>
          <w:szCs w:val="28"/>
          <w:lang w:val="es-ES_tradnl" w:eastAsia="es-MX"/>
        </w:rPr>
        <w:t xml:space="preserve">Las cifras de los feminicidios en </w:t>
      </w:r>
      <w:r w:rsidR="00F07E7C">
        <w:rPr>
          <w:rFonts w:ascii="Arial" w:eastAsia="Arial" w:hAnsi="Arial" w:cs="Arial"/>
          <w:sz w:val="28"/>
          <w:szCs w:val="28"/>
          <w:lang w:val="es-ES_tradnl" w:eastAsia="es-MX"/>
        </w:rPr>
        <w:t>México</w:t>
      </w:r>
      <w:r w:rsidRPr="00BB72C9">
        <w:rPr>
          <w:rFonts w:ascii="Arial" w:eastAsia="Arial" w:hAnsi="Arial" w:cs="Arial"/>
          <w:sz w:val="28"/>
          <w:szCs w:val="28"/>
          <w:lang w:val="es-ES_tradnl" w:eastAsia="es-MX"/>
        </w:rPr>
        <w:t xml:space="preserve"> son sumamente preocupantes.</w:t>
      </w:r>
      <w:r w:rsidR="00524E90">
        <w:rPr>
          <w:rFonts w:ascii="Arial" w:eastAsia="Arial" w:hAnsi="Arial" w:cs="Arial"/>
          <w:sz w:val="28"/>
          <w:szCs w:val="28"/>
          <w:lang w:val="es-ES_tradnl" w:eastAsia="es-MX"/>
        </w:rPr>
        <w:t xml:space="preserve"> De</w:t>
      </w:r>
      <w:r w:rsidR="005E34BA">
        <w:rPr>
          <w:rFonts w:ascii="Arial" w:eastAsia="Arial" w:hAnsi="Arial" w:cs="Arial"/>
          <w:sz w:val="28"/>
          <w:szCs w:val="28"/>
          <w:lang w:val="es-ES_tradnl" w:eastAsia="es-MX"/>
        </w:rPr>
        <w:t xml:space="preserve"> </w:t>
      </w:r>
      <w:r w:rsidR="00524E90">
        <w:rPr>
          <w:rFonts w:ascii="Arial" w:eastAsia="Arial" w:hAnsi="Arial" w:cs="Arial"/>
          <w:sz w:val="28"/>
          <w:szCs w:val="28"/>
          <w:lang w:val="es-ES_tradnl" w:eastAsia="es-MX"/>
        </w:rPr>
        <w:t xml:space="preserve">acuerdo </w:t>
      </w:r>
      <w:r w:rsidR="0014586A">
        <w:rPr>
          <w:rFonts w:ascii="Arial" w:eastAsia="Arial" w:hAnsi="Arial" w:cs="Arial"/>
          <w:sz w:val="28"/>
          <w:szCs w:val="28"/>
          <w:lang w:val="es-ES_tradnl" w:eastAsia="es-MX"/>
        </w:rPr>
        <w:t>con</w:t>
      </w:r>
      <w:r w:rsidR="00524E90">
        <w:rPr>
          <w:rFonts w:ascii="Arial" w:eastAsia="Arial" w:hAnsi="Arial" w:cs="Arial"/>
          <w:sz w:val="28"/>
          <w:szCs w:val="28"/>
          <w:lang w:val="es-ES_tradnl" w:eastAsia="es-MX"/>
        </w:rPr>
        <w:t xml:space="preserve"> datos </w:t>
      </w:r>
      <w:r w:rsidR="00D77973" w:rsidRPr="00D77973">
        <w:rPr>
          <w:rFonts w:ascii="Arial" w:eastAsia="Arial" w:hAnsi="Arial" w:cs="Arial"/>
          <w:sz w:val="28"/>
          <w:szCs w:val="28"/>
          <w:lang w:val="es-ES_tradnl" w:eastAsia="es-MX"/>
        </w:rPr>
        <w:t xml:space="preserve">del Secretario Ejecutivo del Sistema Nacional de </w:t>
      </w:r>
      <w:r w:rsidR="00D77973" w:rsidRPr="00D77973">
        <w:rPr>
          <w:rFonts w:ascii="Arial" w:eastAsia="Arial" w:hAnsi="Arial" w:cs="Arial"/>
          <w:sz w:val="28"/>
          <w:szCs w:val="28"/>
          <w:lang w:val="es-ES_tradnl" w:eastAsia="es-MX"/>
        </w:rPr>
        <w:lastRenderedPageBreak/>
        <w:t>Seguridad Pública (SESNSP), en los últimos cinco años se ha duplicado el n</w:t>
      </w:r>
      <w:r w:rsidR="00524E90">
        <w:rPr>
          <w:rFonts w:ascii="Arial" w:eastAsia="Arial" w:hAnsi="Arial" w:cs="Arial"/>
          <w:sz w:val="28"/>
          <w:szCs w:val="28"/>
          <w:lang w:val="es-ES_tradnl" w:eastAsia="es-MX"/>
        </w:rPr>
        <w:t>ú</w:t>
      </w:r>
      <w:r w:rsidR="00D77973" w:rsidRPr="00D77973">
        <w:rPr>
          <w:rFonts w:ascii="Arial" w:eastAsia="Arial" w:hAnsi="Arial" w:cs="Arial"/>
          <w:sz w:val="28"/>
          <w:szCs w:val="28"/>
          <w:lang w:val="es-ES_tradnl" w:eastAsia="es-MX"/>
        </w:rPr>
        <w:t>mero de feminicidios en el país.</w:t>
      </w:r>
    </w:p>
    <w:p w14:paraId="42A50CF1" w14:textId="77777777" w:rsidR="00D77973" w:rsidRPr="00D77973" w:rsidRDefault="00D77973" w:rsidP="00524E90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  <w:r w:rsidRPr="00D77973">
        <w:rPr>
          <w:rFonts w:ascii="Arial" w:eastAsia="Arial" w:hAnsi="Arial" w:cs="Arial"/>
          <w:sz w:val="28"/>
          <w:szCs w:val="28"/>
          <w:lang w:val="es-ES_tradnl" w:eastAsia="es-MX"/>
        </w:rPr>
        <w:t>•</w:t>
      </w:r>
      <w:r w:rsidRPr="00D77973">
        <w:rPr>
          <w:rFonts w:ascii="Arial" w:eastAsia="Arial" w:hAnsi="Arial" w:cs="Arial"/>
          <w:sz w:val="28"/>
          <w:szCs w:val="28"/>
          <w:lang w:val="es-ES_tradnl" w:eastAsia="es-MX"/>
        </w:rPr>
        <w:tab/>
        <w:t>2015:  411</w:t>
      </w:r>
    </w:p>
    <w:p w14:paraId="50EE4C6C" w14:textId="77777777" w:rsidR="00D77973" w:rsidRPr="00D77973" w:rsidRDefault="00D77973" w:rsidP="00524E90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  <w:r w:rsidRPr="00D77973">
        <w:rPr>
          <w:rFonts w:ascii="Arial" w:eastAsia="Arial" w:hAnsi="Arial" w:cs="Arial"/>
          <w:sz w:val="28"/>
          <w:szCs w:val="28"/>
          <w:lang w:val="es-ES_tradnl" w:eastAsia="es-MX"/>
        </w:rPr>
        <w:t>•</w:t>
      </w:r>
      <w:r w:rsidRPr="00D77973">
        <w:rPr>
          <w:rFonts w:ascii="Arial" w:eastAsia="Arial" w:hAnsi="Arial" w:cs="Arial"/>
          <w:sz w:val="28"/>
          <w:szCs w:val="28"/>
          <w:lang w:val="es-ES_tradnl" w:eastAsia="es-MX"/>
        </w:rPr>
        <w:tab/>
        <w:t>2016: 605</w:t>
      </w:r>
    </w:p>
    <w:p w14:paraId="60F6A107" w14:textId="77777777" w:rsidR="00D77973" w:rsidRPr="00D77973" w:rsidRDefault="00D77973" w:rsidP="00524E90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  <w:r w:rsidRPr="00D77973">
        <w:rPr>
          <w:rFonts w:ascii="Arial" w:eastAsia="Arial" w:hAnsi="Arial" w:cs="Arial"/>
          <w:sz w:val="28"/>
          <w:szCs w:val="28"/>
          <w:lang w:val="es-ES_tradnl" w:eastAsia="es-MX"/>
        </w:rPr>
        <w:t>•</w:t>
      </w:r>
      <w:r w:rsidRPr="00D77973">
        <w:rPr>
          <w:rFonts w:ascii="Arial" w:eastAsia="Arial" w:hAnsi="Arial" w:cs="Arial"/>
          <w:sz w:val="28"/>
          <w:szCs w:val="28"/>
          <w:lang w:val="es-ES_tradnl" w:eastAsia="es-MX"/>
        </w:rPr>
        <w:tab/>
        <w:t>2017: 741</w:t>
      </w:r>
    </w:p>
    <w:p w14:paraId="708C628E" w14:textId="77777777" w:rsidR="00D77973" w:rsidRPr="00D77973" w:rsidRDefault="00D77973" w:rsidP="00524E90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  <w:r w:rsidRPr="00D77973">
        <w:rPr>
          <w:rFonts w:ascii="Arial" w:eastAsia="Arial" w:hAnsi="Arial" w:cs="Arial"/>
          <w:sz w:val="28"/>
          <w:szCs w:val="28"/>
          <w:lang w:val="es-ES_tradnl" w:eastAsia="es-MX"/>
        </w:rPr>
        <w:t>•</w:t>
      </w:r>
      <w:r w:rsidRPr="00D77973">
        <w:rPr>
          <w:rFonts w:ascii="Arial" w:eastAsia="Arial" w:hAnsi="Arial" w:cs="Arial"/>
          <w:sz w:val="28"/>
          <w:szCs w:val="28"/>
          <w:lang w:val="es-ES_tradnl" w:eastAsia="es-MX"/>
        </w:rPr>
        <w:tab/>
        <w:t>2018: 892</w:t>
      </w:r>
    </w:p>
    <w:p w14:paraId="54ADD9B2" w14:textId="624208B1" w:rsidR="00D77973" w:rsidRDefault="00D77973" w:rsidP="00524E90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  <w:r w:rsidRPr="00D77973">
        <w:rPr>
          <w:rFonts w:ascii="Arial" w:eastAsia="Arial" w:hAnsi="Arial" w:cs="Arial"/>
          <w:sz w:val="28"/>
          <w:szCs w:val="28"/>
          <w:lang w:val="es-ES_tradnl" w:eastAsia="es-MX"/>
        </w:rPr>
        <w:t>•</w:t>
      </w:r>
      <w:r w:rsidRPr="00D77973">
        <w:rPr>
          <w:rFonts w:ascii="Arial" w:eastAsia="Arial" w:hAnsi="Arial" w:cs="Arial"/>
          <w:sz w:val="28"/>
          <w:szCs w:val="28"/>
          <w:lang w:val="es-ES_tradnl" w:eastAsia="es-MX"/>
        </w:rPr>
        <w:tab/>
        <w:t>2019: 933</w:t>
      </w:r>
    </w:p>
    <w:p w14:paraId="435BF978" w14:textId="77777777" w:rsidR="00C62AB7" w:rsidRDefault="00C62AB7" w:rsidP="00D77973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</w:p>
    <w:p w14:paraId="79A94A1B" w14:textId="7384A933" w:rsidR="00F07E7C" w:rsidRDefault="00D77973" w:rsidP="00D77973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  <w:r w:rsidRPr="00D77973">
        <w:rPr>
          <w:rFonts w:ascii="Arial" w:eastAsia="Arial" w:hAnsi="Arial" w:cs="Arial"/>
          <w:sz w:val="28"/>
          <w:szCs w:val="28"/>
          <w:lang w:val="es-ES_tradnl" w:eastAsia="es-MX"/>
        </w:rPr>
        <w:t xml:space="preserve">Este año, al corte de agosto se tienen registrados 626 feminicidios en el país, </w:t>
      </w:r>
      <w:r w:rsidR="009D039A">
        <w:rPr>
          <w:rFonts w:ascii="Arial" w:eastAsia="Arial" w:hAnsi="Arial" w:cs="Arial"/>
          <w:sz w:val="28"/>
          <w:szCs w:val="28"/>
          <w:lang w:val="es-ES_tradnl" w:eastAsia="es-MX"/>
        </w:rPr>
        <w:t>lo cual</w:t>
      </w:r>
      <w:r w:rsidRPr="00D77973">
        <w:rPr>
          <w:rFonts w:ascii="Arial" w:eastAsia="Arial" w:hAnsi="Arial" w:cs="Arial"/>
          <w:sz w:val="28"/>
          <w:szCs w:val="28"/>
          <w:lang w:val="es-ES_tradnl" w:eastAsia="es-MX"/>
        </w:rPr>
        <w:t xml:space="preserve"> tristemente indica que, si no hacemos algo pronto, este año habrá más de 1000 feminicidios en México.</w:t>
      </w:r>
    </w:p>
    <w:p w14:paraId="574A2E5D" w14:textId="77777777" w:rsidR="00D64BD2" w:rsidRDefault="00D64BD2" w:rsidP="002D394B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</w:p>
    <w:p w14:paraId="5A257BC1" w14:textId="45CC37B1" w:rsidR="002D394B" w:rsidRPr="002D394B" w:rsidRDefault="00D64BD2" w:rsidP="002D394B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  <w:r>
        <w:rPr>
          <w:rFonts w:ascii="Arial" w:eastAsia="Arial" w:hAnsi="Arial" w:cs="Arial"/>
          <w:sz w:val="28"/>
          <w:szCs w:val="28"/>
          <w:lang w:val="es-ES_tradnl" w:eastAsia="es-MX"/>
        </w:rPr>
        <w:t xml:space="preserve">Según diversos estudios, no solo en México, sino en Latinoamérica, el feminicidio </w:t>
      </w:r>
      <w:r w:rsidR="002D394B" w:rsidRPr="002D394B">
        <w:rPr>
          <w:rFonts w:ascii="Arial" w:eastAsia="Arial" w:hAnsi="Arial" w:cs="Arial"/>
          <w:sz w:val="28"/>
          <w:szCs w:val="28"/>
          <w:lang w:val="es-ES_tradnl" w:eastAsia="es-MX"/>
        </w:rPr>
        <w:t>se trata, principalmente, de un asesinato de</w:t>
      </w:r>
      <w:r>
        <w:rPr>
          <w:rFonts w:ascii="Arial" w:eastAsia="Arial" w:hAnsi="Arial" w:cs="Arial"/>
          <w:sz w:val="28"/>
          <w:szCs w:val="28"/>
          <w:lang w:val="es-ES_tradnl" w:eastAsia="es-MX"/>
        </w:rPr>
        <w:t xml:space="preserve"> </w:t>
      </w:r>
      <w:r w:rsidR="002D394B" w:rsidRPr="002D394B">
        <w:rPr>
          <w:rFonts w:ascii="Arial" w:eastAsia="Arial" w:hAnsi="Arial" w:cs="Arial"/>
          <w:sz w:val="28"/>
          <w:szCs w:val="28"/>
          <w:lang w:val="es-ES_tradnl" w:eastAsia="es-MX"/>
        </w:rPr>
        <w:t>mujeres por parte de sus parejas o exparejas, como resultado de una violencia</w:t>
      </w:r>
      <w:r w:rsidR="00291605">
        <w:rPr>
          <w:rFonts w:ascii="Arial" w:eastAsia="Arial" w:hAnsi="Arial" w:cs="Arial"/>
          <w:sz w:val="28"/>
          <w:szCs w:val="28"/>
          <w:lang w:val="es-ES_tradnl" w:eastAsia="es-MX"/>
        </w:rPr>
        <w:t xml:space="preserve"> </w:t>
      </w:r>
      <w:r w:rsidR="002D394B" w:rsidRPr="002D394B">
        <w:rPr>
          <w:rFonts w:ascii="Arial" w:eastAsia="Arial" w:hAnsi="Arial" w:cs="Arial"/>
          <w:sz w:val="28"/>
          <w:szCs w:val="28"/>
          <w:lang w:val="es-ES_tradnl" w:eastAsia="es-MX"/>
        </w:rPr>
        <w:t>sistemática que es necesario identificar, prevenir y erradicar.</w:t>
      </w:r>
      <w:r w:rsidR="00291605">
        <w:rPr>
          <w:rFonts w:ascii="Arial" w:eastAsia="Arial" w:hAnsi="Arial" w:cs="Arial"/>
          <w:sz w:val="28"/>
          <w:szCs w:val="28"/>
          <w:lang w:val="es-ES_tradnl" w:eastAsia="es-MX"/>
        </w:rPr>
        <w:t xml:space="preserve"> Particularmente en México, </w:t>
      </w:r>
      <w:r w:rsidR="00B8357D">
        <w:rPr>
          <w:rFonts w:ascii="Arial" w:eastAsia="Arial" w:hAnsi="Arial" w:cs="Arial"/>
          <w:sz w:val="28"/>
          <w:szCs w:val="28"/>
          <w:lang w:val="es-ES_tradnl" w:eastAsia="es-MX"/>
        </w:rPr>
        <w:t xml:space="preserve">alrededor del 40% de los feminicidios son cometidos </w:t>
      </w:r>
      <w:r w:rsidR="00B810DA">
        <w:rPr>
          <w:rFonts w:ascii="Arial" w:eastAsia="Arial" w:hAnsi="Arial" w:cs="Arial"/>
          <w:sz w:val="28"/>
          <w:szCs w:val="28"/>
          <w:lang w:val="es-ES_tradnl" w:eastAsia="es-MX"/>
        </w:rPr>
        <w:t xml:space="preserve">por la pareja o ex pareja, y en </w:t>
      </w:r>
      <w:r w:rsidR="00AA00E6">
        <w:rPr>
          <w:rFonts w:ascii="Arial" w:eastAsia="Arial" w:hAnsi="Arial" w:cs="Arial"/>
          <w:sz w:val="28"/>
          <w:szCs w:val="28"/>
          <w:lang w:val="es-ES_tradnl" w:eastAsia="es-MX"/>
        </w:rPr>
        <w:t>su propio domicilio. A lo cual se suma que en 60% de los casos existía ya un antecedente de violencia familiar.</w:t>
      </w:r>
    </w:p>
    <w:p w14:paraId="6C8F3A5E" w14:textId="77777777" w:rsidR="0082544E" w:rsidRDefault="0082544E" w:rsidP="002D394B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</w:p>
    <w:p w14:paraId="70619F20" w14:textId="00C84E98" w:rsidR="00BB72C9" w:rsidRDefault="0082544E" w:rsidP="00303C54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  <w:r>
        <w:rPr>
          <w:rFonts w:ascii="Arial" w:eastAsia="Arial" w:hAnsi="Arial" w:cs="Arial"/>
          <w:sz w:val="28"/>
          <w:szCs w:val="28"/>
          <w:lang w:val="es-ES_tradnl" w:eastAsia="es-MX"/>
        </w:rPr>
        <w:t>Por eso resulta por demás fundamental tomar medidas urgentes para fortalecer e</w:t>
      </w:r>
      <w:r w:rsidR="002D394B" w:rsidRPr="002D394B">
        <w:rPr>
          <w:rFonts w:ascii="Arial" w:eastAsia="Arial" w:hAnsi="Arial" w:cs="Arial"/>
          <w:sz w:val="28"/>
          <w:szCs w:val="28"/>
          <w:lang w:val="es-ES_tradnl" w:eastAsia="es-MX"/>
        </w:rPr>
        <w:t>l proceso de detección, prevención y erradicación</w:t>
      </w:r>
      <w:r w:rsidR="000D3D1E">
        <w:rPr>
          <w:rFonts w:ascii="Arial" w:eastAsia="Arial" w:hAnsi="Arial" w:cs="Arial"/>
          <w:sz w:val="28"/>
          <w:szCs w:val="28"/>
          <w:lang w:val="es-ES_tradnl" w:eastAsia="es-MX"/>
        </w:rPr>
        <w:t xml:space="preserve"> de violencia contra las mujeres, lo cual </w:t>
      </w:r>
      <w:r w:rsidR="002D394B" w:rsidRPr="002D394B">
        <w:rPr>
          <w:rFonts w:ascii="Arial" w:eastAsia="Arial" w:hAnsi="Arial" w:cs="Arial"/>
          <w:sz w:val="28"/>
          <w:szCs w:val="28"/>
          <w:lang w:val="es-ES_tradnl" w:eastAsia="es-MX"/>
        </w:rPr>
        <w:t>requiere un</w:t>
      </w:r>
      <w:r w:rsidR="003A59B2">
        <w:rPr>
          <w:rFonts w:ascii="Arial" w:eastAsia="Arial" w:hAnsi="Arial" w:cs="Arial"/>
          <w:sz w:val="28"/>
          <w:szCs w:val="28"/>
          <w:lang w:val="es-ES_tradnl" w:eastAsia="es-MX"/>
        </w:rPr>
        <w:t>a coordinación articulada</w:t>
      </w:r>
      <w:r w:rsidR="002D394B" w:rsidRPr="002D394B">
        <w:rPr>
          <w:rFonts w:ascii="Arial" w:eastAsia="Arial" w:hAnsi="Arial" w:cs="Arial"/>
          <w:sz w:val="28"/>
          <w:szCs w:val="28"/>
          <w:lang w:val="es-ES_tradnl" w:eastAsia="es-MX"/>
        </w:rPr>
        <w:t xml:space="preserve"> entre las instituciones vinculadas a la atención, protección</w:t>
      </w:r>
      <w:r w:rsidR="00303C54">
        <w:rPr>
          <w:rFonts w:ascii="Arial" w:eastAsia="Arial" w:hAnsi="Arial" w:cs="Arial"/>
          <w:sz w:val="28"/>
          <w:szCs w:val="28"/>
          <w:lang w:val="es-ES_tradnl" w:eastAsia="es-MX"/>
        </w:rPr>
        <w:t xml:space="preserve"> y </w:t>
      </w:r>
      <w:r w:rsidR="002D394B" w:rsidRPr="002D394B">
        <w:rPr>
          <w:rFonts w:ascii="Arial" w:eastAsia="Arial" w:hAnsi="Arial" w:cs="Arial"/>
          <w:sz w:val="28"/>
          <w:szCs w:val="28"/>
          <w:lang w:val="es-ES_tradnl" w:eastAsia="es-MX"/>
        </w:rPr>
        <w:t>persecución del delito</w:t>
      </w:r>
      <w:r w:rsidR="00303C54">
        <w:rPr>
          <w:rFonts w:ascii="Arial" w:eastAsia="Arial" w:hAnsi="Arial" w:cs="Arial"/>
          <w:sz w:val="28"/>
          <w:szCs w:val="28"/>
          <w:lang w:val="es-ES_tradnl" w:eastAsia="es-MX"/>
        </w:rPr>
        <w:t>.</w:t>
      </w:r>
    </w:p>
    <w:p w14:paraId="5E10A088" w14:textId="3EEB61D7" w:rsidR="002D394B" w:rsidRDefault="002D394B" w:rsidP="002D394B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</w:p>
    <w:p w14:paraId="3B5B0972" w14:textId="0118A60F" w:rsidR="00B30E2D" w:rsidRPr="00B30E2D" w:rsidRDefault="00303C54" w:rsidP="00B04270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  <w:r>
        <w:rPr>
          <w:rFonts w:ascii="Arial" w:eastAsia="Arial" w:hAnsi="Arial" w:cs="Arial"/>
          <w:sz w:val="28"/>
          <w:szCs w:val="28"/>
          <w:lang w:val="es-ES_tradnl" w:eastAsia="es-MX"/>
        </w:rPr>
        <w:t>E</w:t>
      </w:r>
      <w:r w:rsidR="007B07E2">
        <w:rPr>
          <w:rFonts w:ascii="Arial" w:eastAsia="Arial" w:hAnsi="Arial" w:cs="Arial"/>
          <w:sz w:val="28"/>
          <w:szCs w:val="28"/>
          <w:lang w:val="es-ES_tradnl" w:eastAsia="es-MX"/>
        </w:rPr>
        <w:t>n</w:t>
      </w:r>
      <w:r>
        <w:rPr>
          <w:rFonts w:ascii="Arial" w:eastAsia="Arial" w:hAnsi="Arial" w:cs="Arial"/>
          <w:sz w:val="28"/>
          <w:szCs w:val="28"/>
          <w:lang w:val="es-ES_tradnl" w:eastAsia="es-MX"/>
        </w:rPr>
        <w:t xml:space="preserve"> ese sentido, l</w:t>
      </w:r>
      <w:r w:rsidR="00057884" w:rsidRPr="00057884">
        <w:rPr>
          <w:rFonts w:ascii="Arial" w:eastAsia="Arial" w:hAnsi="Arial" w:cs="Arial"/>
          <w:sz w:val="28"/>
          <w:szCs w:val="28"/>
          <w:lang w:val="es-ES_tradnl" w:eastAsia="es-MX"/>
        </w:rPr>
        <w:t>a Convención Americana sobre Derechos Humanos</w:t>
      </w:r>
      <w:r w:rsidR="007B07E2">
        <w:rPr>
          <w:rFonts w:ascii="Arial" w:eastAsia="Arial" w:hAnsi="Arial" w:cs="Arial"/>
          <w:sz w:val="28"/>
          <w:szCs w:val="28"/>
          <w:lang w:val="es-ES_tradnl" w:eastAsia="es-MX"/>
        </w:rPr>
        <w:t xml:space="preserve">, </w:t>
      </w:r>
      <w:r w:rsidR="00057884" w:rsidRPr="00057884">
        <w:rPr>
          <w:rFonts w:ascii="Arial" w:eastAsia="Arial" w:hAnsi="Arial" w:cs="Arial"/>
          <w:sz w:val="28"/>
          <w:szCs w:val="28"/>
          <w:lang w:val="es-ES_tradnl" w:eastAsia="es-MX"/>
        </w:rPr>
        <w:t>consagra el derecho a la protección y a las garantías judiciales como pilares básicos del Estado de Derecho</w:t>
      </w:r>
      <w:r w:rsidR="00595578">
        <w:rPr>
          <w:rFonts w:ascii="Arial" w:eastAsia="Arial" w:hAnsi="Arial" w:cs="Arial"/>
          <w:sz w:val="28"/>
          <w:szCs w:val="28"/>
          <w:lang w:val="es-ES_tradnl" w:eastAsia="es-MX"/>
        </w:rPr>
        <w:t xml:space="preserve"> (artículos 8.1 y 25)</w:t>
      </w:r>
      <w:r w:rsidR="00EE6CB5">
        <w:rPr>
          <w:rFonts w:ascii="Arial" w:eastAsia="Arial" w:hAnsi="Arial" w:cs="Arial"/>
          <w:sz w:val="28"/>
          <w:szCs w:val="28"/>
          <w:lang w:val="es-ES_tradnl" w:eastAsia="es-MX"/>
        </w:rPr>
        <w:t>, lo cual se encuentra en sintonía con</w:t>
      </w:r>
      <w:r w:rsidR="00057884" w:rsidRPr="00057884">
        <w:rPr>
          <w:rFonts w:ascii="Arial" w:eastAsia="Arial" w:hAnsi="Arial" w:cs="Arial"/>
          <w:sz w:val="28"/>
          <w:szCs w:val="28"/>
          <w:lang w:val="es-ES_tradnl" w:eastAsia="es-MX"/>
        </w:rPr>
        <w:t xml:space="preserve"> el artículo 7 de la Convención Interamericana para Prevenir, Sancionar</w:t>
      </w:r>
      <w:r w:rsidR="00EE6CB5">
        <w:rPr>
          <w:rFonts w:ascii="Arial" w:eastAsia="Arial" w:hAnsi="Arial" w:cs="Arial"/>
          <w:sz w:val="28"/>
          <w:szCs w:val="28"/>
          <w:lang w:val="es-ES_tradnl" w:eastAsia="es-MX"/>
        </w:rPr>
        <w:t xml:space="preserve"> </w:t>
      </w:r>
      <w:r w:rsidR="00057884" w:rsidRPr="00057884">
        <w:rPr>
          <w:rFonts w:ascii="Arial" w:eastAsia="Arial" w:hAnsi="Arial" w:cs="Arial"/>
          <w:sz w:val="28"/>
          <w:szCs w:val="28"/>
          <w:lang w:val="es-ES_tradnl" w:eastAsia="es-MX"/>
        </w:rPr>
        <w:t>y Erradicar la Violencia contra la Mujer, el</w:t>
      </w:r>
      <w:r w:rsidR="00F26D73">
        <w:rPr>
          <w:rFonts w:ascii="Arial" w:eastAsia="Arial" w:hAnsi="Arial" w:cs="Arial"/>
          <w:sz w:val="28"/>
          <w:szCs w:val="28"/>
          <w:lang w:val="es-ES_tradnl" w:eastAsia="es-MX"/>
        </w:rPr>
        <w:t xml:space="preserve"> </w:t>
      </w:r>
      <w:r w:rsidR="00057884" w:rsidRPr="00057884">
        <w:rPr>
          <w:rFonts w:ascii="Arial" w:eastAsia="Arial" w:hAnsi="Arial" w:cs="Arial"/>
          <w:sz w:val="28"/>
          <w:szCs w:val="28"/>
          <w:lang w:val="es-ES_tradnl" w:eastAsia="es-MX"/>
        </w:rPr>
        <w:t xml:space="preserve">cual </w:t>
      </w:r>
      <w:r w:rsidR="00393F20">
        <w:rPr>
          <w:rFonts w:ascii="Arial" w:eastAsia="Arial" w:hAnsi="Arial" w:cs="Arial"/>
          <w:sz w:val="28"/>
          <w:szCs w:val="28"/>
          <w:lang w:val="es-ES_tradnl" w:eastAsia="es-MX"/>
        </w:rPr>
        <w:t xml:space="preserve">no solo condena todas las formas de violencia contra la mujer, sino que conmina a los Estados parte a tomar medidas </w:t>
      </w:r>
      <w:r w:rsidR="00F732CD">
        <w:rPr>
          <w:rFonts w:ascii="Arial" w:eastAsia="Arial" w:hAnsi="Arial" w:cs="Arial"/>
          <w:sz w:val="28"/>
          <w:szCs w:val="28"/>
          <w:lang w:val="es-ES_tradnl" w:eastAsia="es-MX"/>
        </w:rPr>
        <w:t>apropiadas y sin dilación para erradicar dicha violencia entr</w:t>
      </w:r>
      <w:r w:rsidR="00495F59">
        <w:rPr>
          <w:rFonts w:ascii="Arial" w:eastAsia="Arial" w:hAnsi="Arial" w:cs="Arial"/>
          <w:sz w:val="28"/>
          <w:szCs w:val="28"/>
          <w:lang w:val="es-ES_tradnl" w:eastAsia="es-MX"/>
        </w:rPr>
        <w:t>e</w:t>
      </w:r>
      <w:r w:rsidR="00F732CD">
        <w:rPr>
          <w:rFonts w:ascii="Arial" w:eastAsia="Arial" w:hAnsi="Arial" w:cs="Arial"/>
          <w:sz w:val="28"/>
          <w:szCs w:val="28"/>
          <w:lang w:val="es-ES_tradnl" w:eastAsia="es-MX"/>
        </w:rPr>
        <w:t xml:space="preserve"> las que destacan las siguientes:</w:t>
      </w:r>
    </w:p>
    <w:p w14:paraId="37125BD8" w14:textId="5768FF8A" w:rsidR="00F429C7" w:rsidRDefault="00F732CD" w:rsidP="00F429C7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</w:pPr>
      <w:r w:rsidRPr="00F429C7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>A</w:t>
      </w:r>
      <w:r w:rsidR="006E7724" w:rsidRPr="00F429C7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>ctuar con la debida diligencia para prevenir, investigar y sancionar</w:t>
      </w:r>
      <w:r w:rsidR="00985757" w:rsidRPr="00F429C7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 xml:space="preserve"> </w:t>
      </w:r>
      <w:r w:rsidR="006E7724" w:rsidRPr="00F429C7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>la violencia contra la mujer;</w:t>
      </w:r>
    </w:p>
    <w:p w14:paraId="72203A7B" w14:textId="77777777" w:rsidR="00F429C7" w:rsidRPr="00F429C7" w:rsidRDefault="00F429C7" w:rsidP="00F429C7">
      <w:pPr>
        <w:pStyle w:val="Prrafodelista"/>
        <w:spacing w:line="360" w:lineRule="auto"/>
        <w:jc w:val="both"/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</w:pPr>
    </w:p>
    <w:p w14:paraId="3A36A693" w14:textId="77777777" w:rsidR="00F429C7" w:rsidRDefault="00F732CD" w:rsidP="00F429C7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</w:pPr>
      <w:r w:rsidRPr="00F429C7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>I</w:t>
      </w:r>
      <w:r w:rsidR="006E7724" w:rsidRPr="00F429C7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>ncluir en su legislación interna normas penales, civiles</w:t>
      </w:r>
      <w:r w:rsidR="00722792" w:rsidRPr="00F429C7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 xml:space="preserve">, </w:t>
      </w:r>
      <w:r w:rsidR="006E7724" w:rsidRPr="00F429C7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>administrativas, así como las de otra naturaleza que sean necesarias</w:t>
      </w:r>
      <w:r w:rsidR="00985757" w:rsidRPr="00F429C7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 xml:space="preserve"> </w:t>
      </w:r>
      <w:r w:rsidR="006E7724" w:rsidRPr="00F429C7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>para prevenir, sancionar y erradicar la violencia contra la mujer y</w:t>
      </w:r>
      <w:r w:rsidR="00985757" w:rsidRPr="00F429C7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 xml:space="preserve"> </w:t>
      </w:r>
      <w:r w:rsidR="006E7724" w:rsidRPr="00F429C7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>adoptar las medidas administrativas apropiadas que sean del caso;</w:t>
      </w:r>
    </w:p>
    <w:p w14:paraId="5DA12679" w14:textId="77777777" w:rsidR="00F429C7" w:rsidRPr="00F429C7" w:rsidRDefault="00F429C7" w:rsidP="00F429C7">
      <w:pPr>
        <w:pStyle w:val="Prrafodelista"/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</w:pPr>
    </w:p>
    <w:p w14:paraId="2C363A99" w14:textId="77777777" w:rsidR="00F429C7" w:rsidRDefault="00F732CD" w:rsidP="00F429C7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</w:pPr>
      <w:r w:rsidRPr="00F429C7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>T</w:t>
      </w:r>
      <w:r w:rsidR="009D0394" w:rsidRPr="00F429C7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>omar todas las medidas apropiadas, incluyendo medidas de tipo</w:t>
      </w:r>
      <w:r w:rsidR="00722792" w:rsidRPr="00F429C7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 xml:space="preserve"> </w:t>
      </w:r>
      <w:r w:rsidR="009D0394" w:rsidRPr="00F429C7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>legislativo, para modificar o abolir leyes y reglamentos vigentes, o</w:t>
      </w:r>
      <w:r w:rsidR="00722792" w:rsidRPr="00F429C7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 xml:space="preserve"> </w:t>
      </w:r>
      <w:r w:rsidR="009D0394" w:rsidRPr="00F429C7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>para modificar prácticas jurídicas o consuetudinarias que respalden</w:t>
      </w:r>
      <w:r w:rsidR="00722792" w:rsidRPr="00F429C7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 xml:space="preserve"> </w:t>
      </w:r>
      <w:r w:rsidR="009D0394" w:rsidRPr="00F429C7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>la persistencia o la tolerancia de la violencia contra la mujer;</w:t>
      </w:r>
    </w:p>
    <w:p w14:paraId="3772C2A5" w14:textId="77777777" w:rsidR="00F429C7" w:rsidRPr="00F429C7" w:rsidRDefault="00F429C7" w:rsidP="00F429C7">
      <w:pPr>
        <w:pStyle w:val="Prrafodelista"/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</w:pPr>
    </w:p>
    <w:p w14:paraId="66B2D16D" w14:textId="77777777" w:rsidR="00B30E2D" w:rsidRDefault="00F732CD" w:rsidP="004C620C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</w:pPr>
      <w:r w:rsidRPr="00F429C7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lastRenderedPageBreak/>
        <w:t>E</w:t>
      </w:r>
      <w:r w:rsidR="009D0394" w:rsidRPr="00F429C7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>stablecer procedimientos legales justos y eficaces para la mujer</w:t>
      </w:r>
      <w:r w:rsidR="00722792" w:rsidRPr="00F429C7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 xml:space="preserve"> </w:t>
      </w:r>
      <w:r w:rsidR="009D0394" w:rsidRPr="00F429C7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>que haya sido sometida a violencia, que incluyan, entre otros,</w:t>
      </w:r>
      <w:r w:rsidR="00B30E2D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 xml:space="preserve"> </w:t>
      </w:r>
      <w:r w:rsidR="009D0394" w:rsidRPr="00F429C7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>medidas de protección, un juicio oportuno y el acceso efectivo a</w:t>
      </w:r>
      <w:r w:rsidRPr="00F429C7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 xml:space="preserve"> </w:t>
      </w:r>
      <w:r w:rsidR="009D0394" w:rsidRPr="00F429C7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>tales procedimientos</w:t>
      </w:r>
      <w:r w:rsidR="00B30E2D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>;</w:t>
      </w:r>
    </w:p>
    <w:p w14:paraId="7519232D" w14:textId="77777777" w:rsidR="00B30E2D" w:rsidRPr="00B30E2D" w:rsidRDefault="00B30E2D" w:rsidP="00B30E2D">
      <w:pPr>
        <w:pStyle w:val="Prrafodelista"/>
        <w:rPr>
          <w:rFonts w:ascii="Arial" w:eastAsia="Arial" w:hAnsi="Arial" w:cs="Arial"/>
          <w:sz w:val="28"/>
          <w:szCs w:val="28"/>
          <w:lang w:val="es-ES_tradnl" w:eastAsia="es-MX"/>
        </w:rPr>
      </w:pPr>
    </w:p>
    <w:p w14:paraId="51361D8A" w14:textId="77777777" w:rsidR="000869C9" w:rsidRDefault="00F732CD" w:rsidP="00DB7638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  <w:r w:rsidRPr="00B30E2D">
        <w:rPr>
          <w:rFonts w:ascii="Arial" w:eastAsia="Arial" w:hAnsi="Arial" w:cs="Arial"/>
          <w:sz w:val="28"/>
          <w:szCs w:val="28"/>
          <w:lang w:val="es-ES_tradnl" w:eastAsia="es-MX"/>
        </w:rPr>
        <w:t>De ahí la importancia de</w:t>
      </w:r>
      <w:r w:rsidR="004C620C" w:rsidRPr="00B30E2D">
        <w:rPr>
          <w:rFonts w:ascii="Arial" w:eastAsia="Arial" w:hAnsi="Arial" w:cs="Arial"/>
          <w:sz w:val="28"/>
          <w:szCs w:val="28"/>
          <w:lang w:val="es-ES_tradnl" w:eastAsia="es-MX"/>
        </w:rPr>
        <w:t>l acceso a la justicia</w:t>
      </w:r>
      <w:r w:rsidRPr="00B30E2D">
        <w:rPr>
          <w:rFonts w:ascii="Arial" w:eastAsia="Arial" w:hAnsi="Arial" w:cs="Arial"/>
          <w:sz w:val="28"/>
          <w:szCs w:val="28"/>
          <w:lang w:val="es-ES_tradnl" w:eastAsia="es-MX"/>
        </w:rPr>
        <w:t xml:space="preserve"> </w:t>
      </w:r>
      <w:r w:rsidR="00E633CE" w:rsidRPr="00B30E2D">
        <w:rPr>
          <w:rFonts w:ascii="Arial" w:eastAsia="Arial" w:hAnsi="Arial" w:cs="Arial"/>
          <w:sz w:val="28"/>
          <w:szCs w:val="28"/>
          <w:lang w:val="es-ES_tradnl" w:eastAsia="es-MX"/>
        </w:rPr>
        <w:t>lo cual</w:t>
      </w:r>
      <w:r w:rsidR="004C620C" w:rsidRPr="00B30E2D">
        <w:rPr>
          <w:rFonts w:ascii="Arial" w:eastAsia="Arial" w:hAnsi="Arial" w:cs="Arial"/>
          <w:sz w:val="28"/>
          <w:szCs w:val="28"/>
          <w:lang w:val="es-ES_tradnl" w:eastAsia="es-MX"/>
        </w:rPr>
        <w:t xml:space="preserve"> constituye la primera línea en la defensa de los</w:t>
      </w:r>
      <w:r w:rsidR="00E633CE" w:rsidRPr="00B30E2D">
        <w:rPr>
          <w:rFonts w:ascii="Arial" w:eastAsia="Arial" w:hAnsi="Arial" w:cs="Arial"/>
          <w:sz w:val="28"/>
          <w:szCs w:val="28"/>
          <w:lang w:val="es-ES_tradnl" w:eastAsia="es-MX"/>
        </w:rPr>
        <w:t xml:space="preserve"> </w:t>
      </w:r>
      <w:r w:rsidR="004C620C" w:rsidRPr="00B30E2D">
        <w:rPr>
          <w:rFonts w:ascii="Arial" w:eastAsia="Arial" w:hAnsi="Arial" w:cs="Arial"/>
          <w:sz w:val="28"/>
          <w:szCs w:val="28"/>
          <w:lang w:val="es-ES_tradnl" w:eastAsia="es-MX"/>
        </w:rPr>
        <w:t xml:space="preserve">derechos humanos de las </w:t>
      </w:r>
      <w:r w:rsidR="00E633CE" w:rsidRPr="00B30E2D">
        <w:rPr>
          <w:rFonts w:ascii="Arial" w:eastAsia="Arial" w:hAnsi="Arial" w:cs="Arial"/>
          <w:sz w:val="28"/>
          <w:szCs w:val="28"/>
          <w:lang w:val="es-ES_tradnl" w:eastAsia="es-MX"/>
        </w:rPr>
        <w:t>mujeres</w:t>
      </w:r>
      <w:r w:rsidR="000869C9">
        <w:rPr>
          <w:rFonts w:ascii="Arial" w:eastAsia="Arial" w:hAnsi="Arial" w:cs="Arial"/>
          <w:sz w:val="28"/>
          <w:szCs w:val="28"/>
          <w:lang w:val="es-ES_tradnl" w:eastAsia="es-MX"/>
        </w:rPr>
        <w:t xml:space="preserve">, pero también la </w:t>
      </w:r>
      <w:r w:rsidR="00AC0067" w:rsidRPr="00AC0067">
        <w:rPr>
          <w:rFonts w:ascii="Arial" w:eastAsia="Arial" w:hAnsi="Arial" w:cs="Arial"/>
          <w:sz w:val="28"/>
          <w:szCs w:val="28"/>
          <w:lang w:val="es-ES_tradnl" w:eastAsia="es-MX"/>
        </w:rPr>
        <w:t>obligación de debida diligencia de los Estados en los casos de violencia contra las mujeres</w:t>
      </w:r>
      <w:r w:rsidR="000869C9">
        <w:rPr>
          <w:rFonts w:ascii="Arial" w:eastAsia="Arial" w:hAnsi="Arial" w:cs="Arial"/>
          <w:sz w:val="28"/>
          <w:szCs w:val="28"/>
          <w:lang w:val="es-ES_tradnl" w:eastAsia="es-MX"/>
        </w:rPr>
        <w:t>, la cual</w:t>
      </w:r>
      <w:r w:rsidR="00AC0067" w:rsidRPr="00AC0067">
        <w:rPr>
          <w:rFonts w:ascii="Arial" w:eastAsia="Arial" w:hAnsi="Arial" w:cs="Arial"/>
          <w:sz w:val="28"/>
          <w:szCs w:val="28"/>
          <w:lang w:val="es-ES_tradnl" w:eastAsia="es-MX"/>
        </w:rPr>
        <w:t xml:space="preserve"> </w:t>
      </w:r>
      <w:r w:rsidR="00A601A0">
        <w:rPr>
          <w:rFonts w:ascii="Arial" w:eastAsia="Arial" w:hAnsi="Arial" w:cs="Arial"/>
          <w:sz w:val="28"/>
          <w:szCs w:val="28"/>
          <w:lang w:val="es-ES_tradnl" w:eastAsia="es-MX"/>
        </w:rPr>
        <w:t xml:space="preserve">establece </w:t>
      </w:r>
      <w:r w:rsidR="00AC0067" w:rsidRPr="00AC0067">
        <w:rPr>
          <w:rFonts w:ascii="Arial" w:eastAsia="Arial" w:hAnsi="Arial" w:cs="Arial"/>
          <w:sz w:val="28"/>
          <w:szCs w:val="28"/>
          <w:lang w:val="es-ES_tradnl" w:eastAsia="es-MX"/>
        </w:rPr>
        <w:t>que la adecuada protección judicial es fundamental para lograr la erradicación del problema</w:t>
      </w:r>
      <w:r w:rsidR="00A601A0">
        <w:rPr>
          <w:rFonts w:ascii="Arial" w:eastAsia="Arial" w:hAnsi="Arial" w:cs="Arial"/>
          <w:sz w:val="28"/>
          <w:szCs w:val="28"/>
          <w:lang w:val="es-ES_tradnl" w:eastAsia="es-MX"/>
        </w:rPr>
        <w:t xml:space="preserve"> </w:t>
      </w:r>
      <w:r w:rsidR="00AC0067" w:rsidRPr="00AC0067">
        <w:rPr>
          <w:rFonts w:ascii="Arial" w:eastAsia="Arial" w:hAnsi="Arial" w:cs="Arial"/>
          <w:sz w:val="28"/>
          <w:szCs w:val="28"/>
          <w:lang w:val="es-ES_tradnl" w:eastAsia="es-MX"/>
        </w:rPr>
        <w:t>de la violencia y la discriminación contra las mujeres.</w:t>
      </w:r>
    </w:p>
    <w:p w14:paraId="286027AC" w14:textId="77777777" w:rsidR="000869C9" w:rsidRDefault="000869C9" w:rsidP="00DB7638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</w:p>
    <w:p w14:paraId="6CA32376" w14:textId="01003609" w:rsidR="007A380A" w:rsidRDefault="000869C9" w:rsidP="00211764">
      <w:pPr>
        <w:spacing w:line="360" w:lineRule="auto"/>
        <w:jc w:val="both"/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</w:pPr>
      <w:r>
        <w:rPr>
          <w:rFonts w:ascii="Arial" w:eastAsia="Arial" w:hAnsi="Arial" w:cs="Arial"/>
          <w:sz w:val="28"/>
          <w:szCs w:val="28"/>
          <w:lang w:val="es-ES_tradnl" w:eastAsia="es-MX"/>
        </w:rPr>
        <w:t xml:space="preserve">De este artículo </w:t>
      </w:r>
      <w:r w:rsidR="00A3726B">
        <w:rPr>
          <w:rFonts w:ascii="Arial" w:eastAsia="Arial" w:hAnsi="Arial" w:cs="Arial"/>
          <w:sz w:val="28"/>
          <w:szCs w:val="28"/>
          <w:lang w:val="es-ES_tradnl" w:eastAsia="es-MX"/>
        </w:rPr>
        <w:t xml:space="preserve">séptimo </w:t>
      </w:r>
      <w:r>
        <w:rPr>
          <w:rFonts w:ascii="Arial" w:eastAsia="Arial" w:hAnsi="Arial" w:cs="Arial"/>
          <w:sz w:val="28"/>
          <w:szCs w:val="28"/>
          <w:lang w:val="es-ES_tradnl" w:eastAsia="es-MX"/>
        </w:rPr>
        <w:t>se desprende también la</w:t>
      </w:r>
      <w:r w:rsidR="00A601A0">
        <w:rPr>
          <w:rFonts w:ascii="Arial" w:eastAsia="Arial" w:hAnsi="Arial" w:cs="Arial"/>
          <w:sz w:val="28"/>
          <w:szCs w:val="28"/>
          <w:lang w:val="es-ES_tradnl" w:eastAsia="es-MX"/>
        </w:rPr>
        <w:t xml:space="preserve"> </w:t>
      </w:r>
      <w:r w:rsidR="00AC0067" w:rsidRPr="00AC0067">
        <w:rPr>
          <w:rFonts w:ascii="Arial" w:eastAsia="Arial" w:hAnsi="Arial" w:cs="Arial"/>
          <w:sz w:val="28"/>
          <w:szCs w:val="28"/>
          <w:lang w:val="es-ES_tradnl" w:eastAsia="es-MX"/>
        </w:rPr>
        <w:t>obligaci</w:t>
      </w:r>
      <w:r>
        <w:rPr>
          <w:rFonts w:ascii="Arial" w:eastAsia="Arial" w:hAnsi="Arial" w:cs="Arial"/>
          <w:sz w:val="28"/>
          <w:szCs w:val="28"/>
          <w:lang w:val="es-ES_tradnl" w:eastAsia="es-MX"/>
        </w:rPr>
        <w:t>ón</w:t>
      </w:r>
      <w:r w:rsidR="00AC0067" w:rsidRPr="00AC0067">
        <w:rPr>
          <w:rFonts w:ascii="Arial" w:eastAsia="Arial" w:hAnsi="Arial" w:cs="Arial"/>
          <w:sz w:val="28"/>
          <w:szCs w:val="28"/>
          <w:lang w:val="es-ES_tradnl" w:eastAsia="es-MX"/>
        </w:rPr>
        <w:t xml:space="preserve"> inmediata del Estado en casos de violencia contra las mujeres, </w:t>
      </w:r>
      <w:r w:rsidR="007A380A">
        <w:rPr>
          <w:rFonts w:ascii="Arial" w:eastAsia="Arial" w:hAnsi="Arial" w:cs="Arial"/>
          <w:sz w:val="28"/>
          <w:szCs w:val="28"/>
          <w:lang w:val="es-ES_tradnl" w:eastAsia="es-MX"/>
        </w:rPr>
        <w:t xml:space="preserve">para </w:t>
      </w:r>
      <w:r w:rsidR="00AC0067" w:rsidRPr="00AC0067">
        <w:rPr>
          <w:rFonts w:ascii="Arial" w:eastAsia="Arial" w:hAnsi="Arial" w:cs="Arial"/>
          <w:sz w:val="28"/>
          <w:szCs w:val="28"/>
          <w:lang w:val="es-ES_tradnl" w:eastAsia="es-MX"/>
        </w:rPr>
        <w:t>que incluy</w:t>
      </w:r>
      <w:r w:rsidR="007A380A">
        <w:rPr>
          <w:rFonts w:ascii="Arial" w:eastAsia="Arial" w:hAnsi="Arial" w:cs="Arial"/>
          <w:sz w:val="28"/>
          <w:szCs w:val="28"/>
          <w:lang w:val="es-ES_tradnl" w:eastAsia="es-MX"/>
        </w:rPr>
        <w:t>an</w:t>
      </w:r>
      <w:r w:rsidR="003F1F77">
        <w:rPr>
          <w:rFonts w:ascii="Arial" w:eastAsia="Arial" w:hAnsi="Arial" w:cs="Arial"/>
          <w:sz w:val="28"/>
          <w:szCs w:val="28"/>
          <w:lang w:val="es-ES_tradnl" w:eastAsia="es-MX"/>
        </w:rPr>
        <w:t xml:space="preserve"> </w:t>
      </w:r>
      <w:r w:rsidR="00AC0067" w:rsidRPr="00AC0067">
        <w:rPr>
          <w:rFonts w:ascii="Arial" w:eastAsia="Arial" w:hAnsi="Arial" w:cs="Arial"/>
          <w:sz w:val="28"/>
          <w:szCs w:val="28"/>
          <w:lang w:val="es-ES_tradnl" w:eastAsia="es-MX"/>
        </w:rPr>
        <w:t>procedimientos, mecanismos judiciales, y legislación encaminada a prevenir la impunidad,</w:t>
      </w:r>
      <w:r w:rsidR="003F1F77">
        <w:rPr>
          <w:rFonts w:ascii="Arial" w:eastAsia="Arial" w:hAnsi="Arial" w:cs="Arial"/>
          <w:sz w:val="28"/>
          <w:szCs w:val="28"/>
          <w:lang w:val="es-ES_tradnl" w:eastAsia="es-MX"/>
        </w:rPr>
        <w:t xml:space="preserve"> </w:t>
      </w:r>
      <w:r w:rsidR="00AC0067" w:rsidRPr="00AC0067">
        <w:rPr>
          <w:rFonts w:ascii="Arial" w:eastAsia="Arial" w:hAnsi="Arial" w:cs="Arial"/>
          <w:sz w:val="28"/>
          <w:szCs w:val="28"/>
          <w:lang w:val="es-ES_tradnl" w:eastAsia="es-MX"/>
        </w:rPr>
        <w:t>incluyendo medidas para proteger a las mujeres de actos de violencia inminentes.</w:t>
      </w:r>
    </w:p>
    <w:p w14:paraId="5884E741" w14:textId="77777777" w:rsidR="007A380A" w:rsidRDefault="007A380A" w:rsidP="00211764">
      <w:pPr>
        <w:spacing w:line="360" w:lineRule="auto"/>
        <w:jc w:val="both"/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</w:pPr>
    </w:p>
    <w:p w14:paraId="5E9794F4" w14:textId="5AD8720C" w:rsidR="002137C4" w:rsidRPr="007A380A" w:rsidRDefault="00E01D0F" w:rsidP="00211764">
      <w:pPr>
        <w:spacing w:line="360" w:lineRule="auto"/>
        <w:jc w:val="both"/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</w:pPr>
      <w:r>
        <w:rPr>
          <w:rFonts w:ascii="Arial" w:eastAsia="Arial" w:hAnsi="Arial" w:cs="Arial"/>
          <w:sz w:val="28"/>
          <w:szCs w:val="28"/>
          <w:lang w:val="es-ES_tradnl" w:eastAsia="es-MX"/>
        </w:rPr>
        <w:t>Por otro lado, d</w:t>
      </w:r>
      <w:r w:rsidR="00211764">
        <w:rPr>
          <w:rFonts w:ascii="Arial" w:eastAsia="Arial" w:hAnsi="Arial" w:cs="Arial"/>
          <w:sz w:val="28"/>
          <w:szCs w:val="28"/>
          <w:lang w:val="es-ES_tradnl" w:eastAsia="es-MX"/>
        </w:rPr>
        <w:t xml:space="preserve">e acuerdo al documento </w:t>
      </w:r>
      <w:r w:rsidR="007A380A">
        <w:rPr>
          <w:rFonts w:ascii="Arial" w:eastAsia="Arial" w:hAnsi="Arial" w:cs="Arial"/>
          <w:sz w:val="28"/>
          <w:szCs w:val="28"/>
          <w:lang w:val="es-ES_tradnl" w:eastAsia="es-MX"/>
        </w:rPr>
        <w:t>“</w:t>
      </w:r>
      <w:r w:rsidR="00211764">
        <w:rPr>
          <w:rFonts w:ascii="Arial" w:eastAsia="Arial" w:hAnsi="Arial" w:cs="Arial"/>
          <w:sz w:val="28"/>
          <w:szCs w:val="28"/>
          <w:lang w:val="es-ES_tradnl" w:eastAsia="es-MX"/>
        </w:rPr>
        <w:t>Acceso a la Justicia para Mujeres Víctimas de Violencia</w:t>
      </w:r>
      <w:r w:rsidR="007A380A">
        <w:rPr>
          <w:rFonts w:ascii="Arial" w:eastAsia="Arial" w:hAnsi="Arial" w:cs="Arial"/>
          <w:sz w:val="28"/>
          <w:szCs w:val="28"/>
          <w:lang w:val="es-ES_tradnl" w:eastAsia="es-MX"/>
        </w:rPr>
        <w:t>”</w:t>
      </w:r>
      <w:r w:rsidR="00211764">
        <w:rPr>
          <w:rFonts w:ascii="Arial" w:eastAsia="Arial" w:hAnsi="Arial" w:cs="Arial"/>
          <w:sz w:val="28"/>
          <w:szCs w:val="28"/>
          <w:lang w:val="es-ES_tradnl" w:eastAsia="es-MX"/>
        </w:rPr>
        <w:t>, de la</w:t>
      </w:r>
      <w:r w:rsidR="006D1979">
        <w:rPr>
          <w:rFonts w:ascii="Arial" w:eastAsia="Arial" w:hAnsi="Arial" w:cs="Arial"/>
          <w:sz w:val="28"/>
          <w:szCs w:val="28"/>
          <w:lang w:val="es-ES_tradnl" w:eastAsia="es-MX"/>
        </w:rPr>
        <w:t xml:space="preserve"> Comisión Interamericana de Derechos Humanos y la</w:t>
      </w:r>
      <w:r w:rsidR="002137C4" w:rsidRPr="002137C4">
        <w:rPr>
          <w:rFonts w:ascii="Arial" w:eastAsia="Arial" w:hAnsi="Arial" w:cs="Arial"/>
          <w:sz w:val="28"/>
          <w:szCs w:val="28"/>
          <w:lang w:val="es-ES_tradnl" w:eastAsia="es-MX"/>
        </w:rPr>
        <w:t xml:space="preserve"> Relatoría sobre los Derechos de las Mujeres</w:t>
      </w:r>
      <w:r w:rsidR="009418E4">
        <w:rPr>
          <w:rFonts w:ascii="Arial" w:eastAsia="Arial" w:hAnsi="Arial" w:cs="Arial"/>
          <w:sz w:val="28"/>
          <w:szCs w:val="28"/>
          <w:lang w:val="es-ES_tradnl" w:eastAsia="es-MX"/>
        </w:rPr>
        <w:t>,</w:t>
      </w:r>
      <w:r w:rsidR="00FB5E2E" w:rsidRPr="00FB5E2E">
        <w:rPr>
          <w:rFonts w:ascii="Arial" w:eastAsia="Arial" w:hAnsi="Arial" w:cs="Arial"/>
          <w:sz w:val="28"/>
          <w:szCs w:val="28"/>
          <w:lang w:val="es-ES_tradnl" w:eastAsia="es-MX"/>
        </w:rPr>
        <w:t xml:space="preserve"> </w:t>
      </w:r>
      <w:r w:rsidR="00236DBA" w:rsidRPr="00083BC5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>“</w:t>
      </w:r>
      <w:r w:rsidR="009418E4" w:rsidRPr="00083BC5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>e</w:t>
      </w:r>
      <w:r w:rsidR="00FB5E2E" w:rsidRPr="00083BC5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 xml:space="preserve">l precedente jurídico del sistema interamericano afirma que un acceso de jure y de facto a garantías y protecciones judiciales, es indispensable </w:t>
      </w:r>
      <w:r w:rsidR="00FB5E2E" w:rsidRPr="00083BC5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lastRenderedPageBreak/>
        <w:t xml:space="preserve">para la erradicación del problema de la violencia contra las mujeres, y por lo tanto, para que los Estados cumplan de manera efectiva con las obligaciones internacionales que han contraído libremente de actuar con la debida diligencia frente a este grave problema de derechos humanos.  Sin embargo, </w:t>
      </w:r>
      <w:r w:rsidR="00236DBA" w:rsidRPr="00083BC5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>…</w:t>
      </w:r>
      <w:r w:rsidR="00FB5E2E" w:rsidRPr="00083BC5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 xml:space="preserve"> las mujeres víctimas de violencia frecuentemente no obtienen un acceso a recursos judiciales idóneos y efectivos al denunciar los hechos sufridos, permaneciendo la gran mayoría de estos incidentes en impunidad, y por consiguiente quedando sus derechos desprotegidos</w:t>
      </w:r>
      <w:r w:rsidR="00083BC5" w:rsidRPr="00083BC5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>”</w:t>
      </w:r>
      <w:r w:rsidR="00FB5E2E" w:rsidRPr="00083BC5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>.</w:t>
      </w:r>
      <w:r w:rsidR="00FB5E2E" w:rsidRPr="00FB5E2E">
        <w:rPr>
          <w:rFonts w:ascii="Arial" w:eastAsia="Arial" w:hAnsi="Arial" w:cs="Arial"/>
          <w:sz w:val="28"/>
          <w:szCs w:val="28"/>
          <w:lang w:val="es-ES_tradnl" w:eastAsia="es-MX"/>
        </w:rPr>
        <w:t xml:space="preserve">  </w:t>
      </w:r>
    </w:p>
    <w:p w14:paraId="5187C5CA" w14:textId="77777777" w:rsidR="00083BC5" w:rsidRDefault="00083BC5" w:rsidP="00DB7638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</w:p>
    <w:p w14:paraId="00A3BCAC" w14:textId="30C189D8" w:rsidR="00BB72C9" w:rsidRDefault="000C4FDA" w:rsidP="00BB72C9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  <w:r>
        <w:rPr>
          <w:rFonts w:ascii="Arial" w:eastAsia="Arial" w:hAnsi="Arial" w:cs="Arial"/>
          <w:sz w:val="28"/>
          <w:szCs w:val="28"/>
          <w:lang w:val="es-ES_tradnl" w:eastAsia="es-MX"/>
        </w:rPr>
        <w:t>Bajo</w:t>
      </w:r>
      <w:r w:rsidR="008073EC">
        <w:rPr>
          <w:rFonts w:ascii="Arial" w:eastAsia="Arial" w:hAnsi="Arial" w:cs="Arial"/>
          <w:sz w:val="28"/>
          <w:szCs w:val="28"/>
          <w:lang w:val="es-ES_tradnl" w:eastAsia="es-MX"/>
        </w:rPr>
        <w:t xml:space="preserve"> e</w:t>
      </w:r>
      <w:r w:rsidR="004857BC">
        <w:rPr>
          <w:rFonts w:ascii="Arial" w:eastAsia="Arial" w:hAnsi="Arial" w:cs="Arial"/>
          <w:sz w:val="28"/>
          <w:szCs w:val="28"/>
          <w:lang w:val="es-ES_tradnl" w:eastAsia="es-MX"/>
        </w:rPr>
        <w:t>sa lógica</w:t>
      </w:r>
      <w:r w:rsidR="009064A1" w:rsidRPr="009064A1">
        <w:rPr>
          <w:rFonts w:ascii="Arial" w:eastAsia="Arial" w:hAnsi="Arial" w:cs="Arial"/>
          <w:sz w:val="28"/>
          <w:szCs w:val="28"/>
          <w:lang w:val="es-ES_tradnl" w:eastAsia="es-MX"/>
        </w:rPr>
        <w:t>, los Estados tienen el deber de actuar con la debida diligencia frente a las violaciones de los derechos humanos</w:t>
      </w:r>
      <w:r>
        <w:rPr>
          <w:rFonts w:ascii="Arial" w:eastAsia="Arial" w:hAnsi="Arial" w:cs="Arial"/>
          <w:sz w:val="28"/>
          <w:szCs w:val="28"/>
          <w:lang w:val="es-ES_tradnl" w:eastAsia="es-MX"/>
        </w:rPr>
        <w:t xml:space="preserve">, lo cual incluye la obligación de </w:t>
      </w:r>
      <w:r w:rsidR="009064A1" w:rsidRPr="009064A1">
        <w:rPr>
          <w:rFonts w:ascii="Arial" w:eastAsia="Arial" w:hAnsi="Arial" w:cs="Arial"/>
          <w:sz w:val="28"/>
          <w:szCs w:val="28"/>
          <w:lang w:val="es-ES_tradnl" w:eastAsia="es-MX"/>
        </w:rPr>
        <w:t xml:space="preserve">la </w:t>
      </w:r>
      <w:r>
        <w:rPr>
          <w:rFonts w:ascii="Arial" w:eastAsia="Arial" w:hAnsi="Arial" w:cs="Arial"/>
          <w:sz w:val="28"/>
          <w:szCs w:val="28"/>
          <w:lang w:val="es-ES_tradnl" w:eastAsia="es-MX"/>
        </w:rPr>
        <w:t xml:space="preserve">prevenir, investigar, sancionar y reparar </w:t>
      </w:r>
      <w:r w:rsidR="001E28C7">
        <w:rPr>
          <w:rFonts w:ascii="Arial" w:eastAsia="Arial" w:hAnsi="Arial" w:cs="Arial"/>
          <w:sz w:val="28"/>
          <w:szCs w:val="28"/>
          <w:lang w:val="es-ES_tradnl" w:eastAsia="es-MX"/>
        </w:rPr>
        <w:t>las violaciones</w:t>
      </w:r>
      <w:r w:rsidR="009064A1" w:rsidRPr="009064A1">
        <w:rPr>
          <w:rFonts w:ascii="Arial" w:eastAsia="Arial" w:hAnsi="Arial" w:cs="Arial"/>
          <w:sz w:val="28"/>
          <w:szCs w:val="28"/>
          <w:lang w:val="es-ES_tradnl" w:eastAsia="es-MX"/>
        </w:rPr>
        <w:t xml:space="preserve"> de los derechos humanos y evitar la impunidad</w:t>
      </w:r>
      <w:r w:rsidR="00AF17C5">
        <w:rPr>
          <w:rFonts w:ascii="Arial" w:eastAsia="Arial" w:hAnsi="Arial" w:cs="Arial"/>
          <w:sz w:val="28"/>
          <w:szCs w:val="28"/>
          <w:lang w:val="es-ES_tradnl" w:eastAsia="es-MX"/>
        </w:rPr>
        <w:t>.</w:t>
      </w:r>
    </w:p>
    <w:p w14:paraId="0BD1FB70" w14:textId="11A7B49B" w:rsidR="001231E8" w:rsidRDefault="001231E8" w:rsidP="00BB72C9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</w:p>
    <w:p w14:paraId="5EFCC746" w14:textId="148A2DB8" w:rsidR="00013C69" w:rsidRDefault="001231E8" w:rsidP="00BB72C9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  <w:r>
        <w:rPr>
          <w:rFonts w:ascii="Arial" w:eastAsia="Arial" w:hAnsi="Arial" w:cs="Arial"/>
          <w:sz w:val="28"/>
          <w:szCs w:val="28"/>
          <w:lang w:val="es-ES_tradnl" w:eastAsia="es-MX"/>
        </w:rPr>
        <w:t xml:space="preserve">Es por todo lo anterior, que la presente iniciativa busca precisamente proteger a aquellas </w:t>
      </w:r>
      <w:r w:rsidR="00013C69">
        <w:rPr>
          <w:rFonts w:ascii="Arial" w:eastAsia="Arial" w:hAnsi="Arial" w:cs="Arial"/>
          <w:sz w:val="28"/>
          <w:szCs w:val="28"/>
          <w:lang w:val="es-ES_tradnl" w:eastAsia="es-MX"/>
        </w:rPr>
        <w:t>personas, pero sobre todo a las mujeres</w:t>
      </w:r>
      <w:r w:rsidR="00586064">
        <w:rPr>
          <w:rFonts w:ascii="Arial" w:eastAsia="Arial" w:hAnsi="Arial" w:cs="Arial"/>
          <w:sz w:val="28"/>
          <w:szCs w:val="28"/>
          <w:lang w:val="es-ES_tradnl" w:eastAsia="es-MX"/>
        </w:rPr>
        <w:t>,</w:t>
      </w:r>
      <w:r w:rsidR="00013C69">
        <w:rPr>
          <w:rFonts w:ascii="Arial" w:eastAsia="Arial" w:hAnsi="Arial" w:cs="Arial"/>
          <w:sz w:val="28"/>
          <w:szCs w:val="28"/>
          <w:lang w:val="es-ES_tradnl" w:eastAsia="es-MX"/>
        </w:rPr>
        <w:t xml:space="preserve"> que han sido víctimas de la indiferencia de la autoridad ante la que fue denunciada su desaparición.</w:t>
      </w:r>
    </w:p>
    <w:p w14:paraId="1560886E" w14:textId="77777777" w:rsidR="00013C69" w:rsidRDefault="00013C69" w:rsidP="00BB72C9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</w:p>
    <w:p w14:paraId="5F98BF8C" w14:textId="052A1496" w:rsidR="00A6398E" w:rsidRDefault="00013C69" w:rsidP="00BB72C9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  <w:r>
        <w:rPr>
          <w:rFonts w:ascii="Arial" w:eastAsia="Arial" w:hAnsi="Arial" w:cs="Arial"/>
          <w:sz w:val="28"/>
          <w:szCs w:val="28"/>
          <w:lang w:val="es-ES_tradnl" w:eastAsia="es-MX"/>
        </w:rPr>
        <w:t>Y es que</w:t>
      </w:r>
      <w:r w:rsidR="00647CA3">
        <w:rPr>
          <w:rFonts w:ascii="Arial" w:eastAsia="Arial" w:hAnsi="Arial" w:cs="Arial"/>
          <w:sz w:val="28"/>
          <w:szCs w:val="28"/>
          <w:lang w:val="es-ES_tradnl" w:eastAsia="es-MX"/>
        </w:rPr>
        <w:t>,</w:t>
      </w:r>
      <w:r>
        <w:rPr>
          <w:rFonts w:ascii="Arial" w:eastAsia="Arial" w:hAnsi="Arial" w:cs="Arial"/>
          <w:sz w:val="28"/>
          <w:szCs w:val="28"/>
          <w:lang w:val="es-ES_tradnl" w:eastAsia="es-MX"/>
        </w:rPr>
        <w:t xml:space="preserve"> desde el momento de </w:t>
      </w:r>
      <w:r w:rsidR="00BC7017">
        <w:rPr>
          <w:rFonts w:ascii="Arial" w:eastAsia="Arial" w:hAnsi="Arial" w:cs="Arial"/>
          <w:sz w:val="28"/>
          <w:szCs w:val="28"/>
          <w:lang w:val="es-ES_tradnl" w:eastAsia="es-MX"/>
        </w:rPr>
        <w:t>que se reporta una</w:t>
      </w:r>
      <w:r>
        <w:rPr>
          <w:rFonts w:ascii="Arial" w:eastAsia="Arial" w:hAnsi="Arial" w:cs="Arial"/>
          <w:sz w:val="28"/>
          <w:szCs w:val="28"/>
          <w:lang w:val="es-ES_tradnl" w:eastAsia="es-MX"/>
        </w:rPr>
        <w:t xml:space="preserve"> desaparición, </w:t>
      </w:r>
      <w:r w:rsidR="00993FBA">
        <w:rPr>
          <w:rFonts w:ascii="Arial" w:eastAsia="Arial" w:hAnsi="Arial" w:cs="Arial"/>
          <w:sz w:val="28"/>
          <w:szCs w:val="28"/>
          <w:lang w:val="es-ES_tradnl" w:eastAsia="es-MX"/>
        </w:rPr>
        <w:t xml:space="preserve">cada segundo empieza a contar y puede hacer la diferencia entre la vida y la </w:t>
      </w:r>
      <w:r w:rsidR="00993FBA">
        <w:rPr>
          <w:rFonts w:ascii="Arial" w:eastAsia="Arial" w:hAnsi="Arial" w:cs="Arial"/>
          <w:sz w:val="28"/>
          <w:szCs w:val="28"/>
          <w:lang w:val="es-ES_tradnl" w:eastAsia="es-MX"/>
        </w:rPr>
        <w:lastRenderedPageBreak/>
        <w:t>muerte</w:t>
      </w:r>
      <w:r w:rsidR="00BC7017">
        <w:rPr>
          <w:rFonts w:ascii="Arial" w:eastAsia="Arial" w:hAnsi="Arial" w:cs="Arial"/>
          <w:sz w:val="28"/>
          <w:szCs w:val="28"/>
          <w:lang w:val="es-ES_tradnl" w:eastAsia="es-MX"/>
        </w:rPr>
        <w:t xml:space="preserve">, por ello, la indiferencia o la dilación en la acción, la </w:t>
      </w:r>
      <w:r w:rsidR="00997B35">
        <w:rPr>
          <w:rFonts w:ascii="Arial" w:eastAsia="Arial" w:hAnsi="Arial" w:cs="Arial"/>
          <w:sz w:val="28"/>
          <w:szCs w:val="28"/>
          <w:lang w:val="es-ES_tradnl" w:eastAsia="es-MX"/>
        </w:rPr>
        <w:t>parsimonia</w:t>
      </w:r>
      <w:r w:rsidR="00993FBA">
        <w:rPr>
          <w:rFonts w:ascii="Arial" w:eastAsia="Arial" w:hAnsi="Arial" w:cs="Arial"/>
          <w:sz w:val="28"/>
          <w:szCs w:val="28"/>
          <w:lang w:val="es-ES_tradnl" w:eastAsia="es-MX"/>
        </w:rPr>
        <w:t xml:space="preserve"> </w:t>
      </w:r>
      <w:r w:rsidR="00997B35">
        <w:rPr>
          <w:rFonts w:ascii="Arial" w:eastAsia="Arial" w:hAnsi="Arial" w:cs="Arial"/>
          <w:sz w:val="28"/>
          <w:szCs w:val="28"/>
          <w:lang w:val="es-ES_tradnl" w:eastAsia="es-MX"/>
        </w:rPr>
        <w:t xml:space="preserve">y la negligencia </w:t>
      </w:r>
      <w:r w:rsidR="00A6398E">
        <w:rPr>
          <w:rFonts w:ascii="Arial" w:eastAsia="Arial" w:hAnsi="Arial" w:cs="Arial"/>
          <w:sz w:val="28"/>
          <w:szCs w:val="28"/>
          <w:lang w:val="es-ES_tradnl" w:eastAsia="es-MX"/>
        </w:rPr>
        <w:t xml:space="preserve">no se deben </w:t>
      </w:r>
      <w:r w:rsidR="00564620">
        <w:rPr>
          <w:rFonts w:ascii="Arial" w:eastAsia="Arial" w:hAnsi="Arial" w:cs="Arial"/>
          <w:sz w:val="28"/>
          <w:szCs w:val="28"/>
          <w:lang w:val="es-ES_tradnl" w:eastAsia="es-MX"/>
        </w:rPr>
        <w:t xml:space="preserve">de </w:t>
      </w:r>
      <w:r w:rsidR="00A6398E">
        <w:rPr>
          <w:rFonts w:ascii="Arial" w:eastAsia="Arial" w:hAnsi="Arial" w:cs="Arial"/>
          <w:sz w:val="28"/>
          <w:szCs w:val="28"/>
          <w:lang w:val="es-ES_tradnl" w:eastAsia="es-MX"/>
        </w:rPr>
        <w:t xml:space="preserve">tolerar, </w:t>
      </w:r>
      <w:r w:rsidR="00564620">
        <w:rPr>
          <w:rFonts w:ascii="Arial" w:eastAsia="Arial" w:hAnsi="Arial" w:cs="Arial"/>
          <w:sz w:val="28"/>
          <w:szCs w:val="28"/>
          <w:lang w:val="es-ES_tradnl" w:eastAsia="es-MX"/>
        </w:rPr>
        <w:t>al contrario,</w:t>
      </w:r>
      <w:r w:rsidR="00A6398E">
        <w:rPr>
          <w:rFonts w:ascii="Arial" w:eastAsia="Arial" w:hAnsi="Arial" w:cs="Arial"/>
          <w:sz w:val="28"/>
          <w:szCs w:val="28"/>
          <w:lang w:val="es-ES_tradnl" w:eastAsia="es-MX"/>
        </w:rPr>
        <w:t xml:space="preserve"> se </w:t>
      </w:r>
      <w:r w:rsidR="00997B35">
        <w:rPr>
          <w:rFonts w:ascii="Arial" w:eastAsia="Arial" w:hAnsi="Arial" w:cs="Arial"/>
          <w:sz w:val="28"/>
          <w:szCs w:val="28"/>
          <w:lang w:val="es-ES_tradnl" w:eastAsia="es-MX"/>
        </w:rPr>
        <w:t>deben castiga</w:t>
      </w:r>
      <w:r w:rsidR="00A6398E">
        <w:rPr>
          <w:rFonts w:ascii="Arial" w:eastAsia="Arial" w:hAnsi="Arial" w:cs="Arial"/>
          <w:sz w:val="28"/>
          <w:szCs w:val="28"/>
          <w:lang w:val="es-ES_tradnl" w:eastAsia="es-MX"/>
        </w:rPr>
        <w:t>r</w:t>
      </w:r>
      <w:r w:rsidR="00564620">
        <w:rPr>
          <w:rFonts w:ascii="Arial" w:eastAsia="Arial" w:hAnsi="Arial" w:cs="Arial"/>
          <w:sz w:val="28"/>
          <w:szCs w:val="28"/>
          <w:lang w:val="es-ES_tradnl" w:eastAsia="es-MX"/>
        </w:rPr>
        <w:t xml:space="preserve"> con todo el peso de la ley.</w:t>
      </w:r>
    </w:p>
    <w:p w14:paraId="530286DE" w14:textId="46102456" w:rsidR="00A6398E" w:rsidRDefault="00A6398E" w:rsidP="00BB72C9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</w:p>
    <w:p w14:paraId="744EBFB2" w14:textId="10F4260F" w:rsidR="000E7C99" w:rsidRDefault="000E7C99" w:rsidP="00BB72C9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  <w:r>
        <w:rPr>
          <w:rFonts w:ascii="Arial" w:eastAsia="Arial" w:hAnsi="Arial" w:cs="Arial"/>
          <w:sz w:val="28"/>
          <w:szCs w:val="28"/>
          <w:lang w:val="es-ES_tradnl" w:eastAsia="es-MX"/>
        </w:rPr>
        <w:t xml:space="preserve">Con </w:t>
      </w:r>
      <w:r w:rsidR="008105BA">
        <w:rPr>
          <w:rFonts w:ascii="Arial" w:eastAsia="Arial" w:hAnsi="Arial" w:cs="Arial"/>
          <w:sz w:val="28"/>
          <w:szCs w:val="28"/>
          <w:lang w:val="es-ES_tradnl" w:eastAsia="es-MX"/>
        </w:rPr>
        <w:t>esta</w:t>
      </w:r>
      <w:r>
        <w:rPr>
          <w:rFonts w:ascii="Arial" w:eastAsia="Arial" w:hAnsi="Arial" w:cs="Arial"/>
          <w:sz w:val="28"/>
          <w:szCs w:val="28"/>
          <w:lang w:val="es-ES_tradnl" w:eastAsia="es-MX"/>
        </w:rPr>
        <w:t xml:space="preserve"> iniciativa se pretende </w:t>
      </w:r>
      <w:r w:rsidR="00B96922">
        <w:rPr>
          <w:rFonts w:ascii="Arial" w:eastAsia="Arial" w:hAnsi="Arial" w:cs="Arial"/>
          <w:sz w:val="28"/>
          <w:szCs w:val="28"/>
          <w:lang w:val="es-ES_tradnl" w:eastAsia="es-MX"/>
        </w:rPr>
        <w:t>tipificar esta indiferencia, esta negligencia, como a</w:t>
      </w:r>
      <w:r w:rsidR="00C1585C" w:rsidRPr="00C1585C">
        <w:rPr>
          <w:rFonts w:ascii="Arial" w:eastAsia="Arial" w:hAnsi="Arial" w:cs="Arial"/>
          <w:sz w:val="28"/>
          <w:szCs w:val="28"/>
          <w:lang w:val="es-ES_tradnl" w:eastAsia="es-MX"/>
        </w:rPr>
        <w:t>bandono de persona incapaz de valerse por sí misma</w:t>
      </w:r>
      <w:r w:rsidR="00B96922">
        <w:rPr>
          <w:rFonts w:ascii="Arial" w:eastAsia="Arial" w:hAnsi="Arial" w:cs="Arial"/>
          <w:sz w:val="28"/>
          <w:szCs w:val="28"/>
          <w:lang w:val="es-ES_tradnl" w:eastAsia="es-MX"/>
        </w:rPr>
        <w:t xml:space="preserve">, porque desde el momento en que una </w:t>
      </w:r>
      <w:r w:rsidR="00410F7E">
        <w:rPr>
          <w:rFonts w:ascii="Arial" w:eastAsia="Arial" w:hAnsi="Arial" w:cs="Arial"/>
          <w:sz w:val="28"/>
          <w:szCs w:val="28"/>
          <w:lang w:val="es-ES_tradnl" w:eastAsia="es-MX"/>
        </w:rPr>
        <w:t>persona se encuentra privada de su libertad</w:t>
      </w:r>
      <w:r w:rsidR="00AD6137">
        <w:rPr>
          <w:rFonts w:ascii="Arial" w:eastAsia="Arial" w:hAnsi="Arial" w:cs="Arial"/>
          <w:sz w:val="28"/>
          <w:szCs w:val="28"/>
          <w:lang w:val="es-ES_tradnl" w:eastAsia="es-MX"/>
        </w:rPr>
        <w:t xml:space="preserve"> y </w:t>
      </w:r>
      <w:r w:rsidR="00410F7E">
        <w:rPr>
          <w:rFonts w:ascii="Arial" w:eastAsia="Arial" w:hAnsi="Arial" w:cs="Arial"/>
          <w:sz w:val="28"/>
          <w:szCs w:val="28"/>
          <w:lang w:val="es-ES_tradnl" w:eastAsia="es-MX"/>
        </w:rPr>
        <w:t xml:space="preserve">sometida, naturalmente se encuentra también incapacitada en ese momento de valerse por si misma y necesita de la acción inmediata del Estado para </w:t>
      </w:r>
      <w:r w:rsidR="004E19F1">
        <w:rPr>
          <w:rFonts w:ascii="Arial" w:eastAsia="Arial" w:hAnsi="Arial" w:cs="Arial"/>
          <w:sz w:val="28"/>
          <w:szCs w:val="28"/>
          <w:lang w:val="es-ES_tradnl" w:eastAsia="es-MX"/>
        </w:rPr>
        <w:t>resguardar su vida, su integridad, su salud y recuperar su libertad.</w:t>
      </w:r>
    </w:p>
    <w:p w14:paraId="4F815C5F" w14:textId="18DED071" w:rsidR="001231E8" w:rsidRDefault="00013C69" w:rsidP="001231E8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  <w:r>
        <w:rPr>
          <w:rFonts w:ascii="Arial" w:eastAsia="Arial" w:hAnsi="Arial" w:cs="Arial"/>
          <w:sz w:val="28"/>
          <w:szCs w:val="28"/>
          <w:lang w:val="es-ES_tradnl" w:eastAsia="es-MX"/>
        </w:rPr>
        <w:t xml:space="preserve"> </w:t>
      </w:r>
    </w:p>
    <w:p w14:paraId="32C16A4C" w14:textId="4EF60742" w:rsidR="001231E8" w:rsidRPr="001231E8" w:rsidRDefault="001231E8" w:rsidP="001231E8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  <w:r w:rsidRPr="001231E8">
        <w:rPr>
          <w:rFonts w:ascii="Arial" w:eastAsia="Arial" w:hAnsi="Arial" w:cs="Arial"/>
          <w:sz w:val="28"/>
          <w:szCs w:val="28"/>
          <w:lang w:val="es-ES_tradnl" w:eastAsia="es-MX"/>
        </w:rPr>
        <w:t>Prevenir y eliminar la violencia contra las mujeres y niñas es una responsabilidad compartida que nos convoca a la acción a todos los miembros de la sociedad, cada uno desde sus trincheras.</w:t>
      </w:r>
    </w:p>
    <w:p w14:paraId="69070FCC" w14:textId="77777777" w:rsidR="001231E8" w:rsidRDefault="001231E8" w:rsidP="001231E8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</w:p>
    <w:p w14:paraId="3BFF96C6" w14:textId="301E7EAE" w:rsidR="00A77A7E" w:rsidRDefault="00251075" w:rsidP="00BB72C9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  <w:r>
        <w:rPr>
          <w:rFonts w:ascii="Arial" w:eastAsia="Arial" w:hAnsi="Arial" w:cs="Arial"/>
          <w:sz w:val="28"/>
          <w:szCs w:val="28"/>
          <w:lang w:val="es-ES_tradnl" w:eastAsia="es-MX"/>
        </w:rPr>
        <w:t>Con esta iniciativa reafirmamos n</w:t>
      </w:r>
      <w:r w:rsidR="001231E8" w:rsidRPr="001231E8">
        <w:rPr>
          <w:rFonts w:ascii="Arial" w:eastAsia="Arial" w:hAnsi="Arial" w:cs="Arial"/>
          <w:sz w:val="28"/>
          <w:szCs w:val="28"/>
          <w:lang w:val="es-ES_tradnl" w:eastAsia="es-MX"/>
        </w:rPr>
        <w:t>uestro compromis</w:t>
      </w:r>
      <w:r w:rsidR="007E3C24">
        <w:rPr>
          <w:rFonts w:ascii="Arial" w:eastAsia="Arial" w:hAnsi="Arial" w:cs="Arial"/>
          <w:sz w:val="28"/>
          <w:szCs w:val="28"/>
          <w:lang w:val="es-ES_tradnl" w:eastAsia="es-MX"/>
        </w:rPr>
        <w:t>o</w:t>
      </w:r>
      <w:r w:rsidR="001231E8" w:rsidRPr="001231E8">
        <w:rPr>
          <w:rFonts w:ascii="Arial" w:eastAsia="Arial" w:hAnsi="Arial" w:cs="Arial"/>
          <w:sz w:val="28"/>
          <w:szCs w:val="28"/>
          <w:lang w:val="es-ES_tradnl" w:eastAsia="es-MX"/>
        </w:rPr>
        <w:t xml:space="preserve"> con esas mujeres que alzan la voz, pero también con aquellas que guardan silencio por miedo o porque no conocen sus derechos.</w:t>
      </w:r>
    </w:p>
    <w:p w14:paraId="1CEE9515" w14:textId="77777777" w:rsidR="007E3C24" w:rsidRDefault="007E3C24" w:rsidP="00BB72C9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</w:p>
    <w:p w14:paraId="1DC5A164" w14:textId="2C162B45" w:rsidR="00C07174" w:rsidRPr="00DC4DDC" w:rsidRDefault="00750666" w:rsidP="00DC4DDC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  <w:r w:rsidRPr="00DE2061">
        <w:rPr>
          <w:rFonts w:ascii="Arial" w:eastAsia="Arial" w:hAnsi="Arial" w:cs="Arial"/>
          <w:sz w:val="28"/>
          <w:szCs w:val="28"/>
          <w:lang w:val="es-ES_tradnl" w:eastAsia="es-MX"/>
        </w:rPr>
        <w:lastRenderedPageBreak/>
        <w:t>En virtud de lo anterior, es que se somete a consideración de este Honorable Congreso del Estado, para su revisión, análisis y, en su caso, aprobación, la siguiente iniciativa con proyecto de:</w:t>
      </w:r>
    </w:p>
    <w:p w14:paraId="78310183" w14:textId="77777777" w:rsidR="00C07174" w:rsidRDefault="00C07174" w:rsidP="00CD3E0C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  <w:lang w:val="es-ES_tradnl" w:eastAsia="es-MX"/>
        </w:rPr>
      </w:pPr>
    </w:p>
    <w:p w14:paraId="289C00AA" w14:textId="11F16D6D" w:rsidR="00CD3E0C" w:rsidRPr="00CD3E0C" w:rsidRDefault="00750666" w:rsidP="00E5142F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  <w:lang w:val="es-ES_tradnl" w:eastAsia="es-MX"/>
        </w:rPr>
      </w:pPr>
      <w:r w:rsidRPr="00DE2061">
        <w:rPr>
          <w:rFonts w:ascii="Arial" w:eastAsia="Arial" w:hAnsi="Arial" w:cs="Arial"/>
          <w:b/>
          <w:sz w:val="28"/>
          <w:szCs w:val="28"/>
          <w:lang w:val="es-ES_tradnl" w:eastAsia="es-MX"/>
        </w:rPr>
        <w:t>DECRETO</w:t>
      </w:r>
    </w:p>
    <w:p w14:paraId="1473C850" w14:textId="77777777" w:rsidR="00DC72F3" w:rsidRDefault="00DC72F3" w:rsidP="00A356B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0F32262C" w14:textId="410DC26B" w:rsidR="00526706" w:rsidRPr="00CE36FC" w:rsidRDefault="00D649F8" w:rsidP="0052670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ARTÍCULO </w:t>
      </w:r>
      <w:r w:rsidR="00A356B8">
        <w:rPr>
          <w:rFonts w:ascii="Arial" w:hAnsi="Arial" w:cs="Arial"/>
          <w:b/>
          <w:sz w:val="28"/>
          <w:szCs w:val="28"/>
        </w:rPr>
        <w:t>Ú</w:t>
      </w:r>
      <w:r w:rsidR="00A356B8" w:rsidRPr="00AF525E">
        <w:rPr>
          <w:rFonts w:ascii="Arial" w:hAnsi="Arial" w:cs="Arial"/>
          <w:b/>
          <w:sz w:val="28"/>
          <w:szCs w:val="28"/>
        </w:rPr>
        <w:t>NICO.</w:t>
      </w:r>
      <w:r w:rsidR="00526706">
        <w:rPr>
          <w:rFonts w:ascii="Arial" w:hAnsi="Arial" w:cs="Arial"/>
          <w:b/>
          <w:sz w:val="28"/>
          <w:szCs w:val="28"/>
        </w:rPr>
        <w:t xml:space="preserve"> </w:t>
      </w:r>
      <w:r w:rsidR="00526706" w:rsidRPr="008D7FCC">
        <w:rPr>
          <w:rFonts w:ascii="Arial" w:hAnsi="Arial" w:cs="Arial"/>
          <w:bCs/>
          <w:sz w:val="28"/>
          <w:szCs w:val="28"/>
        </w:rPr>
        <w:t xml:space="preserve">Se adiciona </w:t>
      </w:r>
      <w:r w:rsidR="002942C4">
        <w:rPr>
          <w:rFonts w:ascii="Arial" w:hAnsi="Arial" w:cs="Arial"/>
          <w:bCs/>
          <w:sz w:val="28"/>
          <w:szCs w:val="28"/>
        </w:rPr>
        <w:t xml:space="preserve">un quinto párrafo al artículo 211 del </w:t>
      </w:r>
      <w:r w:rsidR="008D7FCC" w:rsidRPr="008D7FCC">
        <w:rPr>
          <w:rFonts w:ascii="Arial" w:hAnsi="Arial" w:cs="Arial"/>
          <w:bCs/>
          <w:sz w:val="28"/>
          <w:szCs w:val="28"/>
        </w:rPr>
        <w:t>Código Penal de Coahuila</w:t>
      </w:r>
      <w:r w:rsidR="0088393D">
        <w:rPr>
          <w:rFonts w:ascii="Arial" w:hAnsi="Arial" w:cs="Arial"/>
          <w:bCs/>
          <w:sz w:val="28"/>
          <w:szCs w:val="28"/>
        </w:rPr>
        <w:t xml:space="preserve"> </w:t>
      </w:r>
      <w:r w:rsidR="00CE36FC">
        <w:rPr>
          <w:rFonts w:ascii="Arial" w:hAnsi="Arial" w:cs="Arial"/>
          <w:bCs/>
          <w:sz w:val="28"/>
          <w:szCs w:val="28"/>
        </w:rPr>
        <w:t>de Zaragoza, para quedar como sigue:</w:t>
      </w:r>
      <w:r w:rsidR="008D7FCC">
        <w:rPr>
          <w:rFonts w:ascii="Arial" w:hAnsi="Arial" w:cs="Arial"/>
          <w:bCs/>
          <w:sz w:val="28"/>
          <w:szCs w:val="28"/>
        </w:rPr>
        <w:t xml:space="preserve"> </w:t>
      </w:r>
    </w:p>
    <w:p w14:paraId="26015F2B" w14:textId="77777777" w:rsidR="00B11814" w:rsidRDefault="00B11814" w:rsidP="00CD636E">
      <w:pPr>
        <w:spacing w:after="0"/>
        <w:ind w:left="426"/>
        <w:jc w:val="both"/>
        <w:rPr>
          <w:rFonts w:ascii="Arial" w:hAnsi="Arial" w:cs="Arial"/>
          <w:b/>
          <w:sz w:val="28"/>
          <w:szCs w:val="28"/>
        </w:rPr>
      </w:pPr>
    </w:p>
    <w:p w14:paraId="3C5BEA1B" w14:textId="3955A756" w:rsidR="00CD636E" w:rsidRPr="00CD636E" w:rsidRDefault="00CD636E" w:rsidP="00CD636E">
      <w:pPr>
        <w:spacing w:after="0"/>
        <w:ind w:left="426"/>
        <w:jc w:val="both"/>
        <w:rPr>
          <w:rFonts w:ascii="Arial" w:hAnsi="Arial" w:cs="Arial"/>
          <w:b/>
          <w:sz w:val="28"/>
          <w:szCs w:val="28"/>
        </w:rPr>
      </w:pPr>
      <w:r w:rsidRPr="00CD636E">
        <w:rPr>
          <w:rFonts w:ascii="Arial" w:hAnsi="Arial" w:cs="Arial"/>
          <w:b/>
          <w:sz w:val="28"/>
          <w:szCs w:val="28"/>
        </w:rPr>
        <w:t>Artículo 211 (Abandono de persona incapaz de valerse por sí misma)</w:t>
      </w:r>
    </w:p>
    <w:p w14:paraId="2F5D19D4" w14:textId="77777777" w:rsidR="00D0695C" w:rsidRDefault="00D0695C" w:rsidP="00CD636E">
      <w:pPr>
        <w:spacing w:after="0"/>
        <w:ind w:left="426"/>
        <w:jc w:val="both"/>
        <w:rPr>
          <w:rFonts w:ascii="Arial" w:hAnsi="Arial" w:cs="Arial"/>
          <w:b/>
          <w:sz w:val="28"/>
          <w:szCs w:val="28"/>
        </w:rPr>
      </w:pPr>
    </w:p>
    <w:p w14:paraId="368716FE" w14:textId="4E1FA72C" w:rsidR="00CD636E" w:rsidRPr="00D0695C" w:rsidRDefault="00D0695C" w:rsidP="00CD636E">
      <w:pPr>
        <w:spacing w:after="0"/>
        <w:ind w:left="426"/>
        <w:jc w:val="both"/>
        <w:rPr>
          <w:rFonts w:ascii="Arial" w:hAnsi="Arial" w:cs="Arial"/>
          <w:bCs/>
          <w:sz w:val="28"/>
          <w:szCs w:val="28"/>
        </w:rPr>
      </w:pPr>
      <w:r w:rsidRPr="00D0695C">
        <w:rPr>
          <w:rFonts w:ascii="Arial" w:hAnsi="Arial" w:cs="Arial"/>
          <w:bCs/>
          <w:sz w:val="28"/>
          <w:szCs w:val="28"/>
        </w:rPr>
        <w:t>…</w:t>
      </w:r>
    </w:p>
    <w:p w14:paraId="29A469EB" w14:textId="77777777" w:rsidR="00D0695C" w:rsidRPr="00D0695C" w:rsidRDefault="00D0695C" w:rsidP="00CD636E">
      <w:pPr>
        <w:spacing w:after="0"/>
        <w:ind w:left="426"/>
        <w:jc w:val="both"/>
        <w:rPr>
          <w:rFonts w:ascii="Arial" w:hAnsi="Arial" w:cs="Arial"/>
          <w:bCs/>
          <w:sz w:val="28"/>
          <w:szCs w:val="28"/>
        </w:rPr>
      </w:pPr>
    </w:p>
    <w:p w14:paraId="2D46DF48" w14:textId="21B4A180" w:rsidR="00D0695C" w:rsidRPr="00D0695C" w:rsidRDefault="00D0695C" w:rsidP="00CD636E">
      <w:pPr>
        <w:spacing w:after="0"/>
        <w:ind w:left="426"/>
        <w:jc w:val="both"/>
        <w:rPr>
          <w:rFonts w:ascii="Arial" w:hAnsi="Arial" w:cs="Arial"/>
          <w:bCs/>
          <w:sz w:val="28"/>
          <w:szCs w:val="28"/>
        </w:rPr>
      </w:pPr>
      <w:r w:rsidRPr="00D0695C">
        <w:rPr>
          <w:rFonts w:ascii="Arial" w:hAnsi="Arial" w:cs="Arial"/>
          <w:bCs/>
          <w:sz w:val="28"/>
          <w:szCs w:val="28"/>
        </w:rPr>
        <w:t>…</w:t>
      </w:r>
    </w:p>
    <w:p w14:paraId="04B01534" w14:textId="77777777" w:rsidR="00D0695C" w:rsidRPr="00D0695C" w:rsidRDefault="00D0695C" w:rsidP="00CD636E">
      <w:pPr>
        <w:spacing w:after="0"/>
        <w:ind w:left="426"/>
        <w:jc w:val="both"/>
        <w:rPr>
          <w:rFonts w:ascii="Arial" w:hAnsi="Arial" w:cs="Arial"/>
          <w:bCs/>
          <w:sz w:val="28"/>
          <w:szCs w:val="28"/>
        </w:rPr>
      </w:pPr>
    </w:p>
    <w:p w14:paraId="7D3503D7" w14:textId="23801B9D" w:rsidR="00D0695C" w:rsidRPr="00D0695C" w:rsidRDefault="00D0695C" w:rsidP="00CD636E">
      <w:pPr>
        <w:spacing w:after="0"/>
        <w:ind w:left="426"/>
        <w:jc w:val="both"/>
        <w:rPr>
          <w:rFonts w:ascii="Arial" w:hAnsi="Arial" w:cs="Arial"/>
          <w:bCs/>
          <w:sz w:val="28"/>
          <w:szCs w:val="28"/>
        </w:rPr>
      </w:pPr>
      <w:r w:rsidRPr="00D0695C">
        <w:rPr>
          <w:rFonts w:ascii="Arial" w:hAnsi="Arial" w:cs="Arial"/>
          <w:bCs/>
          <w:sz w:val="28"/>
          <w:szCs w:val="28"/>
        </w:rPr>
        <w:t>…</w:t>
      </w:r>
    </w:p>
    <w:p w14:paraId="55B742AC" w14:textId="77777777" w:rsidR="00D0695C" w:rsidRPr="00D0695C" w:rsidRDefault="00D0695C" w:rsidP="00CD636E">
      <w:pPr>
        <w:spacing w:after="0"/>
        <w:ind w:left="426"/>
        <w:jc w:val="both"/>
        <w:rPr>
          <w:rFonts w:ascii="Arial" w:hAnsi="Arial" w:cs="Arial"/>
          <w:bCs/>
          <w:sz w:val="28"/>
          <w:szCs w:val="28"/>
        </w:rPr>
      </w:pPr>
    </w:p>
    <w:p w14:paraId="55C59F2A" w14:textId="722A2416" w:rsidR="00D0695C" w:rsidRPr="00D0695C" w:rsidRDefault="00D0695C" w:rsidP="00CD636E">
      <w:pPr>
        <w:spacing w:after="0"/>
        <w:ind w:left="426"/>
        <w:jc w:val="both"/>
        <w:rPr>
          <w:rFonts w:ascii="Arial" w:hAnsi="Arial" w:cs="Arial"/>
          <w:bCs/>
          <w:sz w:val="28"/>
          <w:szCs w:val="28"/>
        </w:rPr>
      </w:pPr>
      <w:r w:rsidRPr="00D0695C">
        <w:rPr>
          <w:rFonts w:ascii="Arial" w:hAnsi="Arial" w:cs="Arial"/>
          <w:bCs/>
          <w:sz w:val="28"/>
          <w:szCs w:val="28"/>
        </w:rPr>
        <w:t>…</w:t>
      </w:r>
    </w:p>
    <w:p w14:paraId="7789D6A7" w14:textId="77777777" w:rsidR="00CD636E" w:rsidRPr="00CD636E" w:rsidRDefault="00CD636E" w:rsidP="00CD636E">
      <w:pPr>
        <w:spacing w:after="0"/>
        <w:ind w:left="426"/>
        <w:jc w:val="both"/>
        <w:rPr>
          <w:rFonts w:ascii="Arial" w:hAnsi="Arial" w:cs="Arial"/>
          <w:b/>
          <w:sz w:val="28"/>
          <w:szCs w:val="28"/>
        </w:rPr>
      </w:pPr>
    </w:p>
    <w:p w14:paraId="4D8E8190" w14:textId="16B22D30" w:rsidR="00E91E9A" w:rsidRDefault="00CD636E" w:rsidP="00CD636E">
      <w:pPr>
        <w:spacing w:after="0"/>
        <w:ind w:left="426"/>
        <w:jc w:val="both"/>
        <w:rPr>
          <w:rFonts w:ascii="Arial" w:eastAsia="Arial" w:hAnsi="Arial" w:cs="Arial"/>
          <w:b/>
          <w:sz w:val="28"/>
          <w:szCs w:val="28"/>
          <w:lang w:eastAsia="es-MX"/>
        </w:rPr>
      </w:pPr>
      <w:r w:rsidRPr="00CD636E">
        <w:rPr>
          <w:rFonts w:ascii="Arial" w:hAnsi="Arial" w:cs="Arial"/>
          <w:b/>
          <w:sz w:val="28"/>
          <w:szCs w:val="28"/>
        </w:rPr>
        <w:t xml:space="preserve">Se aumentará en un tanto el mínimo y el máximo de las penas previstas en el presente artículo, si quién obligado </w:t>
      </w:r>
      <w:r w:rsidR="0056526A">
        <w:rPr>
          <w:rFonts w:ascii="Arial" w:hAnsi="Arial" w:cs="Arial"/>
          <w:b/>
          <w:sz w:val="28"/>
          <w:szCs w:val="28"/>
        </w:rPr>
        <w:t>por</w:t>
      </w:r>
      <w:r w:rsidRPr="00CD636E">
        <w:rPr>
          <w:rFonts w:ascii="Arial" w:hAnsi="Arial" w:cs="Arial"/>
          <w:b/>
          <w:sz w:val="28"/>
          <w:szCs w:val="28"/>
        </w:rPr>
        <w:t xml:space="preserve"> razón de su empleo y ejerciendo funciones de seguridad pública, no atienda inmediata e idóneamente, o retarde o niegue un requerimiento de ayuda o auxilio solicitado por cualquier persona, siempre que de los hechos denunciados se advierta </w:t>
      </w:r>
      <w:r w:rsidRPr="00CD636E">
        <w:rPr>
          <w:rFonts w:ascii="Arial" w:hAnsi="Arial" w:cs="Arial"/>
          <w:b/>
          <w:sz w:val="28"/>
          <w:szCs w:val="28"/>
        </w:rPr>
        <w:lastRenderedPageBreak/>
        <w:t>riesgo de pérdida de la vida, libertad o daño a la integridad física de una o más personas.</w:t>
      </w:r>
    </w:p>
    <w:p w14:paraId="7295F64A" w14:textId="4C7C4AA7" w:rsidR="00DA751D" w:rsidRDefault="00DA751D" w:rsidP="00405C43">
      <w:pPr>
        <w:spacing w:after="0"/>
        <w:ind w:left="426"/>
        <w:jc w:val="both"/>
        <w:rPr>
          <w:rFonts w:ascii="Arial" w:eastAsia="Arial" w:hAnsi="Arial" w:cs="Arial"/>
          <w:b/>
          <w:sz w:val="28"/>
          <w:szCs w:val="28"/>
          <w:lang w:eastAsia="es-MX"/>
        </w:rPr>
      </w:pPr>
    </w:p>
    <w:p w14:paraId="5748B5B1" w14:textId="77777777" w:rsidR="0056526A" w:rsidRPr="00405C43" w:rsidRDefault="0056526A" w:rsidP="00405C43">
      <w:pPr>
        <w:spacing w:after="0"/>
        <w:ind w:left="426"/>
        <w:jc w:val="both"/>
        <w:rPr>
          <w:rFonts w:ascii="Arial" w:eastAsia="Arial" w:hAnsi="Arial" w:cs="Arial"/>
          <w:b/>
          <w:sz w:val="28"/>
          <w:szCs w:val="28"/>
          <w:lang w:eastAsia="es-MX"/>
        </w:rPr>
      </w:pPr>
    </w:p>
    <w:p w14:paraId="5931103C" w14:textId="17BB0578" w:rsidR="00B3300D" w:rsidRPr="00E5142F" w:rsidRDefault="00750666" w:rsidP="0056526A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  <w:lang w:val="es-ES_tradnl" w:eastAsia="es-MX"/>
        </w:rPr>
      </w:pPr>
      <w:r w:rsidRPr="00DE2061">
        <w:rPr>
          <w:rFonts w:ascii="Arial" w:eastAsia="Arial" w:hAnsi="Arial" w:cs="Arial"/>
          <w:b/>
          <w:sz w:val="28"/>
          <w:szCs w:val="28"/>
          <w:lang w:val="es-ES_tradnl" w:eastAsia="es-MX"/>
        </w:rPr>
        <w:t>TRANSITORIO</w:t>
      </w:r>
    </w:p>
    <w:p w14:paraId="57FA546E" w14:textId="5B659685" w:rsidR="00750666" w:rsidRPr="00DE2061" w:rsidRDefault="00D649F8" w:rsidP="00750666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  <w:r>
        <w:rPr>
          <w:rFonts w:ascii="Arial" w:eastAsia="Arial" w:hAnsi="Arial" w:cs="Arial"/>
          <w:b/>
          <w:sz w:val="28"/>
          <w:szCs w:val="28"/>
          <w:lang w:val="es-ES_tradnl" w:eastAsia="es-MX"/>
        </w:rPr>
        <w:t xml:space="preserve">ARTÍCULO </w:t>
      </w:r>
      <w:r w:rsidR="00750666" w:rsidRPr="00DE2061">
        <w:rPr>
          <w:rFonts w:ascii="Arial" w:eastAsia="Arial" w:hAnsi="Arial" w:cs="Arial"/>
          <w:b/>
          <w:sz w:val="28"/>
          <w:szCs w:val="28"/>
          <w:lang w:val="es-ES_tradnl" w:eastAsia="es-MX"/>
        </w:rPr>
        <w:t>ÚNICO.</w:t>
      </w:r>
      <w:r w:rsidR="00750666" w:rsidRPr="00DE2061">
        <w:rPr>
          <w:rFonts w:ascii="Arial" w:eastAsia="Arial" w:hAnsi="Arial" w:cs="Arial"/>
          <w:sz w:val="28"/>
          <w:szCs w:val="28"/>
          <w:lang w:val="es-ES_tradnl" w:eastAsia="es-MX"/>
        </w:rPr>
        <w:t xml:space="preserve"> El presente decreto </w:t>
      </w:r>
      <w:r w:rsidR="00935D7F">
        <w:rPr>
          <w:rFonts w:ascii="Arial" w:eastAsia="Arial" w:hAnsi="Arial" w:cs="Arial"/>
          <w:sz w:val="28"/>
          <w:szCs w:val="28"/>
          <w:lang w:val="es-ES_tradnl" w:eastAsia="es-MX"/>
        </w:rPr>
        <w:t>entrará en vigor a</w:t>
      </w:r>
      <w:r w:rsidR="00750666" w:rsidRPr="00DE2061">
        <w:rPr>
          <w:rFonts w:ascii="Arial" w:eastAsia="Arial" w:hAnsi="Arial" w:cs="Arial"/>
          <w:sz w:val="28"/>
          <w:szCs w:val="28"/>
          <w:lang w:val="es-ES_tradnl" w:eastAsia="es-MX"/>
        </w:rPr>
        <w:t xml:space="preserve">l día siguiente de su publicación en el Periódico Oficial del </w:t>
      </w:r>
      <w:r w:rsidR="00935D7F">
        <w:rPr>
          <w:rFonts w:ascii="Arial" w:eastAsia="Arial" w:hAnsi="Arial" w:cs="Arial"/>
          <w:sz w:val="28"/>
          <w:szCs w:val="28"/>
          <w:lang w:val="es-ES_tradnl" w:eastAsia="es-MX"/>
        </w:rPr>
        <w:t xml:space="preserve">Gobierno del </w:t>
      </w:r>
      <w:r w:rsidR="00750666" w:rsidRPr="00DE2061">
        <w:rPr>
          <w:rFonts w:ascii="Arial" w:eastAsia="Arial" w:hAnsi="Arial" w:cs="Arial"/>
          <w:sz w:val="28"/>
          <w:szCs w:val="28"/>
          <w:lang w:val="es-ES_tradnl" w:eastAsia="es-MX"/>
        </w:rPr>
        <w:t>Estado.</w:t>
      </w:r>
    </w:p>
    <w:p w14:paraId="3985E50A" w14:textId="77777777" w:rsidR="00750666" w:rsidRPr="00DE2061" w:rsidRDefault="00750666" w:rsidP="00750666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</w:p>
    <w:p w14:paraId="64A45A49" w14:textId="77777777" w:rsidR="00FB2B2C" w:rsidRPr="00DE2061" w:rsidRDefault="00FB2B2C" w:rsidP="00FB2B2C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s-MX"/>
        </w:rPr>
      </w:pPr>
      <w:r w:rsidRPr="00DE206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POR UN GOBIERNO DE CONCERTACIÓN DEMOCRÁTICA.</w:t>
      </w:r>
    </w:p>
    <w:p w14:paraId="10288D4C" w14:textId="77777777" w:rsidR="00FB2B2C" w:rsidRPr="00DE2061" w:rsidRDefault="00FB2B2C" w:rsidP="00FB2B2C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s-MX"/>
        </w:rPr>
      </w:pPr>
      <w:r w:rsidRPr="00DE206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GRUPO PARLAMENTARIO "BRIGIDO RAMIRO MORENO HERNANDEZ"</w:t>
      </w:r>
    </w:p>
    <w:p w14:paraId="7EC149DD" w14:textId="77777777" w:rsidR="00FB2B2C" w:rsidRPr="00DE2061" w:rsidRDefault="00FB2B2C" w:rsidP="00FB2B2C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s-MX"/>
        </w:rPr>
      </w:pPr>
      <w:bookmarkStart w:id="3" w:name="_Hlk33611018"/>
    </w:p>
    <w:p w14:paraId="583B9866" w14:textId="79FD2BC6" w:rsidR="00FB2B2C" w:rsidRPr="00DE2061" w:rsidRDefault="00FB2B2C" w:rsidP="00FB2B2C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s-MX"/>
        </w:rPr>
      </w:pPr>
      <w:r w:rsidRPr="00DE206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SALTILLO, COAHUILA A </w:t>
      </w:r>
      <w:r w:rsidR="002942C4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07</w:t>
      </w:r>
      <w:r w:rsidRPr="00DE206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DE </w:t>
      </w:r>
      <w:r w:rsidR="002942C4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OCTUBRE</w:t>
      </w:r>
      <w:r w:rsidRPr="00DE206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DE 2020</w:t>
      </w:r>
    </w:p>
    <w:p w14:paraId="0152574D" w14:textId="77777777" w:rsidR="00FB2B2C" w:rsidRPr="00DE2061" w:rsidRDefault="00FB2B2C" w:rsidP="00FB2B2C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  <w:r w:rsidRPr="00DE2061">
        <w:rPr>
          <w:rFonts w:ascii="Arial" w:eastAsia="Times New Roman" w:hAnsi="Arial" w:cs="Arial"/>
          <w:b/>
          <w:bCs/>
          <w:noProof/>
          <w:sz w:val="28"/>
          <w:szCs w:val="28"/>
          <w:lang w:eastAsia="es-MX"/>
        </w:rPr>
        <w:drawing>
          <wp:inline distT="0" distB="0" distL="0" distR="0" wp14:anchorId="5068E038" wp14:editId="626E9856">
            <wp:extent cx="2505075" cy="68839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EMILI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474" cy="69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BDB12" w14:textId="77777777" w:rsidR="00FB2B2C" w:rsidRPr="00DE2061" w:rsidRDefault="00FB2B2C" w:rsidP="00FB2B2C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  <w:r w:rsidRPr="00DE2061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DIPUTADO EMILIO ALEJANDRO DE HOYOS MONTEMAYOR</w:t>
      </w:r>
    </w:p>
    <w:p w14:paraId="494020EC" w14:textId="77777777" w:rsidR="00FB2B2C" w:rsidRPr="00DE2061" w:rsidRDefault="00FB2B2C" w:rsidP="00FB2B2C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  <w:r w:rsidRPr="00DE2061">
        <w:rPr>
          <w:rFonts w:ascii="Arial" w:eastAsia="Times New Roman" w:hAnsi="Arial" w:cs="Arial"/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0" locked="0" layoutInCell="1" allowOverlap="1" wp14:anchorId="47D70CD5" wp14:editId="20142F4F">
            <wp:simplePos x="0" y="0"/>
            <wp:positionH relativeFrom="column">
              <wp:posOffset>2343150</wp:posOffset>
            </wp:positionH>
            <wp:positionV relativeFrom="paragraph">
              <wp:posOffset>8890</wp:posOffset>
            </wp:positionV>
            <wp:extent cx="1866900" cy="822740"/>
            <wp:effectExtent l="0" t="0" r="0" b="0"/>
            <wp:wrapNone/>
            <wp:docPr id="4" name="Imagen 4" descr="03 UDC D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 UDC D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2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3BEBCE" w14:textId="77777777" w:rsidR="00FB2B2C" w:rsidRPr="00DE2061" w:rsidRDefault="00FB2B2C" w:rsidP="00FB2B2C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</w:p>
    <w:p w14:paraId="61D21128" w14:textId="77777777" w:rsidR="00FB2B2C" w:rsidRPr="00DE2061" w:rsidRDefault="00FB2B2C" w:rsidP="00FB2B2C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</w:p>
    <w:p w14:paraId="732420D6" w14:textId="054880E7" w:rsidR="00A668E7" w:rsidRPr="004D3D78" w:rsidRDefault="00FB2B2C" w:rsidP="004D3D78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s-MX"/>
        </w:rPr>
      </w:pPr>
      <w:r w:rsidRPr="00DE2061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DIPUTADA ZULMMA VERENICE GUERRERO CAZARES</w:t>
      </w:r>
      <w:bookmarkEnd w:id="3"/>
    </w:p>
    <w:sectPr w:rsidR="00A668E7" w:rsidRPr="004D3D78" w:rsidSect="00954C50">
      <w:headerReference w:type="default" r:id="rId9"/>
      <w:footerReference w:type="default" r:id="rId10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8BAD9" w14:textId="77777777" w:rsidR="00FE014F" w:rsidRDefault="00FE014F" w:rsidP="005F5CDF">
      <w:pPr>
        <w:spacing w:after="0" w:line="240" w:lineRule="auto"/>
      </w:pPr>
      <w:r>
        <w:separator/>
      </w:r>
    </w:p>
  </w:endnote>
  <w:endnote w:type="continuationSeparator" w:id="0">
    <w:p w14:paraId="08966FF0" w14:textId="77777777" w:rsidR="00FE014F" w:rsidRDefault="00FE014F" w:rsidP="005F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3969336"/>
      <w:docPartObj>
        <w:docPartGallery w:val="Page Numbers (Bottom of Page)"/>
        <w:docPartUnique/>
      </w:docPartObj>
    </w:sdtPr>
    <w:sdtEndPr/>
    <w:sdtContent>
      <w:p w14:paraId="5025E742" w14:textId="5DDE78E0" w:rsidR="00C07B07" w:rsidRDefault="00C07B0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259" w:rsidRPr="00D75259">
          <w:rPr>
            <w:noProof/>
            <w:lang w:val="es-ES"/>
          </w:rPr>
          <w:t>10</w:t>
        </w:r>
        <w:r>
          <w:fldChar w:fldCharType="end"/>
        </w:r>
      </w:p>
    </w:sdtContent>
  </w:sdt>
  <w:p w14:paraId="1FC1A158" w14:textId="77777777" w:rsidR="00C07B07" w:rsidRDefault="00C07B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654C5" w14:textId="77777777" w:rsidR="00FE014F" w:rsidRDefault="00FE014F" w:rsidP="005F5CDF">
      <w:pPr>
        <w:spacing w:after="0" w:line="240" w:lineRule="auto"/>
      </w:pPr>
      <w:r>
        <w:separator/>
      </w:r>
    </w:p>
  </w:footnote>
  <w:footnote w:type="continuationSeparator" w:id="0">
    <w:p w14:paraId="38D83DF2" w14:textId="77777777" w:rsidR="00FE014F" w:rsidRDefault="00FE014F" w:rsidP="005F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AD9A1" w14:textId="77777777" w:rsidR="00C07B07" w:rsidRPr="00F81E38" w:rsidRDefault="00C07B07" w:rsidP="005F5CDF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 wp14:anchorId="1049EF3F" wp14:editId="53BE76A0">
          <wp:simplePos x="0" y="0"/>
          <wp:positionH relativeFrom="column">
            <wp:posOffset>5419726</wp:posOffset>
          </wp:positionH>
          <wp:positionV relativeFrom="paragraph">
            <wp:posOffset>-411479</wp:posOffset>
          </wp:positionV>
          <wp:extent cx="774984" cy="1200150"/>
          <wp:effectExtent l="0" t="0" r="635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767" cy="1212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6AEC68BE" wp14:editId="546A9A59">
          <wp:simplePos x="0" y="0"/>
          <wp:positionH relativeFrom="column">
            <wp:posOffset>-608330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14:paraId="1A2BB375" w14:textId="77777777" w:rsidR="00C07B07" w:rsidRPr="00F81E38" w:rsidRDefault="00C07B07" w:rsidP="005F5CDF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14:paraId="70DE9203" w14:textId="77777777" w:rsidR="00FC488F" w:rsidRDefault="00FC488F" w:rsidP="005F5CDF">
    <w:pPr>
      <w:pStyle w:val="Encabezado"/>
      <w:ind w:right="49"/>
      <w:jc w:val="center"/>
    </w:pPr>
  </w:p>
  <w:p w14:paraId="19904B4D" w14:textId="3416D7B3" w:rsidR="00C07B07" w:rsidRDefault="00FC488F" w:rsidP="005F5CDF">
    <w:pPr>
      <w:pStyle w:val="Encabezado"/>
      <w:ind w:right="49"/>
      <w:jc w:val="center"/>
    </w:pPr>
    <w:r>
      <w:t>“2020, Año del Centenario Luctuoso de Venustiano Carranza Varón de Cuatro Ciénegas”</w:t>
    </w:r>
  </w:p>
  <w:p w14:paraId="1A595CD0" w14:textId="00E74F3C" w:rsidR="00C07B07" w:rsidRDefault="00C07B07">
    <w:pPr>
      <w:pStyle w:val="Encabezado"/>
      <w:rPr>
        <w:rFonts w:ascii="Times New Roman" w:hAnsi="Times New Roman"/>
        <w:sz w:val="18"/>
        <w:szCs w:val="18"/>
      </w:rPr>
    </w:pPr>
  </w:p>
  <w:p w14:paraId="44D7536A" w14:textId="77777777" w:rsidR="00C07B07" w:rsidRDefault="00C07B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71482"/>
    <w:multiLevelType w:val="hybridMultilevel"/>
    <w:tmpl w:val="D5A475A0"/>
    <w:lvl w:ilvl="0" w:tplc="00D078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81679"/>
    <w:multiLevelType w:val="hybridMultilevel"/>
    <w:tmpl w:val="C30ADF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056EF"/>
    <w:multiLevelType w:val="hybridMultilevel"/>
    <w:tmpl w:val="587612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128F1"/>
    <w:multiLevelType w:val="hybridMultilevel"/>
    <w:tmpl w:val="CF687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B7DE7"/>
    <w:multiLevelType w:val="hybridMultilevel"/>
    <w:tmpl w:val="5698990C"/>
    <w:lvl w:ilvl="0" w:tplc="B9DE19C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DB67D1"/>
    <w:multiLevelType w:val="hybridMultilevel"/>
    <w:tmpl w:val="0804FF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922FD"/>
    <w:multiLevelType w:val="hybridMultilevel"/>
    <w:tmpl w:val="C1C065C4"/>
    <w:lvl w:ilvl="0" w:tplc="96104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01FAF"/>
    <w:multiLevelType w:val="hybridMultilevel"/>
    <w:tmpl w:val="AB1AB60C"/>
    <w:lvl w:ilvl="0" w:tplc="6A80496E"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018295C"/>
    <w:multiLevelType w:val="hybridMultilevel"/>
    <w:tmpl w:val="45D6706A"/>
    <w:lvl w:ilvl="0" w:tplc="364A1A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0D5D1B"/>
    <w:multiLevelType w:val="hybridMultilevel"/>
    <w:tmpl w:val="9ACC1C9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F"/>
    <w:rsid w:val="00001621"/>
    <w:rsid w:val="00010772"/>
    <w:rsid w:val="00013C69"/>
    <w:rsid w:val="00025021"/>
    <w:rsid w:val="00025BF4"/>
    <w:rsid w:val="00041380"/>
    <w:rsid w:val="00054C4A"/>
    <w:rsid w:val="00057884"/>
    <w:rsid w:val="0006092A"/>
    <w:rsid w:val="00073297"/>
    <w:rsid w:val="0007580C"/>
    <w:rsid w:val="00083BC5"/>
    <w:rsid w:val="000869C9"/>
    <w:rsid w:val="00087107"/>
    <w:rsid w:val="00097652"/>
    <w:rsid w:val="000A345E"/>
    <w:rsid w:val="000A34FF"/>
    <w:rsid w:val="000C2267"/>
    <w:rsid w:val="000C4FDA"/>
    <w:rsid w:val="000D23B9"/>
    <w:rsid w:val="000D3D1E"/>
    <w:rsid w:val="000E7C99"/>
    <w:rsid w:val="001231E8"/>
    <w:rsid w:val="00126009"/>
    <w:rsid w:val="001346EF"/>
    <w:rsid w:val="0014586A"/>
    <w:rsid w:val="00155333"/>
    <w:rsid w:val="00162DBF"/>
    <w:rsid w:val="001650B1"/>
    <w:rsid w:val="0018255F"/>
    <w:rsid w:val="00187991"/>
    <w:rsid w:val="00192C61"/>
    <w:rsid w:val="00196690"/>
    <w:rsid w:val="001A0425"/>
    <w:rsid w:val="001B790E"/>
    <w:rsid w:val="001C7943"/>
    <w:rsid w:val="001D01D3"/>
    <w:rsid w:val="001D2757"/>
    <w:rsid w:val="001E27F4"/>
    <w:rsid w:val="001E28C7"/>
    <w:rsid w:val="001E685E"/>
    <w:rsid w:val="001F0A5C"/>
    <w:rsid w:val="00211764"/>
    <w:rsid w:val="00211FA3"/>
    <w:rsid w:val="002137C4"/>
    <w:rsid w:val="00221F78"/>
    <w:rsid w:val="00236DBA"/>
    <w:rsid w:val="00251075"/>
    <w:rsid w:val="002655BD"/>
    <w:rsid w:val="00287450"/>
    <w:rsid w:val="00291605"/>
    <w:rsid w:val="002942C4"/>
    <w:rsid w:val="002A11FD"/>
    <w:rsid w:val="002B30E9"/>
    <w:rsid w:val="002B64DE"/>
    <w:rsid w:val="002D1D61"/>
    <w:rsid w:val="002D394B"/>
    <w:rsid w:val="002D5DDA"/>
    <w:rsid w:val="002E77F0"/>
    <w:rsid w:val="002F1215"/>
    <w:rsid w:val="002F67AD"/>
    <w:rsid w:val="00303C54"/>
    <w:rsid w:val="003123D6"/>
    <w:rsid w:val="003448FA"/>
    <w:rsid w:val="003555B0"/>
    <w:rsid w:val="00375E9B"/>
    <w:rsid w:val="00393F20"/>
    <w:rsid w:val="00397156"/>
    <w:rsid w:val="003A02E2"/>
    <w:rsid w:val="003A0B31"/>
    <w:rsid w:val="003A1220"/>
    <w:rsid w:val="003A59B2"/>
    <w:rsid w:val="003A76CC"/>
    <w:rsid w:val="003B1701"/>
    <w:rsid w:val="003D024A"/>
    <w:rsid w:val="003E3124"/>
    <w:rsid w:val="003F1F77"/>
    <w:rsid w:val="004000EE"/>
    <w:rsid w:val="00405C43"/>
    <w:rsid w:val="00407B44"/>
    <w:rsid w:val="00410F7E"/>
    <w:rsid w:val="00437EF7"/>
    <w:rsid w:val="00440C11"/>
    <w:rsid w:val="00474709"/>
    <w:rsid w:val="0047633C"/>
    <w:rsid w:val="004809EB"/>
    <w:rsid w:val="00484FB4"/>
    <w:rsid w:val="004857BC"/>
    <w:rsid w:val="00492643"/>
    <w:rsid w:val="00495F59"/>
    <w:rsid w:val="004B0334"/>
    <w:rsid w:val="004C2373"/>
    <w:rsid w:val="004C53C5"/>
    <w:rsid w:val="004C620C"/>
    <w:rsid w:val="004D3D78"/>
    <w:rsid w:val="004D5E65"/>
    <w:rsid w:val="004E19F1"/>
    <w:rsid w:val="004E6B4C"/>
    <w:rsid w:val="004F5F2B"/>
    <w:rsid w:val="004F76AD"/>
    <w:rsid w:val="004F7736"/>
    <w:rsid w:val="005030B5"/>
    <w:rsid w:val="005152DF"/>
    <w:rsid w:val="0052251E"/>
    <w:rsid w:val="0052416B"/>
    <w:rsid w:val="00524E90"/>
    <w:rsid w:val="00526706"/>
    <w:rsid w:val="0054041B"/>
    <w:rsid w:val="005434FF"/>
    <w:rsid w:val="00543CD2"/>
    <w:rsid w:val="00552D70"/>
    <w:rsid w:val="00557251"/>
    <w:rsid w:val="00560D12"/>
    <w:rsid w:val="00564620"/>
    <w:rsid w:val="0056526A"/>
    <w:rsid w:val="0057037A"/>
    <w:rsid w:val="00580518"/>
    <w:rsid w:val="005814DA"/>
    <w:rsid w:val="00586064"/>
    <w:rsid w:val="00587B8F"/>
    <w:rsid w:val="00595578"/>
    <w:rsid w:val="005A4AF9"/>
    <w:rsid w:val="005A5AC4"/>
    <w:rsid w:val="005B6F77"/>
    <w:rsid w:val="005C0402"/>
    <w:rsid w:val="005D4790"/>
    <w:rsid w:val="005E34BA"/>
    <w:rsid w:val="005F5CDF"/>
    <w:rsid w:val="00625B72"/>
    <w:rsid w:val="006408CE"/>
    <w:rsid w:val="00641D25"/>
    <w:rsid w:val="00645091"/>
    <w:rsid w:val="00647CA3"/>
    <w:rsid w:val="006550AD"/>
    <w:rsid w:val="0065764E"/>
    <w:rsid w:val="00661519"/>
    <w:rsid w:val="00685443"/>
    <w:rsid w:val="00694E53"/>
    <w:rsid w:val="006A069E"/>
    <w:rsid w:val="006A579B"/>
    <w:rsid w:val="006A7D7A"/>
    <w:rsid w:val="006B0FB2"/>
    <w:rsid w:val="006C1B35"/>
    <w:rsid w:val="006C1DFF"/>
    <w:rsid w:val="006C29B6"/>
    <w:rsid w:val="006D1979"/>
    <w:rsid w:val="006E3620"/>
    <w:rsid w:val="006E5264"/>
    <w:rsid w:val="006E7724"/>
    <w:rsid w:val="006F5665"/>
    <w:rsid w:val="0070375E"/>
    <w:rsid w:val="00715590"/>
    <w:rsid w:val="0071593F"/>
    <w:rsid w:val="007160F2"/>
    <w:rsid w:val="00716D13"/>
    <w:rsid w:val="00722792"/>
    <w:rsid w:val="00724E3A"/>
    <w:rsid w:val="0073696E"/>
    <w:rsid w:val="00750666"/>
    <w:rsid w:val="007A380A"/>
    <w:rsid w:val="007B07E2"/>
    <w:rsid w:val="007B702C"/>
    <w:rsid w:val="007E1000"/>
    <w:rsid w:val="007E336A"/>
    <w:rsid w:val="007E3C24"/>
    <w:rsid w:val="007F15B5"/>
    <w:rsid w:val="007F3BCC"/>
    <w:rsid w:val="007F5266"/>
    <w:rsid w:val="00806CD1"/>
    <w:rsid w:val="008073EC"/>
    <w:rsid w:val="008105BA"/>
    <w:rsid w:val="0081467B"/>
    <w:rsid w:val="0082544E"/>
    <w:rsid w:val="0082595D"/>
    <w:rsid w:val="00827BBA"/>
    <w:rsid w:val="008354B7"/>
    <w:rsid w:val="00837BCB"/>
    <w:rsid w:val="00840CA7"/>
    <w:rsid w:val="00843144"/>
    <w:rsid w:val="00852D35"/>
    <w:rsid w:val="00863A72"/>
    <w:rsid w:val="008702BB"/>
    <w:rsid w:val="00874DC0"/>
    <w:rsid w:val="00881548"/>
    <w:rsid w:val="0088393D"/>
    <w:rsid w:val="00893018"/>
    <w:rsid w:val="008A7E78"/>
    <w:rsid w:val="008B4A6D"/>
    <w:rsid w:val="008C3928"/>
    <w:rsid w:val="008D7FCC"/>
    <w:rsid w:val="009019B0"/>
    <w:rsid w:val="009055B5"/>
    <w:rsid w:val="009064A1"/>
    <w:rsid w:val="009301A4"/>
    <w:rsid w:val="009345E5"/>
    <w:rsid w:val="00935D7F"/>
    <w:rsid w:val="00937B34"/>
    <w:rsid w:val="009417FC"/>
    <w:rsid w:val="009418E4"/>
    <w:rsid w:val="00946284"/>
    <w:rsid w:val="00947FC2"/>
    <w:rsid w:val="009538E8"/>
    <w:rsid w:val="00954C50"/>
    <w:rsid w:val="00965099"/>
    <w:rsid w:val="00965800"/>
    <w:rsid w:val="0097155C"/>
    <w:rsid w:val="00985757"/>
    <w:rsid w:val="00993FBA"/>
    <w:rsid w:val="00997B35"/>
    <w:rsid w:val="009A19D8"/>
    <w:rsid w:val="009C293B"/>
    <w:rsid w:val="009C35C5"/>
    <w:rsid w:val="009D0394"/>
    <w:rsid w:val="009D039A"/>
    <w:rsid w:val="009D6F8E"/>
    <w:rsid w:val="009F00F9"/>
    <w:rsid w:val="009F788F"/>
    <w:rsid w:val="009F7EC0"/>
    <w:rsid w:val="00A01ED9"/>
    <w:rsid w:val="00A0260B"/>
    <w:rsid w:val="00A058BD"/>
    <w:rsid w:val="00A116B4"/>
    <w:rsid w:val="00A20864"/>
    <w:rsid w:val="00A23596"/>
    <w:rsid w:val="00A3175E"/>
    <w:rsid w:val="00A356B8"/>
    <w:rsid w:val="00A3726B"/>
    <w:rsid w:val="00A601A0"/>
    <w:rsid w:val="00A606AC"/>
    <w:rsid w:val="00A62EB0"/>
    <w:rsid w:val="00A6398E"/>
    <w:rsid w:val="00A668E7"/>
    <w:rsid w:val="00A727F4"/>
    <w:rsid w:val="00A77A7E"/>
    <w:rsid w:val="00A919F2"/>
    <w:rsid w:val="00AA00E6"/>
    <w:rsid w:val="00AA754D"/>
    <w:rsid w:val="00AB59FB"/>
    <w:rsid w:val="00AC0067"/>
    <w:rsid w:val="00AD1F3E"/>
    <w:rsid w:val="00AD2819"/>
    <w:rsid w:val="00AD6137"/>
    <w:rsid w:val="00AF17C5"/>
    <w:rsid w:val="00AF1E42"/>
    <w:rsid w:val="00B0274C"/>
    <w:rsid w:val="00B04270"/>
    <w:rsid w:val="00B11814"/>
    <w:rsid w:val="00B14816"/>
    <w:rsid w:val="00B30E2D"/>
    <w:rsid w:val="00B32DCB"/>
    <w:rsid w:val="00B3300D"/>
    <w:rsid w:val="00B40E60"/>
    <w:rsid w:val="00B54AA0"/>
    <w:rsid w:val="00B810DA"/>
    <w:rsid w:val="00B81AB9"/>
    <w:rsid w:val="00B8357D"/>
    <w:rsid w:val="00B96922"/>
    <w:rsid w:val="00BB72C9"/>
    <w:rsid w:val="00BC7017"/>
    <w:rsid w:val="00BD461C"/>
    <w:rsid w:val="00BD6996"/>
    <w:rsid w:val="00BE0A94"/>
    <w:rsid w:val="00BE0AD9"/>
    <w:rsid w:val="00BF0E83"/>
    <w:rsid w:val="00C07174"/>
    <w:rsid w:val="00C07B07"/>
    <w:rsid w:val="00C1585C"/>
    <w:rsid w:val="00C2302D"/>
    <w:rsid w:val="00C33D63"/>
    <w:rsid w:val="00C45493"/>
    <w:rsid w:val="00C62AB7"/>
    <w:rsid w:val="00C942EE"/>
    <w:rsid w:val="00CD27BF"/>
    <w:rsid w:val="00CD3E0C"/>
    <w:rsid w:val="00CD636E"/>
    <w:rsid w:val="00CD711A"/>
    <w:rsid w:val="00CE36FC"/>
    <w:rsid w:val="00CE3BB1"/>
    <w:rsid w:val="00CF5AB5"/>
    <w:rsid w:val="00D0695C"/>
    <w:rsid w:val="00D07DDA"/>
    <w:rsid w:val="00D159D8"/>
    <w:rsid w:val="00D36E5E"/>
    <w:rsid w:val="00D42BF4"/>
    <w:rsid w:val="00D46938"/>
    <w:rsid w:val="00D62AC2"/>
    <w:rsid w:val="00D649F8"/>
    <w:rsid w:val="00D64BD2"/>
    <w:rsid w:val="00D66D25"/>
    <w:rsid w:val="00D70D1A"/>
    <w:rsid w:val="00D75259"/>
    <w:rsid w:val="00D77973"/>
    <w:rsid w:val="00D84E2A"/>
    <w:rsid w:val="00D922DC"/>
    <w:rsid w:val="00DA751D"/>
    <w:rsid w:val="00DB595D"/>
    <w:rsid w:val="00DB7638"/>
    <w:rsid w:val="00DC4DDC"/>
    <w:rsid w:val="00DC72F3"/>
    <w:rsid w:val="00DC7CFA"/>
    <w:rsid w:val="00DD1B31"/>
    <w:rsid w:val="00DD3F2E"/>
    <w:rsid w:val="00DE0479"/>
    <w:rsid w:val="00DE2061"/>
    <w:rsid w:val="00DF014E"/>
    <w:rsid w:val="00E01D0F"/>
    <w:rsid w:val="00E103DA"/>
    <w:rsid w:val="00E15B3B"/>
    <w:rsid w:val="00E15D31"/>
    <w:rsid w:val="00E20D1F"/>
    <w:rsid w:val="00E2259C"/>
    <w:rsid w:val="00E5142F"/>
    <w:rsid w:val="00E51916"/>
    <w:rsid w:val="00E633CE"/>
    <w:rsid w:val="00E720D9"/>
    <w:rsid w:val="00E85126"/>
    <w:rsid w:val="00E91E9A"/>
    <w:rsid w:val="00E97FAD"/>
    <w:rsid w:val="00EA17F9"/>
    <w:rsid w:val="00EC2D06"/>
    <w:rsid w:val="00ED06B4"/>
    <w:rsid w:val="00EE6CB5"/>
    <w:rsid w:val="00F07B3D"/>
    <w:rsid w:val="00F07E7C"/>
    <w:rsid w:val="00F13509"/>
    <w:rsid w:val="00F16D9D"/>
    <w:rsid w:val="00F26D73"/>
    <w:rsid w:val="00F3025C"/>
    <w:rsid w:val="00F331ED"/>
    <w:rsid w:val="00F34B52"/>
    <w:rsid w:val="00F40C02"/>
    <w:rsid w:val="00F429C7"/>
    <w:rsid w:val="00F55A77"/>
    <w:rsid w:val="00F61DA2"/>
    <w:rsid w:val="00F63D9C"/>
    <w:rsid w:val="00F65856"/>
    <w:rsid w:val="00F728AE"/>
    <w:rsid w:val="00F732CD"/>
    <w:rsid w:val="00F76D99"/>
    <w:rsid w:val="00F81AD6"/>
    <w:rsid w:val="00FB2B2C"/>
    <w:rsid w:val="00FB5E2E"/>
    <w:rsid w:val="00FC488F"/>
    <w:rsid w:val="00FC62E1"/>
    <w:rsid w:val="00FE014F"/>
    <w:rsid w:val="00FE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90A54"/>
  <w15:chartTrackingRefBased/>
  <w15:docId w15:val="{75AD1263-C7E4-4F6C-8BCA-3FAD8D8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25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CDF"/>
  </w:style>
  <w:style w:type="paragraph" w:styleId="Piedepgina">
    <w:name w:val="footer"/>
    <w:basedOn w:val="Normal"/>
    <w:link w:val="Piedepgina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CDF"/>
  </w:style>
  <w:style w:type="paragraph" w:styleId="Textodeglobo">
    <w:name w:val="Balloon Text"/>
    <w:basedOn w:val="Normal"/>
    <w:link w:val="TextodegloboCar"/>
    <w:uiPriority w:val="99"/>
    <w:semiHidden/>
    <w:unhideWhenUsed/>
    <w:rsid w:val="00E22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59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97FA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97FA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922D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22D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922DC"/>
    <w:rPr>
      <w:vertAlign w:val="superscript"/>
    </w:rPr>
  </w:style>
  <w:style w:type="paragraph" w:styleId="Prrafodelista">
    <w:name w:val="List Paragraph"/>
    <w:basedOn w:val="Normal"/>
    <w:uiPriority w:val="34"/>
    <w:qFormat/>
    <w:rsid w:val="00540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1518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Juan Lumbreras</cp:lastModifiedBy>
  <cp:revision>2</cp:revision>
  <cp:lastPrinted>2020-05-18T13:50:00Z</cp:lastPrinted>
  <dcterms:created xsi:type="dcterms:W3CDTF">2020-10-07T16:42:00Z</dcterms:created>
  <dcterms:modified xsi:type="dcterms:W3CDTF">2020-10-07T16:42:00Z</dcterms:modified>
</cp:coreProperties>
</file>