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D9C4" w14:textId="77777777" w:rsidR="00864E9F" w:rsidRDefault="00864E9F" w:rsidP="007B4846">
      <w:pPr>
        <w:tabs>
          <w:tab w:val="left" w:pos="5056"/>
        </w:tabs>
        <w:rPr>
          <w:rFonts w:ascii="Arial Narrow" w:hAnsi="Arial Narrow"/>
          <w:color w:val="000000"/>
          <w:sz w:val="26"/>
          <w:szCs w:val="26"/>
        </w:rPr>
      </w:pPr>
    </w:p>
    <w:p w14:paraId="31AB983E" w14:textId="655B19F6" w:rsidR="00864E9F" w:rsidRPr="00864E9F" w:rsidRDefault="007B4846" w:rsidP="007B4846">
      <w:pPr>
        <w:tabs>
          <w:tab w:val="left" w:pos="5056"/>
        </w:tabs>
        <w:rPr>
          <w:rFonts w:ascii="Arial Narrow" w:hAnsi="Arial Narrow"/>
          <w:b/>
          <w:color w:val="000000"/>
          <w:sz w:val="26"/>
          <w:szCs w:val="26"/>
        </w:rPr>
      </w:pPr>
      <w:r w:rsidRPr="007B4846">
        <w:rPr>
          <w:rFonts w:ascii="Arial Narrow" w:hAnsi="Arial Narrow"/>
          <w:color w:val="000000"/>
          <w:sz w:val="26"/>
          <w:szCs w:val="26"/>
        </w:rPr>
        <w:t xml:space="preserve">Iniciativa con Proyecto de Decreto, por la que se agregan diversas disposiciones legales a la </w:t>
      </w:r>
      <w:r w:rsidRPr="00864E9F">
        <w:rPr>
          <w:rFonts w:ascii="Arial Narrow" w:hAnsi="Arial Narrow"/>
          <w:b/>
          <w:color w:val="000000"/>
          <w:sz w:val="26"/>
          <w:szCs w:val="26"/>
        </w:rPr>
        <w:t>Ley del Registro Civil para el Estado de Coahuila de Zaragoza</w:t>
      </w:r>
      <w:r w:rsidR="00864E9F" w:rsidRPr="00864E9F">
        <w:rPr>
          <w:rFonts w:ascii="Arial Narrow" w:hAnsi="Arial Narrow"/>
          <w:b/>
          <w:color w:val="000000"/>
          <w:sz w:val="26"/>
          <w:szCs w:val="26"/>
        </w:rPr>
        <w:t>.</w:t>
      </w:r>
    </w:p>
    <w:p w14:paraId="4F25F359" w14:textId="77777777" w:rsidR="00864E9F" w:rsidRDefault="00864E9F" w:rsidP="007B4846">
      <w:pPr>
        <w:tabs>
          <w:tab w:val="left" w:pos="5056"/>
        </w:tabs>
        <w:rPr>
          <w:rFonts w:ascii="Arial Narrow" w:hAnsi="Arial Narrow"/>
          <w:color w:val="000000"/>
          <w:sz w:val="26"/>
          <w:szCs w:val="26"/>
        </w:rPr>
      </w:pPr>
    </w:p>
    <w:p w14:paraId="6E6222C4" w14:textId="68000F62" w:rsidR="007B4846" w:rsidRPr="00864E9F" w:rsidRDefault="00864E9F" w:rsidP="00864E9F">
      <w:pPr>
        <w:widowControl w:val="0"/>
        <w:numPr>
          <w:ilvl w:val="0"/>
          <w:numId w:val="36"/>
        </w:numPr>
        <w:tabs>
          <w:tab w:val="left" w:pos="5056"/>
        </w:tabs>
        <w:ind w:left="714" w:hanging="357"/>
        <w:contextualSpacing/>
        <w:rPr>
          <w:rFonts w:ascii="Arial Narrow" w:hAnsi="Arial Narrow"/>
          <w:b/>
          <w:snapToGrid w:val="0"/>
          <w:color w:val="000000"/>
          <w:sz w:val="26"/>
          <w:szCs w:val="26"/>
        </w:rPr>
      </w:pPr>
      <w:r w:rsidRPr="00864E9F">
        <w:rPr>
          <w:rFonts w:ascii="Arial Narrow" w:hAnsi="Arial Narrow"/>
          <w:b/>
          <w:snapToGrid w:val="0"/>
          <w:color w:val="000000"/>
          <w:sz w:val="26"/>
          <w:szCs w:val="26"/>
        </w:rPr>
        <w:t>A</w:t>
      </w:r>
      <w:r w:rsidR="007B4846" w:rsidRPr="00864E9F">
        <w:rPr>
          <w:rFonts w:ascii="Arial Narrow" w:hAnsi="Arial Narrow"/>
          <w:b/>
          <w:snapToGrid w:val="0"/>
          <w:color w:val="000000"/>
          <w:sz w:val="26"/>
          <w:szCs w:val="26"/>
        </w:rPr>
        <w:t xml:space="preserve"> fin de estipular que una de las condiciones bajo las cuales el cambio de género en las actas de nacimiento es permitido, sea que quien lo solicite sea mayor de edad.</w:t>
      </w:r>
    </w:p>
    <w:p w14:paraId="48E47BAA" w14:textId="5C522784" w:rsidR="007B4846" w:rsidRDefault="007B4846" w:rsidP="007B4846">
      <w:pPr>
        <w:tabs>
          <w:tab w:val="left" w:pos="5056"/>
        </w:tabs>
        <w:rPr>
          <w:rFonts w:ascii="Arial Narrow" w:hAnsi="Arial Narrow"/>
          <w:color w:val="000000"/>
          <w:sz w:val="26"/>
          <w:szCs w:val="26"/>
        </w:rPr>
      </w:pPr>
    </w:p>
    <w:p w14:paraId="4DC8BA46" w14:textId="77777777" w:rsidR="007B4846" w:rsidRPr="0018654E" w:rsidRDefault="007B4846" w:rsidP="007B4846">
      <w:pPr>
        <w:tabs>
          <w:tab w:val="left" w:pos="5056"/>
        </w:tabs>
        <w:rPr>
          <w:rFonts w:ascii="Arial Narrow" w:hAnsi="Arial Narrow"/>
          <w:color w:val="000000"/>
          <w:sz w:val="26"/>
          <w:szCs w:val="26"/>
        </w:rPr>
      </w:pPr>
      <w:r w:rsidRPr="0018654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18654E">
        <w:rPr>
          <w:rFonts w:ascii="Arial Narrow" w:hAnsi="Arial Narrow"/>
          <w:b/>
          <w:color w:val="000000"/>
          <w:sz w:val="26"/>
          <w:szCs w:val="26"/>
        </w:rPr>
        <w:t>Diputad</w:t>
      </w:r>
      <w:r>
        <w:rPr>
          <w:rFonts w:ascii="Arial Narrow" w:hAnsi="Arial Narrow"/>
          <w:b/>
          <w:color w:val="000000"/>
          <w:sz w:val="26"/>
          <w:szCs w:val="26"/>
        </w:rPr>
        <w:t xml:space="preserve">o </w:t>
      </w:r>
      <w:r w:rsidRPr="00FF5774">
        <w:rPr>
          <w:rFonts w:ascii="Arial Narrow" w:hAnsi="Arial Narrow"/>
          <w:b/>
          <w:color w:val="000000"/>
          <w:sz w:val="26"/>
          <w:szCs w:val="26"/>
        </w:rPr>
        <w:t>Fernando Izaguirre Valdés</w:t>
      </w:r>
      <w:r w:rsidRPr="0018654E">
        <w:rPr>
          <w:rFonts w:ascii="Arial Narrow" w:hAnsi="Arial Narrow"/>
          <w:color w:val="000000"/>
          <w:sz w:val="26"/>
          <w:szCs w:val="26"/>
        </w:rPr>
        <w:t>,</w:t>
      </w:r>
      <w:r w:rsidRPr="0018654E">
        <w:rPr>
          <w:rFonts w:ascii="Arial Narrow" w:hAnsi="Arial Narrow"/>
          <w:b/>
          <w:color w:val="000000"/>
          <w:sz w:val="26"/>
          <w:szCs w:val="26"/>
        </w:rPr>
        <w:t xml:space="preserve"> </w:t>
      </w:r>
      <w:r w:rsidRPr="0018654E">
        <w:rPr>
          <w:rFonts w:ascii="Arial Narrow" w:hAnsi="Arial Narrow"/>
          <w:color w:val="000000"/>
          <w:sz w:val="26"/>
          <w:szCs w:val="26"/>
        </w:rPr>
        <w:t>del Grupo Parlamentario “Del Partido Acción Nacional”, conjuntamente con las demás Diputadas y Diputados que la suscriben.</w:t>
      </w:r>
    </w:p>
    <w:p w14:paraId="289EEDB1" w14:textId="77777777" w:rsidR="007B4846" w:rsidRPr="0018654E" w:rsidRDefault="007B4846" w:rsidP="007B4846">
      <w:pPr>
        <w:rPr>
          <w:rFonts w:ascii="Arial Narrow" w:hAnsi="Arial Narrow"/>
          <w:color w:val="000000"/>
          <w:sz w:val="26"/>
          <w:szCs w:val="26"/>
        </w:rPr>
      </w:pPr>
    </w:p>
    <w:p w14:paraId="7411661B" w14:textId="77777777" w:rsidR="007B4846" w:rsidRPr="0018654E" w:rsidRDefault="007B4846" w:rsidP="007B4846">
      <w:pPr>
        <w:rPr>
          <w:rFonts w:ascii="Arial Narrow" w:hAnsi="Arial Narrow"/>
          <w:b/>
          <w:color w:val="000000"/>
          <w:sz w:val="26"/>
          <w:szCs w:val="26"/>
        </w:rPr>
      </w:pPr>
      <w:r w:rsidRPr="0018654E">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18654E">
        <w:rPr>
          <w:rFonts w:ascii="Arial Narrow" w:hAnsi="Arial Narrow"/>
          <w:b/>
          <w:color w:val="000000"/>
          <w:sz w:val="26"/>
          <w:szCs w:val="26"/>
        </w:rPr>
        <w:t xml:space="preserve"> de </w:t>
      </w:r>
      <w:proofErr w:type="gramStart"/>
      <w:r w:rsidRPr="0018654E">
        <w:rPr>
          <w:rFonts w:ascii="Arial Narrow" w:hAnsi="Arial Narrow"/>
          <w:b/>
          <w:color w:val="000000"/>
          <w:sz w:val="26"/>
          <w:szCs w:val="26"/>
        </w:rPr>
        <w:t>Noviembre</w:t>
      </w:r>
      <w:proofErr w:type="gramEnd"/>
      <w:r w:rsidRPr="0018654E">
        <w:rPr>
          <w:rFonts w:ascii="Arial Narrow" w:hAnsi="Arial Narrow"/>
          <w:b/>
          <w:color w:val="000000"/>
          <w:sz w:val="26"/>
          <w:szCs w:val="26"/>
        </w:rPr>
        <w:t xml:space="preserve"> de 2020.</w:t>
      </w:r>
    </w:p>
    <w:p w14:paraId="5A870C99" w14:textId="77777777" w:rsidR="007B4846" w:rsidRPr="0018654E" w:rsidRDefault="007B4846" w:rsidP="007B4846">
      <w:pPr>
        <w:rPr>
          <w:rFonts w:ascii="Arial Narrow" w:hAnsi="Arial Narrow"/>
          <w:sz w:val="26"/>
          <w:szCs w:val="26"/>
        </w:rPr>
      </w:pPr>
    </w:p>
    <w:p w14:paraId="09FB2DEA" w14:textId="302136A0" w:rsidR="007B4846" w:rsidRPr="00FF5774" w:rsidRDefault="007B4846" w:rsidP="007B4846">
      <w:pPr>
        <w:tabs>
          <w:tab w:val="left" w:pos="5056"/>
        </w:tabs>
        <w:rPr>
          <w:rFonts w:ascii="Arial Narrow" w:hAnsi="Arial Narrow"/>
          <w:b/>
          <w:color w:val="000000"/>
          <w:sz w:val="26"/>
          <w:szCs w:val="26"/>
        </w:rPr>
      </w:pPr>
      <w:r w:rsidRPr="0018654E">
        <w:rPr>
          <w:rFonts w:ascii="Arial Narrow" w:hAnsi="Arial Narrow"/>
          <w:color w:val="000000"/>
          <w:sz w:val="26"/>
          <w:szCs w:val="26"/>
        </w:rPr>
        <w:t xml:space="preserve">Turnada a la </w:t>
      </w:r>
      <w:r w:rsidRPr="007B4846">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041D25CE" w14:textId="77777777" w:rsidR="007B4846" w:rsidRPr="0018654E" w:rsidRDefault="007B4846" w:rsidP="007B4846">
      <w:pPr>
        <w:tabs>
          <w:tab w:val="left" w:pos="5056"/>
        </w:tabs>
        <w:rPr>
          <w:rFonts w:ascii="Arial Narrow" w:hAnsi="Arial Narrow"/>
          <w:color w:val="000000"/>
          <w:sz w:val="26"/>
          <w:szCs w:val="26"/>
        </w:rPr>
      </w:pPr>
    </w:p>
    <w:p w14:paraId="6D40015C" w14:textId="77777777" w:rsidR="007B4846" w:rsidRDefault="007B4846" w:rsidP="007B4846">
      <w:pPr>
        <w:rPr>
          <w:rFonts w:ascii="Arial Narrow" w:hAnsi="Arial Narrow"/>
          <w:b/>
          <w:color w:val="000000"/>
          <w:sz w:val="26"/>
          <w:szCs w:val="26"/>
        </w:rPr>
      </w:pPr>
      <w:r w:rsidRPr="0018654E">
        <w:rPr>
          <w:rFonts w:ascii="Arial Narrow" w:hAnsi="Arial Narrow"/>
          <w:b/>
          <w:color w:val="000000"/>
          <w:sz w:val="26"/>
          <w:szCs w:val="26"/>
        </w:rPr>
        <w:t xml:space="preserve">Lectura del Dictamen: </w:t>
      </w:r>
    </w:p>
    <w:p w14:paraId="4B812919" w14:textId="77777777" w:rsidR="007B4846" w:rsidRDefault="007B4846" w:rsidP="007B4846">
      <w:pPr>
        <w:rPr>
          <w:rFonts w:ascii="Arial Narrow" w:hAnsi="Arial Narrow"/>
          <w:b/>
          <w:color w:val="000000"/>
          <w:sz w:val="26"/>
          <w:szCs w:val="26"/>
        </w:rPr>
      </w:pPr>
    </w:p>
    <w:p w14:paraId="35127588" w14:textId="77777777" w:rsidR="007B4846" w:rsidRPr="0018654E" w:rsidRDefault="007B4846" w:rsidP="007B4846">
      <w:pPr>
        <w:rPr>
          <w:rFonts w:ascii="Arial Narrow" w:hAnsi="Arial Narrow"/>
          <w:b/>
          <w:color w:val="000000"/>
          <w:sz w:val="26"/>
          <w:szCs w:val="26"/>
        </w:rPr>
      </w:pPr>
      <w:r w:rsidRPr="0018654E">
        <w:rPr>
          <w:rFonts w:ascii="Arial Narrow" w:hAnsi="Arial Narrow"/>
          <w:b/>
          <w:color w:val="000000"/>
          <w:sz w:val="26"/>
          <w:szCs w:val="26"/>
        </w:rPr>
        <w:t xml:space="preserve">Decreto No. </w:t>
      </w:r>
    </w:p>
    <w:p w14:paraId="2033A6E5" w14:textId="77777777" w:rsidR="007B4846" w:rsidRPr="0018654E" w:rsidRDefault="007B4846" w:rsidP="007B4846">
      <w:pPr>
        <w:rPr>
          <w:rFonts w:ascii="Arial Narrow" w:hAnsi="Arial Narrow"/>
          <w:b/>
          <w:color w:val="000000"/>
          <w:sz w:val="26"/>
          <w:szCs w:val="26"/>
        </w:rPr>
      </w:pPr>
    </w:p>
    <w:p w14:paraId="7896536A" w14:textId="77777777" w:rsidR="007B4846" w:rsidRPr="0018654E" w:rsidRDefault="007B4846" w:rsidP="007B4846">
      <w:pPr>
        <w:rPr>
          <w:rFonts w:ascii="Arial Narrow" w:hAnsi="Arial Narrow"/>
          <w:b/>
          <w:color w:val="000000"/>
          <w:sz w:val="26"/>
          <w:szCs w:val="26"/>
        </w:rPr>
      </w:pPr>
      <w:r w:rsidRPr="0018654E">
        <w:rPr>
          <w:rFonts w:ascii="Arial Narrow" w:hAnsi="Arial Narrow"/>
          <w:color w:val="000000"/>
          <w:sz w:val="26"/>
          <w:szCs w:val="26"/>
        </w:rPr>
        <w:t>Publicación en el Periódico Oficial del Gobierno del Estado:</w:t>
      </w:r>
      <w:r w:rsidRPr="0018654E">
        <w:rPr>
          <w:rFonts w:ascii="Arial Narrow" w:hAnsi="Arial Narrow"/>
          <w:b/>
          <w:color w:val="000000"/>
          <w:sz w:val="26"/>
          <w:szCs w:val="26"/>
        </w:rPr>
        <w:t xml:space="preserve"> </w:t>
      </w:r>
    </w:p>
    <w:p w14:paraId="3A0AFA80" w14:textId="77777777" w:rsidR="007B4846" w:rsidRPr="0018654E" w:rsidRDefault="007B4846" w:rsidP="007B4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5238D70B" w14:textId="77777777" w:rsidR="007B4846" w:rsidRPr="00DA11E4" w:rsidRDefault="007B4846" w:rsidP="007B4846">
      <w:pPr>
        <w:rPr>
          <w:rFonts w:eastAsiaTheme="minorHAnsi"/>
          <w:b/>
          <w:sz w:val="24"/>
          <w:szCs w:val="24"/>
          <w:lang w:eastAsia="en-US"/>
        </w:rPr>
      </w:pPr>
    </w:p>
    <w:p w14:paraId="699E92F7" w14:textId="77777777" w:rsidR="007B4846" w:rsidRDefault="007B4846" w:rsidP="007B4846">
      <w:pPr>
        <w:spacing w:after="160" w:line="259" w:lineRule="auto"/>
        <w:rPr>
          <w:rFonts w:eastAsiaTheme="minorHAnsi" w:cs="Arial"/>
          <w:b/>
          <w:bCs/>
          <w:sz w:val="24"/>
          <w:szCs w:val="24"/>
          <w:lang w:eastAsia="en-US"/>
        </w:rPr>
      </w:pPr>
    </w:p>
    <w:p w14:paraId="3FF3FA97" w14:textId="77777777" w:rsidR="007B4846" w:rsidRDefault="007B4846" w:rsidP="00E73919">
      <w:pPr>
        <w:spacing w:after="160" w:line="276" w:lineRule="auto"/>
        <w:rPr>
          <w:rFonts w:eastAsia="Calibri" w:cs="Arial"/>
          <w:b/>
          <w:sz w:val="24"/>
          <w:szCs w:val="24"/>
          <w:lang w:eastAsia="en-US"/>
        </w:rPr>
      </w:pPr>
    </w:p>
    <w:p w14:paraId="18678D68" w14:textId="77777777" w:rsidR="007B4846" w:rsidRDefault="007B4846" w:rsidP="00E73919">
      <w:pPr>
        <w:spacing w:after="160" w:line="276" w:lineRule="auto"/>
        <w:rPr>
          <w:rFonts w:eastAsia="Calibri" w:cs="Arial"/>
          <w:b/>
          <w:sz w:val="24"/>
          <w:szCs w:val="24"/>
          <w:lang w:eastAsia="en-US"/>
        </w:rPr>
      </w:pPr>
    </w:p>
    <w:p w14:paraId="78041F5A" w14:textId="77777777" w:rsidR="007B4846" w:rsidRDefault="007B4846" w:rsidP="00E73919">
      <w:pPr>
        <w:spacing w:after="160" w:line="276" w:lineRule="auto"/>
        <w:rPr>
          <w:rFonts w:eastAsia="Calibri" w:cs="Arial"/>
          <w:b/>
          <w:sz w:val="24"/>
          <w:szCs w:val="24"/>
          <w:lang w:eastAsia="en-US"/>
        </w:rPr>
      </w:pPr>
    </w:p>
    <w:p w14:paraId="4630D083" w14:textId="77777777" w:rsidR="007B4846" w:rsidRDefault="007B4846">
      <w:pPr>
        <w:jc w:val="left"/>
        <w:rPr>
          <w:rFonts w:eastAsia="Calibri" w:cs="Arial"/>
          <w:b/>
          <w:sz w:val="24"/>
          <w:szCs w:val="24"/>
          <w:lang w:eastAsia="en-US"/>
        </w:rPr>
      </w:pPr>
      <w:r>
        <w:rPr>
          <w:rFonts w:eastAsia="Calibri" w:cs="Arial"/>
          <w:b/>
          <w:sz w:val="24"/>
          <w:szCs w:val="24"/>
          <w:lang w:eastAsia="en-US"/>
        </w:rPr>
        <w:br w:type="page"/>
      </w:r>
    </w:p>
    <w:p w14:paraId="3626FF18" w14:textId="5133AAEB" w:rsidR="00E73919" w:rsidRPr="00E73919" w:rsidRDefault="00E73919" w:rsidP="00E73919">
      <w:pPr>
        <w:spacing w:after="160" w:line="276" w:lineRule="auto"/>
        <w:rPr>
          <w:rFonts w:eastAsia="Calibri" w:cs="Arial"/>
          <w:b/>
          <w:sz w:val="24"/>
          <w:szCs w:val="24"/>
          <w:lang w:eastAsia="en-US"/>
        </w:rPr>
      </w:pPr>
      <w:r w:rsidRPr="00E73919">
        <w:rPr>
          <w:rFonts w:eastAsia="Calibri" w:cs="Arial"/>
          <w:b/>
          <w:sz w:val="24"/>
          <w:szCs w:val="24"/>
          <w:lang w:eastAsia="en-US"/>
        </w:rPr>
        <w:lastRenderedPageBreak/>
        <w:t>INICIATIVA CON PROYECTO DE DECRETO QUE PRESENTA EL DIPUTADO FERNANDO IZAGUIRRE VALDÉS, EN CONJUNTO CON LAS Y LOS DIPUTADOS INTEGRANTES DEL GRUPO PARLAMENTARIO DEL PARTIDO ACCIÓN NACIONAL, POR LA QUE SE AGREGAN DIVERSAS DISPOSICIONES LEGALES A LA LEY DEL REGISTRO CIVIL PARA EL ESTADO DE COAHUILA DE ZARAGOZA, A FIN DE QUE SE ESTIPULAR QUE UNA DE LAS CONDICIONES BAJO LAS CUALES EL CAMBIO DE GÉNERO EN LAS ACTAS DE NACIMIENTO ES PERMITIDO</w:t>
      </w:r>
      <w:r w:rsidR="00801F09">
        <w:rPr>
          <w:rFonts w:eastAsia="Calibri" w:cs="Arial"/>
          <w:b/>
          <w:sz w:val="24"/>
          <w:szCs w:val="24"/>
          <w:lang w:eastAsia="en-US"/>
        </w:rPr>
        <w:t>,</w:t>
      </w:r>
      <w:r w:rsidRPr="00E73919">
        <w:rPr>
          <w:rFonts w:eastAsia="Calibri" w:cs="Arial"/>
          <w:b/>
          <w:sz w:val="24"/>
          <w:szCs w:val="24"/>
          <w:lang w:eastAsia="en-US"/>
        </w:rPr>
        <w:t xml:space="preserve"> SEA QUE QUIEN LO SOLICITE SEA MAYOR DE EDAD, Y </w:t>
      </w:r>
    </w:p>
    <w:p w14:paraId="11151CD4" w14:textId="77777777" w:rsidR="00E73919" w:rsidRPr="00E73919" w:rsidRDefault="00E73919" w:rsidP="00E73919">
      <w:pPr>
        <w:spacing w:after="160" w:line="276" w:lineRule="auto"/>
        <w:jc w:val="center"/>
        <w:rPr>
          <w:rFonts w:eastAsia="Calibri" w:cs="Arial"/>
          <w:b/>
          <w:sz w:val="24"/>
          <w:szCs w:val="24"/>
          <w:lang w:eastAsia="en-US"/>
        </w:rPr>
      </w:pPr>
      <w:r w:rsidRPr="00E73919">
        <w:rPr>
          <w:rFonts w:eastAsia="Calibri" w:cs="Arial"/>
          <w:b/>
          <w:sz w:val="24"/>
          <w:szCs w:val="24"/>
          <w:lang w:eastAsia="en-US"/>
        </w:rPr>
        <w:t>CONSIDERANDO</w:t>
      </w:r>
    </w:p>
    <w:p w14:paraId="71FFB413"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 xml:space="preserve">Que la Convención sobre los Derechos del Niño menciona, en su preámbulo, que “la familia, como grupo fundamental de la sociedad y medio natural para el crecimiento y el bienestar de todos sus miembros, y en particular de los niños, debe recibir la protección y asistencias necesarias para poder asumir plenamente sus responsabilidades dentro de la comunidad”. </w:t>
      </w:r>
    </w:p>
    <w:p w14:paraId="79AC2C8B"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el niño, para el pleno y armonioso desarrollo de su personalidad, debe crecer en el seno de la familia, en un ambiente de felicidad, amor y comprensión.</w:t>
      </w:r>
    </w:p>
    <w:p w14:paraId="5D35C336"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como se indica en la citada Convención, “el niño, por su falta de madurez física y mental, necesita protección y cuidados especiales, incluso la debida protección legal, tanto antes como después del nacimiento”.</w:t>
      </w:r>
    </w:p>
    <w:p w14:paraId="728ECC0D" w14:textId="6A510930"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el artículo 3 de la norma internacional ya mencionada, reza que “en todas las medidas concernientes a los niños que tomen las instituciones públicas o privadas de bienestar social, los tribunales, las autoridades administrativas o los órganos legislativos, una consideración primordial que se atenderá será el interés superior del niño”. Además, “los Estados Parte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Pr>
          <w:rFonts w:eastAsia="Calibri" w:cs="Arial"/>
          <w:bCs/>
          <w:sz w:val="24"/>
          <w:szCs w:val="24"/>
          <w:lang w:eastAsia="en-US"/>
        </w:rPr>
        <w:t>.</w:t>
      </w:r>
    </w:p>
    <w:p w14:paraId="6B36FBF7" w14:textId="283F12F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en el párrafo noveno del artículo 4° de nuestra Constitución Federal, se lee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Pr>
          <w:rFonts w:eastAsia="Calibri" w:cs="Arial"/>
          <w:bCs/>
          <w:sz w:val="24"/>
          <w:szCs w:val="24"/>
          <w:lang w:eastAsia="en-US"/>
        </w:rPr>
        <w:t>.</w:t>
      </w:r>
      <w:r w:rsidRPr="00E73919">
        <w:rPr>
          <w:rFonts w:eastAsia="Calibri" w:cs="Arial"/>
          <w:bCs/>
          <w:sz w:val="24"/>
          <w:szCs w:val="24"/>
          <w:lang w:eastAsia="en-US"/>
        </w:rPr>
        <w:t xml:space="preserve"> </w:t>
      </w:r>
    </w:p>
    <w:p w14:paraId="376D2CA4"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lastRenderedPageBreak/>
        <w:t>Que, de conformidad a las disposiciones mencionadas anteriormente, la Constitución Política del Estado de Coahuila de Zaragoza, señala en el segundo párrafo del artículo 173 que “los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w:t>
      </w:r>
    </w:p>
    <w:p w14:paraId="7256576E"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las herramientas normativas internacionales y locales, aluden a que el Estado y las Familias deben realizar toda acción que garantice la protección de las niñas, niños y adolescentes ante cualquier situación que atente contra su sano desarrollo, pues existen temas en donde los menores no cuentan con la madurez necesaria para decidir, y hablamos, claro está, del cambio de género.</w:t>
      </w:r>
    </w:p>
    <w:p w14:paraId="75651E94" w14:textId="77777777" w:rsidR="00E73919" w:rsidRPr="00E73919" w:rsidRDefault="00E73919" w:rsidP="00E73919">
      <w:pPr>
        <w:spacing w:after="160" w:line="276" w:lineRule="auto"/>
        <w:rPr>
          <w:rFonts w:eastAsia="Calibri" w:cs="Arial"/>
          <w:bCs/>
          <w:sz w:val="24"/>
          <w:szCs w:val="24"/>
          <w:lang w:eastAsia="en-US"/>
        </w:rPr>
      </w:pPr>
      <w:r w:rsidRPr="00E73919">
        <w:rPr>
          <w:rFonts w:eastAsia="Calibri" w:cs="Arial"/>
          <w:bCs/>
          <w:sz w:val="24"/>
          <w:szCs w:val="24"/>
          <w:lang w:eastAsia="en-US"/>
        </w:rPr>
        <w:t>Que, por lo anterior, someto a consideración de esta Honorable Soberanía la siguiente</w:t>
      </w:r>
    </w:p>
    <w:p w14:paraId="43530B47" w14:textId="77777777" w:rsidR="00E73919" w:rsidRPr="00E73919" w:rsidRDefault="00E73919" w:rsidP="00E73919">
      <w:pPr>
        <w:spacing w:after="160" w:line="276" w:lineRule="auto"/>
        <w:jc w:val="center"/>
        <w:rPr>
          <w:rFonts w:eastAsia="Calibri" w:cs="Arial"/>
          <w:b/>
          <w:sz w:val="24"/>
          <w:szCs w:val="24"/>
          <w:lang w:eastAsia="en-US"/>
        </w:rPr>
      </w:pPr>
      <w:r w:rsidRPr="00E73919">
        <w:rPr>
          <w:rFonts w:eastAsia="Calibri" w:cs="Arial"/>
          <w:b/>
          <w:sz w:val="24"/>
          <w:szCs w:val="24"/>
          <w:lang w:eastAsia="en-US"/>
        </w:rPr>
        <w:t xml:space="preserve">EXPOSICIÓN DE MOTIVOS </w:t>
      </w:r>
    </w:p>
    <w:p w14:paraId="63E471D7"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 xml:space="preserve">En primer lugar, debemos conocer el término “identidad de género”, que es cuando el individuo se auto percibe de manera diferente a su sexo biológico, pudiendo ser masculino, femenino o considerarse sin identidad. </w:t>
      </w:r>
    </w:p>
    <w:p w14:paraId="4DF03725" w14:textId="75526119"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Ante esto, en 96 de los 143 Estados miembros de la Organización de las Naciones Unidas se permite el reconocimiento legal de la identidad de género para personas trans, de acuerdo con el Informe de Mapeo Legal Trans 2019.</w:t>
      </w:r>
    </w:p>
    <w:p w14:paraId="138071D1" w14:textId="2B39AA14"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 xml:space="preserve">Dicho informe indicó que, desde el año 2017, </w:t>
      </w:r>
      <w:proofErr w:type="gramStart"/>
      <w:r w:rsidR="006D709C">
        <w:rPr>
          <w:rFonts w:eastAsia="Calibri" w:cs="Arial"/>
          <w:sz w:val="24"/>
          <w:szCs w:val="24"/>
          <w:lang w:eastAsia="en-US"/>
        </w:rPr>
        <w:t>más p</w:t>
      </w:r>
      <w:r w:rsidRPr="00E73919">
        <w:rPr>
          <w:rFonts w:eastAsia="Calibri" w:cs="Arial"/>
          <w:sz w:val="24"/>
          <w:szCs w:val="24"/>
          <w:lang w:eastAsia="en-US"/>
        </w:rPr>
        <w:t>aíses miembro</w:t>
      </w:r>
      <w:proofErr w:type="gramEnd"/>
      <w:r w:rsidRPr="00E73919">
        <w:rPr>
          <w:rFonts w:eastAsia="Calibri" w:cs="Arial"/>
          <w:sz w:val="24"/>
          <w:szCs w:val="24"/>
          <w:lang w:eastAsia="en-US"/>
        </w:rPr>
        <w:t xml:space="preserve"> de la Organización de las Naciones Unidas (ONU) se han sumado a los que permiten la actualización de documentos por la vía administrativa, y entre ellos se encuentran:</w:t>
      </w:r>
    </w:p>
    <w:p w14:paraId="419B1D91"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 xml:space="preserve">Australia; </w:t>
      </w:r>
    </w:p>
    <w:p w14:paraId="76CA17D1"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Bélgica;</w:t>
      </w:r>
    </w:p>
    <w:p w14:paraId="4200AC74"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Brasil;</w:t>
      </w:r>
    </w:p>
    <w:p w14:paraId="2EE4BDFA"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Chile;</w:t>
      </w:r>
    </w:p>
    <w:p w14:paraId="1858DF83"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 xml:space="preserve">Costa Rica; </w:t>
      </w:r>
    </w:p>
    <w:p w14:paraId="24836734"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Francia;</w:t>
      </w:r>
    </w:p>
    <w:p w14:paraId="601AFBB9"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 xml:space="preserve">Grecia; </w:t>
      </w:r>
    </w:p>
    <w:p w14:paraId="0637CD24"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lastRenderedPageBreak/>
        <w:t xml:space="preserve">Luxemburgo; </w:t>
      </w:r>
    </w:p>
    <w:p w14:paraId="25C584E5" w14:textId="77777777" w:rsidR="00E73919" w:rsidRPr="00E73919" w:rsidRDefault="00E73919" w:rsidP="00E73919">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 xml:space="preserve">Portugal; y </w:t>
      </w:r>
    </w:p>
    <w:p w14:paraId="574EAA21" w14:textId="26600841" w:rsidR="000150F1" w:rsidRDefault="00E73919" w:rsidP="000150F1">
      <w:pPr>
        <w:numPr>
          <w:ilvl w:val="0"/>
          <w:numId w:val="34"/>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Pakistán.</w:t>
      </w:r>
    </w:p>
    <w:p w14:paraId="4D296424" w14:textId="77777777" w:rsidR="000150F1" w:rsidRPr="00E73919" w:rsidRDefault="000150F1" w:rsidP="000150F1">
      <w:pPr>
        <w:spacing w:after="160" w:line="276" w:lineRule="auto"/>
        <w:ind w:left="720"/>
        <w:contextualSpacing/>
        <w:jc w:val="left"/>
        <w:rPr>
          <w:rFonts w:eastAsia="Calibri" w:cs="Arial"/>
          <w:sz w:val="24"/>
          <w:szCs w:val="24"/>
          <w:lang w:eastAsia="en-US"/>
        </w:rPr>
      </w:pPr>
    </w:p>
    <w:p w14:paraId="6CDFC3D7" w14:textId="79BCA6A8"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Ahora bien, en nuestro país, 9 de las 32 entidades federativas permiten en sus marcos normativos el reconocimiento de la identidad de género por medio de procedimientos administrativos. Estos Estados son:</w:t>
      </w:r>
    </w:p>
    <w:p w14:paraId="5F69111B"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Ciudad de México;</w:t>
      </w:r>
    </w:p>
    <w:p w14:paraId="5CC21857"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Colima;</w:t>
      </w:r>
    </w:p>
    <w:p w14:paraId="1D2CB226"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Hidalgo;</w:t>
      </w:r>
    </w:p>
    <w:p w14:paraId="56BB2EE6"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Michoacán;</w:t>
      </w:r>
    </w:p>
    <w:p w14:paraId="66031840"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Nayarit;</w:t>
      </w:r>
    </w:p>
    <w:p w14:paraId="1FC64244"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Oaxaca;</w:t>
      </w:r>
    </w:p>
    <w:p w14:paraId="13E8FD94"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San Luis Potosí;</w:t>
      </w:r>
    </w:p>
    <w:p w14:paraId="6C54C631" w14:textId="77777777" w:rsidR="00E73919" w:rsidRP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Tlaxcala; y</w:t>
      </w:r>
    </w:p>
    <w:p w14:paraId="0B44452F" w14:textId="30D9B49F" w:rsidR="00E73919" w:rsidRDefault="00E73919" w:rsidP="00E73919">
      <w:pPr>
        <w:numPr>
          <w:ilvl w:val="0"/>
          <w:numId w:val="35"/>
        </w:numPr>
        <w:spacing w:after="160" w:line="276" w:lineRule="auto"/>
        <w:contextualSpacing/>
        <w:jc w:val="left"/>
        <w:rPr>
          <w:rFonts w:eastAsia="Calibri" w:cs="Arial"/>
          <w:sz w:val="24"/>
          <w:szCs w:val="24"/>
          <w:lang w:eastAsia="en-US"/>
        </w:rPr>
      </w:pPr>
      <w:r w:rsidRPr="00E73919">
        <w:rPr>
          <w:rFonts w:eastAsia="Calibri" w:cs="Arial"/>
          <w:sz w:val="24"/>
          <w:szCs w:val="24"/>
          <w:lang w:eastAsia="en-US"/>
        </w:rPr>
        <w:t xml:space="preserve">Coahuila.   </w:t>
      </w:r>
    </w:p>
    <w:p w14:paraId="2AF2F74D" w14:textId="77777777" w:rsidR="000150F1" w:rsidRPr="00E73919" w:rsidRDefault="000150F1" w:rsidP="000150F1">
      <w:pPr>
        <w:spacing w:after="160" w:line="276" w:lineRule="auto"/>
        <w:ind w:left="720"/>
        <w:contextualSpacing/>
        <w:jc w:val="left"/>
        <w:rPr>
          <w:rFonts w:eastAsia="Calibri" w:cs="Arial"/>
          <w:sz w:val="24"/>
          <w:szCs w:val="24"/>
          <w:lang w:eastAsia="en-US"/>
        </w:rPr>
      </w:pPr>
    </w:p>
    <w:p w14:paraId="551EC775"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 xml:space="preserve">En concordancia con lo anterior, en la Ley del Registro Civil Para el Estado de Coahuila de Zaragoza, publicada en el Periódico Oficial el día 27 de noviembre de 2018, se encuentra establecido el procedimiento administrativo para el reconocimiento de identidad de género que le da legalidad a quien opte en realizar el cambio de género. </w:t>
      </w:r>
    </w:p>
    <w:p w14:paraId="18D6B3DD"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Así mismo, en el artículo 124 de la norma antes citada, menciona la papelería que la o el interesado deberá presentar ante la autoridad administrativa, siendo esta:</w:t>
      </w:r>
    </w:p>
    <w:p w14:paraId="7FBEEF63" w14:textId="77777777" w:rsidR="00E73919" w:rsidRPr="00E73919" w:rsidRDefault="00E73919" w:rsidP="00E73919">
      <w:pPr>
        <w:numPr>
          <w:ilvl w:val="0"/>
          <w:numId w:val="33"/>
        </w:numPr>
        <w:spacing w:after="160" w:line="276" w:lineRule="auto"/>
        <w:contextualSpacing/>
        <w:jc w:val="left"/>
        <w:rPr>
          <w:rFonts w:eastAsia="Calibri" w:cs="Arial"/>
          <w:i/>
          <w:iCs/>
          <w:sz w:val="24"/>
          <w:szCs w:val="24"/>
          <w:lang w:eastAsia="en-US"/>
        </w:rPr>
      </w:pPr>
      <w:r w:rsidRPr="00E73919">
        <w:rPr>
          <w:rFonts w:eastAsia="Calibri" w:cs="Arial"/>
          <w:i/>
          <w:iCs/>
          <w:sz w:val="24"/>
          <w:szCs w:val="24"/>
          <w:lang w:eastAsia="en-US"/>
        </w:rPr>
        <w:t>Solicitud debidamente detallada en la que conste el consentimiento libre e informado de que se reconozca su identidad de género.</w:t>
      </w:r>
    </w:p>
    <w:p w14:paraId="5AF29B74" w14:textId="77777777" w:rsidR="00E73919" w:rsidRPr="00E73919" w:rsidRDefault="00E73919" w:rsidP="00E73919">
      <w:pPr>
        <w:numPr>
          <w:ilvl w:val="0"/>
          <w:numId w:val="33"/>
        </w:numPr>
        <w:spacing w:after="160" w:line="276" w:lineRule="auto"/>
        <w:contextualSpacing/>
        <w:jc w:val="left"/>
        <w:rPr>
          <w:rFonts w:eastAsia="Calibri" w:cs="Arial"/>
          <w:i/>
          <w:iCs/>
          <w:sz w:val="24"/>
          <w:szCs w:val="24"/>
          <w:lang w:eastAsia="en-US"/>
        </w:rPr>
      </w:pPr>
      <w:r w:rsidRPr="00E73919">
        <w:rPr>
          <w:rFonts w:eastAsia="Calibri" w:cs="Arial"/>
          <w:i/>
          <w:iCs/>
          <w:sz w:val="24"/>
          <w:szCs w:val="24"/>
          <w:lang w:eastAsia="en-US"/>
        </w:rPr>
        <w:t>Copia certificada del acta de nacimiento primigenia.</w:t>
      </w:r>
    </w:p>
    <w:p w14:paraId="28429FF6" w14:textId="3B7D11B8" w:rsidR="00E73919" w:rsidRDefault="00E73919" w:rsidP="00E73919">
      <w:pPr>
        <w:numPr>
          <w:ilvl w:val="0"/>
          <w:numId w:val="33"/>
        </w:numPr>
        <w:spacing w:after="160" w:line="276" w:lineRule="auto"/>
        <w:contextualSpacing/>
        <w:jc w:val="left"/>
        <w:rPr>
          <w:rFonts w:eastAsia="Calibri" w:cs="Arial"/>
          <w:i/>
          <w:iCs/>
          <w:sz w:val="24"/>
          <w:szCs w:val="24"/>
          <w:lang w:eastAsia="en-US"/>
        </w:rPr>
      </w:pPr>
      <w:r w:rsidRPr="00E73919">
        <w:rPr>
          <w:rFonts w:eastAsia="Calibri" w:cs="Arial"/>
          <w:i/>
          <w:iCs/>
          <w:sz w:val="24"/>
          <w:szCs w:val="24"/>
          <w:lang w:eastAsia="en-US"/>
        </w:rPr>
        <w:t xml:space="preserve">Original y copia fotostática de una identificación oficial.   </w:t>
      </w:r>
    </w:p>
    <w:p w14:paraId="481D9842" w14:textId="77777777" w:rsidR="000150F1" w:rsidRPr="00E73919" w:rsidRDefault="000150F1" w:rsidP="000150F1">
      <w:pPr>
        <w:spacing w:after="160" w:line="276" w:lineRule="auto"/>
        <w:ind w:left="1428"/>
        <w:contextualSpacing/>
        <w:jc w:val="left"/>
        <w:rPr>
          <w:rFonts w:eastAsia="Calibri" w:cs="Arial"/>
          <w:i/>
          <w:iCs/>
          <w:sz w:val="24"/>
          <w:szCs w:val="24"/>
          <w:lang w:eastAsia="en-US"/>
        </w:rPr>
      </w:pPr>
    </w:p>
    <w:p w14:paraId="1EFF6CA6"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Sin embargo, los requisitos mencionados en la fracción III resultan ser ambiguos, ya que al mencionarse la “identificación oficial”, cualquiera puede presentar, tanto original y copia, una licencia de conducir vigente, una credencial emitida por Instituciones de Educación Pública o Privada con reconocimiento de validez oficial con fotografía y firma, o la Cédula de Identidad Personal vigente emitida por el Registro Nacional de Población de la Secretaría de Gobernación, entre otros.</w:t>
      </w:r>
    </w:p>
    <w:p w14:paraId="47F7CC55" w14:textId="11C95DA0"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lastRenderedPageBreak/>
        <w:t xml:space="preserve">Cabe señalar que, nuestra entidad, se han realizado más de 106 cambios de identidad de género con edades que oscilan entre los 25 y los 29 años y, para esto, el Gobierno de Coahuila ha implementado protocolos para facilitar y simplificar dichos trámites. </w:t>
      </w:r>
    </w:p>
    <w:p w14:paraId="0866C348"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Además, la norma debe ser clara al plasmar los requisitos, pues estos no pueden dar pie a interpretación, ya que la decisión de los padres de familia podría quedar minimizada por mucho a la de los hijos, y eso se contrapone con las disposiciones internacionales que velan por el interés superior de la niñez.</w:t>
      </w:r>
    </w:p>
    <w:p w14:paraId="695E51EF" w14:textId="231FE563"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Sobre el tema en cuestión, la “</w:t>
      </w:r>
      <w:r w:rsidRPr="00E73919">
        <w:rPr>
          <w:rFonts w:eastAsia="Calibri" w:cs="Arial"/>
          <w:i/>
          <w:iCs/>
          <w:sz w:val="24"/>
          <w:szCs w:val="24"/>
          <w:lang w:eastAsia="en-US"/>
        </w:rPr>
        <w:t>Observación General número 20, sobre la efectividad de los derechos del niño durante la adolescencia”</w:t>
      </w:r>
      <w:r w:rsidRPr="00E73919">
        <w:rPr>
          <w:rFonts w:eastAsia="Calibri" w:cs="Arial"/>
          <w:sz w:val="24"/>
          <w:szCs w:val="24"/>
          <w:lang w:eastAsia="en-US"/>
        </w:rPr>
        <w:t xml:space="preserve">, menciona que la niña o niño es todo ser humano menor de 18 años de edad, salvo que en virtud de la ley que le sea aplicable, haya alcanzado la mayoría de edad. Además, se resalta que la adolescencia es una etapa de la vida caracterizada por crecientes oportunidades, capacidades, aspiraciones, energía y creatividad, pero también un alto grado de vulnerabilidad. Es por esa razón, que los gobiernos deben llevar a cabo todas aquellas acciones legislativas y administrativas que se traduzcan en políticas públicas que permitan la protección de las niñas, niños y adolescentes en el país y, particularmente en nuestra entidad.   </w:t>
      </w:r>
    </w:p>
    <w:p w14:paraId="627A212D" w14:textId="77777777" w:rsidR="00E73919" w:rsidRPr="00E73919" w:rsidRDefault="00E73919" w:rsidP="00E73919">
      <w:pPr>
        <w:spacing w:after="160" w:line="276" w:lineRule="auto"/>
        <w:rPr>
          <w:rFonts w:eastAsia="Calibri" w:cs="Arial"/>
          <w:sz w:val="24"/>
          <w:szCs w:val="24"/>
          <w:lang w:eastAsia="en-US"/>
        </w:rPr>
      </w:pPr>
      <w:r w:rsidRPr="00E73919">
        <w:rPr>
          <w:rFonts w:eastAsia="Calibri" w:cs="Arial"/>
          <w:sz w:val="24"/>
          <w:szCs w:val="24"/>
          <w:lang w:eastAsia="en-US"/>
        </w:rPr>
        <w:t>Por ello, en el Grupo Parlamentario del Partido Acción Nacional, sabemos que la familia es el cauce principal de la solidaridad entre generaciones y el primer espacio de la responsabilidad social, de manera que buscamos que la decisión de cambio de género se tome partiendo de la mayoría de edad, y así, dar cumplimiento a los textos internacionales en materia de familia y juventud.</w:t>
      </w:r>
    </w:p>
    <w:p w14:paraId="0257B602" w14:textId="77777777" w:rsidR="00E73919" w:rsidRPr="00E73919" w:rsidRDefault="00E73919" w:rsidP="00E73919">
      <w:pPr>
        <w:spacing w:line="276" w:lineRule="auto"/>
        <w:rPr>
          <w:rFonts w:eastAsia="Arial" w:cs="Arial"/>
          <w:b/>
          <w:bCs/>
          <w:sz w:val="24"/>
          <w:szCs w:val="24"/>
          <w:lang w:val="es-ES_tradnl"/>
        </w:rPr>
      </w:pPr>
      <w:r w:rsidRPr="00E73919">
        <w:rPr>
          <w:rFonts w:eastAsia="Arial" w:cs="Arial"/>
          <w:b/>
          <w:bCs/>
          <w:sz w:val="24"/>
          <w:szCs w:val="24"/>
          <w:lang w:val="es-ES_tradnl"/>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E73919">
        <w:rPr>
          <w:rFonts w:eastAsia="Arial" w:cs="Arial"/>
          <w:b/>
          <w:bCs/>
          <w:sz w:val="24"/>
          <w:szCs w:val="24"/>
        </w:rPr>
        <w:t>Zaragoza</w:t>
      </w:r>
      <w:r w:rsidRPr="00E73919">
        <w:rPr>
          <w:rFonts w:eastAsia="Arial" w:cs="Arial"/>
          <w:b/>
          <w:bCs/>
          <w:sz w:val="24"/>
          <w:szCs w:val="24"/>
          <w:lang w:val="es-ES_tradnl"/>
        </w:rPr>
        <w:t>, así como los artículos 135 y 136 del Reglamento Interior y de Prácticas Parlamentarias del Congreso del Estado Independiente, Libre y Soberano de Coahuila de Zaragoza, sometemos ante esta Honorable Soberanía la siguiente iniciativa con proyecto de</w:t>
      </w:r>
    </w:p>
    <w:p w14:paraId="79EE2B76" w14:textId="77777777" w:rsidR="00E73919" w:rsidRPr="00E73919" w:rsidRDefault="00E73919" w:rsidP="00E73919">
      <w:pPr>
        <w:spacing w:line="276" w:lineRule="auto"/>
        <w:rPr>
          <w:rFonts w:eastAsia="Arial" w:cs="Arial"/>
          <w:b/>
          <w:bCs/>
          <w:sz w:val="24"/>
          <w:szCs w:val="24"/>
          <w:lang w:val="es-ES_tradnl"/>
        </w:rPr>
      </w:pPr>
    </w:p>
    <w:p w14:paraId="41064BAD" w14:textId="77777777" w:rsidR="00E73919" w:rsidRPr="00E73919" w:rsidRDefault="00E73919" w:rsidP="00E73919">
      <w:pPr>
        <w:spacing w:line="276" w:lineRule="auto"/>
        <w:jc w:val="center"/>
        <w:rPr>
          <w:rFonts w:eastAsia="Arial" w:cs="Arial"/>
          <w:b/>
          <w:bCs/>
          <w:sz w:val="24"/>
          <w:szCs w:val="24"/>
          <w:lang w:val="es-ES_tradnl"/>
        </w:rPr>
      </w:pPr>
      <w:r w:rsidRPr="00E73919">
        <w:rPr>
          <w:rFonts w:eastAsia="Arial" w:cs="Arial"/>
          <w:b/>
          <w:bCs/>
          <w:sz w:val="24"/>
          <w:szCs w:val="24"/>
          <w:lang w:val="es-ES_tradnl"/>
        </w:rPr>
        <w:t>DECRETO</w:t>
      </w:r>
    </w:p>
    <w:p w14:paraId="2991F55B" w14:textId="77777777" w:rsidR="00E73919" w:rsidRPr="00E73919" w:rsidRDefault="00E73919" w:rsidP="00E73919">
      <w:pPr>
        <w:spacing w:line="276" w:lineRule="auto"/>
        <w:jc w:val="center"/>
        <w:rPr>
          <w:rFonts w:eastAsia="Arial" w:cs="Arial"/>
          <w:b/>
          <w:bCs/>
          <w:sz w:val="24"/>
          <w:szCs w:val="24"/>
          <w:lang w:val="es-ES_tradnl"/>
        </w:rPr>
      </w:pPr>
    </w:p>
    <w:p w14:paraId="5F7E5ECD" w14:textId="7E168E75" w:rsidR="00E73919" w:rsidRPr="00E73919" w:rsidRDefault="00E73919" w:rsidP="00E73919">
      <w:pPr>
        <w:spacing w:after="160" w:line="276" w:lineRule="auto"/>
        <w:rPr>
          <w:rFonts w:eastAsia="Calibri" w:cs="Arial"/>
          <w:b/>
          <w:sz w:val="24"/>
          <w:szCs w:val="24"/>
          <w:lang w:eastAsia="en-US"/>
        </w:rPr>
      </w:pPr>
      <w:r w:rsidRPr="00E73919">
        <w:rPr>
          <w:rFonts w:eastAsia="Calibri" w:cs="Arial"/>
          <w:b/>
          <w:sz w:val="24"/>
          <w:szCs w:val="24"/>
          <w:lang w:eastAsia="en-US"/>
        </w:rPr>
        <w:t xml:space="preserve">ÚNICO. – SE AGREGA LA FRACCIÓN XIV, RECORRIENDO LAS ULTERIORES, AL ARTÍCULO 2; SE MOFIDICA EL CONTENIDO DE LA FRACCIÓN III DEL ARTICULO 124; Y SE AGREGA UNA PORCIÓN NORMATIVA A LA FRACCIÓN II, AGREGANDOSE LA FRACCIÓN III, AL ARTÍCULO 128; TODOS DE LA </w:t>
      </w:r>
      <w:r w:rsidR="00B3643C" w:rsidRPr="00E73919">
        <w:rPr>
          <w:rFonts w:eastAsia="Calibri" w:cs="Arial"/>
          <w:b/>
          <w:sz w:val="24"/>
          <w:szCs w:val="24"/>
          <w:lang w:eastAsia="en-US"/>
        </w:rPr>
        <w:t xml:space="preserve">LEY DEL </w:t>
      </w:r>
      <w:r w:rsidR="00B3643C" w:rsidRPr="00E73919">
        <w:rPr>
          <w:rFonts w:eastAsia="Calibri" w:cs="Arial"/>
          <w:b/>
          <w:sz w:val="24"/>
          <w:szCs w:val="24"/>
          <w:lang w:eastAsia="en-US"/>
        </w:rPr>
        <w:lastRenderedPageBreak/>
        <w:t>REGISTRO CIVIL PARA EL ESTADO</w:t>
      </w:r>
      <w:r w:rsidRPr="00E73919">
        <w:rPr>
          <w:rFonts w:eastAsia="Calibri" w:cs="Arial"/>
          <w:b/>
          <w:sz w:val="24"/>
          <w:szCs w:val="24"/>
          <w:lang w:eastAsia="en-US"/>
        </w:rPr>
        <w:t xml:space="preserve"> DE COAHUILA DE ZARAGOZA, PARA QUEDAR COMO SIGUE:  </w:t>
      </w:r>
    </w:p>
    <w:p w14:paraId="0E07C7E6" w14:textId="77777777" w:rsidR="00E73919" w:rsidRPr="00E73919" w:rsidRDefault="00E73919" w:rsidP="00E73919">
      <w:pPr>
        <w:spacing w:after="160" w:line="276" w:lineRule="auto"/>
        <w:rPr>
          <w:rFonts w:eastAsia="Calibri" w:cs="Arial"/>
          <w:b/>
          <w:i/>
          <w:iCs/>
          <w:sz w:val="24"/>
          <w:szCs w:val="24"/>
          <w:lang w:eastAsia="en-US"/>
        </w:rPr>
      </w:pPr>
      <w:r w:rsidRPr="00E73919">
        <w:rPr>
          <w:rFonts w:eastAsia="Calibri" w:cs="Arial"/>
          <w:b/>
          <w:i/>
          <w:iCs/>
          <w:sz w:val="24"/>
          <w:szCs w:val="24"/>
          <w:lang w:eastAsia="en-US"/>
        </w:rPr>
        <w:t xml:space="preserve">ARTÍCULO 2. </w:t>
      </w:r>
      <w:r w:rsidRPr="00E73919">
        <w:rPr>
          <w:rFonts w:eastAsia="Calibri" w:cs="Arial"/>
          <w:i/>
          <w:iCs/>
          <w:sz w:val="24"/>
          <w:szCs w:val="24"/>
          <w:lang w:eastAsia="en-US"/>
        </w:rPr>
        <w:t xml:space="preserve">Para efectos de esta Ley de entenderá por: </w:t>
      </w:r>
    </w:p>
    <w:p w14:paraId="5B8C8BD5" w14:textId="77777777" w:rsidR="00E73919" w:rsidRPr="00E73919" w:rsidRDefault="00E73919" w:rsidP="00E73919">
      <w:pPr>
        <w:spacing w:after="160" w:line="276" w:lineRule="auto"/>
        <w:rPr>
          <w:rFonts w:eastAsia="Calibri" w:cs="Arial"/>
          <w:i/>
          <w:iCs/>
          <w:sz w:val="24"/>
          <w:szCs w:val="24"/>
          <w:lang w:eastAsia="en-US"/>
        </w:rPr>
      </w:pPr>
      <w:r w:rsidRPr="00E73919">
        <w:rPr>
          <w:rFonts w:eastAsia="Calibri" w:cs="Arial"/>
          <w:i/>
          <w:iCs/>
          <w:sz w:val="24"/>
          <w:szCs w:val="24"/>
          <w:lang w:eastAsia="en-US"/>
        </w:rPr>
        <w:t>De la I. a la XIII. …</w:t>
      </w:r>
    </w:p>
    <w:p w14:paraId="39DD5CF2" w14:textId="77777777" w:rsidR="00E73919" w:rsidRPr="00E73919" w:rsidRDefault="00E73919" w:rsidP="00E73919">
      <w:pPr>
        <w:spacing w:after="160" w:line="276" w:lineRule="auto"/>
        <w:rPr>
          <w:rFonts w:eastAsia="Calibri" w:cs="Arial"/>
          <w:b/>
          <w:i/>
          <w:iCs/>
          <w:sz w:val="24"/>
          <w:szCs w:val="24"/>
          <w:lang w:eastAsia="en-US"/>
        </w:rPr>
      </w:pPr>
      <w:r w:rsidRPr="00E73919">
        <w:rPr>
          <w:rFonts w:eastAsia="Calibri" w:cs="Arial"/>
          <w:b/>
          <w:i/>
          <w:iCs/>
          <w:sz w:val="24"/>
          <w:szCs w:val="24"/>
          <w:lang w:eastAsia="en-US"/>
        </w:rPr>
        <w:t>XIV. Minoría de edad: Es el estado civil de la persona física que es sujeto de derechos y tiene limitaciones a la capacidad de ejercicio.</w:t>
      </w:r>
    </w:p>
    <w:p w14:paraId="7C437F56" w14:textId="77777777" w:rsidR="00E73919" w:rsidRPr="00E73919" w:rsidRDefault="00E73919" w:rsidP="00E73919">
      <w:pPr>
        <w:spacing w:after="160" w:line="276" w:lineRule="auto"/>
        <w:rPr>
          <w:rFonts w:eastAsia="Calibri" w:cs="Arial"/>
          <w:bCs/>
          <w:i/>
          <w:iCs/>
          <w:sz w:val="24"/>
          <w:szCs w:val="24"/>
          <w:lang w:eastAsia="en-US"/>
        </w:rPr>
      </w:pPr>
      <w:r w:rsidRPr="00E73919">
        <w:rPr>
          <w:rFonts w:eastAsia="Calibri" w:cs="Arial"/>
          <w:bCs/>
          <w:i/>
          <w:iCs/>
          <w:sz w:val="24"/>
          <w:szCs w:val="24"/>
          <w:lang w:eastAsia="en-US"/>
        </w:rPr>
        <w:t>XV. …</w:t>
      </w:r>
    </w:p>
    <w:p w14:paraId="4478F4C3" w14:textId="77777777" w:rsidR="00E73919" w:rsidRPr="00E73919" w:rsidRDefault="00E73919" w:rsidP="00E73919">
      <w:pPr>
        <w:spacing w:after="160" w:line="276" w:lineRule="auto"/>
        <w:rPr>
          <w:rFonts w:eastAsia="Calibri" w:cs="Arial"/>
          <w:i/>
          <w:iCs/>
          <w:sz w:val="24"/>
          <w:szCs w:val="24"/>
          <w:lang w:eastAsia="en-US"/>
        </w:rPr>
      </w:pPr>
      <w:r w:rsidRPr="00E73919">
        <w:rPr>
          <w:rFonts w:eastAsia="Calibri" w:cs="Arial"/>
          <w:b/>
          <w:i/>
          <w:iCs/>
          <w:sz w:val="24"/>
          <w:szCs w:val="24"/>
          <w:lang w:eastAsia="en-US"/>
        </w:rPr>
        <w:t xml:space="preserve">ARTÍCULO 124. </w:t>
      </w:r>
      <w:r w:rsidRPr="00E73919">
        <w:rPr>
          <w:rFonts w:eastAsia="Calibri" w:cs="Arial"/>
          <w:i/>
          <w:iCs/>
          <w:sz w:val="24"/>
          <w:szCs w:val="24"/>
          <w:lang w:eastAsia="en-US"/>
        </w:rPr>
        <w:t xml:space="preserve">Se entenderá por identidad de género la convicción personal e interna, tal como cada persona se percibe a sí misma, la cual puede corresponder o no, al sexo asignado en el acta primigenia. En ningún caso será requisito acreditar intervención quirúrgica alguna, terapias u otro diagnóstico y/o procedimiento para el reconocimiento de la identidad de género. </w:t>
      </w:r>
    </w:p>
    <w:p w14:paraId="6F52B3AE" w14:textId="77777777" w:rsidR="00E73919" w:rsidRPr="00E73919" w:rsidRDefault="00E73919" w:rsidP="00E73919">
      <w:pPr>
        <w:spacing w:after="160" w:line="276" w:lineRule="auto"/>
        <w:rPr>
          <w:rFonts w:eastAsia="Calibri" w:cs="Arial"/>
          <w:bCs/>
          <w:i/>
          <w:iCs/>
          <w:sz w:val="24"/>
          <w:szCs w:val="24"/>
          <w:lang w:eastAsia="en-US"/>
        </w:rPr>
      </w:pPr>
      <w:r w:rsidRPr="00E73919">
        <w:rPr>
          <w:rFonts w:eastAsia="Calibri" w:cs="Arial"/>
          <w:i/>
          <w:iCs/>
          <w:sz w:val="24"/>
          <w:szCs w:val="24"/>
          <w:lang w:eastAsia="en-US"/>
        </w:rPr>
        <w:t>Procederá el reconocimiento de la identidad de género ante la Dirección, en los términos de la presente sección y demás disposiciones aplicables, para lo cual la persona interesada deberá presentar:</w:t>
      </w:r>
    </w:p>
    <w:p w14:paraId="52C4080E" w14:textId="77777777" w:rsidR="00E73919" w:rsidRPr="00E73919" w:rsidRDefault="00E73919" w:rsidP="00E73919">
      <w:pPr>
        <w:spacing w:after="160" w:line="276" w:lineRule="auto"/>
        <w:rPr>
          <w:rFonts w:eastAsia="Calibri" w:cs="Arial"/>
          <w:bCs/>
          <w:i/>
          <w:iCs/>
          <w:sz w:val="24"/>
          <w:szCs w:val="24"/>
          <w:lang w:eastAsia="en-US"/>
        </w:rPr>
      </w:pPr>
      <w:r w:rsidRPr="00E73919">
        <w:rPr>
          <w:rFonts w:eastAsia="Calibri" w:cs="Arial"/>
          <w:bCs/>
          <w:i/>
          <w:iCs/>
          <w:sz w:val="24"/>
          <w:szCs w:val="24"/>
          <w:lang w:eastAsia="en-US"/>
        </w:rPr>
        <w:t>I. y II. …</w:t>
      </w:r>
    </w:p>
    <w:p w14:paraId="4575E604" w14:textId="77777777" w:rsidR="00E73919" w:rsidRPr="00E73919" w:rsidRDefault="00E73919" w:rsidP="00E73919">
      <w:pPr>
        <w:spacing w:after="160" w:line="276" w:lineRule="auto"/>
        <w:rPr>
          <w:rFonts w:eastAsia="Calibri" w:cs="Arial"/>
          <w:b/>
          <w:i/>
          <w:iCs/>
          <w:sz w:val="24"/>
          <w:szCs w:val="24"/>
          <w:lang w:eastAsia="en-US"/>
        </w:rPr>
      </w:pPr>
      <w:r w:rsidRPr="00E73919">
        <w:rPr>
          <w:rFonts w:eastAsia="Calibri" w:cs="Arial"/>
          <w:b/>
          <w:i/>
          <w:iCs/>
          <w:sz w:val="24"/>
          <w:szCs w:val="24"/>
          <w:lang w:eastAsia="en-US"/>
        </w:rPr>
        <w:t xml:space="preserve">III. </w:t>
      </w:r>
      <w:r w:rsidRPr="00E73919">
        <w:rPr>
          <w:rFonts w:eastAsia="Calibri" w:cs="Arial"/>
          <w:bCs/>
          <w:i/>
          <w:iCs/>
          <w:sz w:val="24"/>
          <w:szCs w:val="24"/>
          <w:lang w:eastAsia="en-US"/>
        </w:rPr>
        <w:t xml:space="preserve">Original y copia fotostática de </w:t>
      </w:r>
      <w:r w:rsidRPr="00E73919">
        <w:rPr>
          <w:rFonts w:eastAsia="Calibri" w:cs="Arial"/>
          <w:b/>
          <w:i/>
          <w:iCs/>
          <w:sz w:val="24"/>
          <w:szCs w:val="24"/>
          <w:lang w:eastAsia="en-US"/>
        </w:rPr>
        <w:t>la Credencial para Votar vigente, expedida por el Instituto Nacional Electoral.</w:t>
      </w:r>
    </w:p>
    <w:p w14:paraId="5705F4A1" w14:textId="77777777" w:rsidR="00E73919" w:rsidRPr="00E73919" w:rsidRDefault="00E73919" w:rsidP="00E73919">
      <w:pPr>
        <w:spacing w:after="160" w:line="276" w:lineRule="auto"/>
        <w:rPr>
          <w:rFonts w:eastAsia="Calibri" w:cs="Arial"/>
          <w:bCs/>
          <w:i/>
          <w:iCs/>
          <w:sz w:val="24"/>
          <w:szCs w:val="24"/>
          <w:lang w:eastAsia="en-US"/>
        </w:rPr>
      </w:pPr>
      <w:r w:rsidRPr="00E73919">
        <w:rPr>
          <w:rFonts w:eastAsia="Calibri" w:cs="Arial"/>
          <w:bCs/>
          <w:i/>
          <w:iCs/>
          <w:sz w:val="24"/>
          <w:szCs w:val="24"/>
          <w:lang w:eastAsia="en-US"/>
        </w:rPr>
        <w:t>…</w:t>
      </w:r>
    </w:p>
    <w:p w14:paraId="1A86A1C7" w14:textId="77777777" w:rsidR="00E73919" w:rsidRPr="00E73919" w:rsidRDefault="00E73919" w:rsidP="00E73919">
      <w:pPr>
        <w:spacing w:after="160" w:line="276" w:lineRule="auto"/>
        <w:rPr>
          <w:rFonts w:eastAsia="Calibri" w:cs="Arial"/>
          <w:i/>
          <w:iCs/>
          <w:sz w:val="24"/>
          <w:szCs w:val="24"/>
          <w:lang w:eastAsia="en-US"/>
        </w:rPr>
      </w:pPr>
      <w:r w:rsidRPr="00E73919">
        <w:rPr>
          <w:rFonts w:eastAsia="Calibri" w:cs="Arial"/>
          <w:b/>
          <w:i/>
          <w:iCs/>
          <w:sz w:val="24"/>
          <w:szCs w:val="24"/>
          <w:lang w:eastAsia="en-US"/>
        </w:rPr>
        <w:t>ARTÍCULO 128.</w:t>
      </w:r>
      <w:r w:rsidRPr="00E73919">
        <w:rPr>
          <w:rFonts w:eastAsia="Calibri" w:cs="Arial"/>
          <w:i/>
          <w:iCs/>
          <w:sz w:val="24"/>
          <w:szCs w:val="24"/>
          <w:lang w:eastAsia="en-US"/>
        </w:rPr>
        <w:t xml:space="preserve"> La autoridad administrativa no podrá oponerse o negarse a la realización del procedimiento administrativo de cambio de género, salvo por las causas de:</w:t>
      </w:r>
    </w:p>
    <w:p w14:paraId="39F9083D" w14:textId="77777777" w:rsidR="00E73919" w:rsidRPr="00E73919" w:rsidRDefault="00E73919" w:rsidP="00E73919">
      <w:pPr>
        <w:spacing w:after="160" w:line="276" w:lineRule="auto"/>
        <w:rPr>
          <w:rFonts w:eastAsia="Calibri" w:cs="Arial"/>
          <w:i/>
          <w:iCs/>
          <w:sz w:val="24"/>
          <w:szCs w:val="24"/>
          <w:lang w:eastAsia="en-US"/>
        </w:rPr>
      </w:pPr>
      <w:r w:rsidRPr="00E73919">
        <w:rPr>
          <w:rFonts w:eastAsia="Calibri" w:cs="Arial"/>
          <w:b/>
          <w:i/>
          <w:iCs/>
          <w:sz w:val="24"/>
          <w:szCs w:val="24"/>
          <w:lang w:eastAsia="en-US"/>
        </w:rPr>
        <w:t>I.</w:t>
      </w:r>
      <w:r w:rsidRPr="00E73919">
        <w:rPr>
          <w:rFonts w:eastAsia="Calibri" w:cs="Arial"/>
          <w:i/>
          <w:iCs/>
          <w:sz w:val="24"/>
          <w:szCs w:val="24"/>
          <w:lang w:eastAsia="en-US"/>
        </w:rPr>
        <w:t xml:space="preserve">  …</w:t>
      </w:r>
    </w:p>
    <w:p w14:paraId="21BDE7CD" w14:textId="77777777" w:rsidR="00E73919" w:rsidRPr="00E73919" w:rsidRDefault="00E73919" w:rsidP="00E73919">
      <w:pPr>
        <w:spacing w:after="160" w:line="276" w:lineRule="auto"/>
        <w:rPr>
          <w:rFonts w:eastAsia="Calibri" w:cs="Arial"/>
          <w:i/>
          <w:iCs/>
          <w:sz w:val="24"/>
          <w:szCs w:val="24"/>
          <w:lang w:eastAsia="en-US"/>
        </w:rPr>
      </w:pPr>
      <w:r w:rsidRPr="00E73919">
        <w:rPr>
          <w:rFonts w:eastAsia="Calibri" w:cs="Arial"/>
          <w:b/>
          <w:i/>
          <w:iCs/>
          <w:sz w:val="24"/>
          <w:szCs w:val="24"/>
          <w:lang w:eastAsia="en-US"/>
        </w:rPr>
        <w:t>II.</w:t>
      </w:r>
      <w:r w:rsidRPr="00E73919">
        <w:rPr>
          <w:rFonts w:eastAsia="Calibri" w:cs="Arial"/>
          <w:i/>
          <w:iCs/>
          <w:sz w:val="24"/>
          <w:szCs w:val="24"/>
          <w:lang w:eastAsia="en-US"/>
        </w:rPr>
        <w:t xml:space="preserve"> Fraude a la ley;</w:t>
      </w:r>
      <w:r w:rsidRPr="00E73919">
        <w:rPr>
          <w:rFonts w:eastAsia="Calibri" w:cs="Arial"/>
          <w:b/>
          <w:i/>
          <w:iCs/>
          <w:sz w:val="24"/>
          <w:szCs w:val="24"/>
          <w:lang w:eastAsia="en-US"/>
        </w:rPr>
        <w:t xml:space="preserve"> y</w:t>
      </w:r>
    </w:p>
    <w:p w14:paraId="7756103F" w14:textId="2E14D99F" w:rsidR="00E73919" w:rsidRDefault="00E73919" w:rsidP="00E73919">
      <w:pPr>
        <w:spacing w:after="160" w:line="276" w:lineRule="auto"/>
        <w:rPr>
          <w:rFonts w:eastAsia="Calibri" w:cs="Arial"/>
          <w:b/>
          <w:i/>
          <w:iCs/>
          <w:sz w:val="24"/>
          <w:szCs w:val="24"/>
          <w:lang w:eastAsia="en-US"/>
        </w:rPr>
      </w:pPr>
      <w:r w:rsidRPr="00E73919">
        <w:rPr>
          <w:rFonts w:eastAsia="Calibri" w:cs="Arial"/>
          <w:b/>
          <w:i/>
          <w:iCs/>
          <w:sz w:val="24"/>
          <w:szCs w:val="24"/>
          <w:lang w:eastAsia="en-US"/>
        </w:rPr>
        <w:t xml:space="preserve">III. Minoría de edad por parte de la o el solicitante, por sí o a través de quien ejerza patria potestad, tutela o representación legal. </w:t>
      </w:r>
    </w:p>
    <w:p w14:paraId="70ED75B6" w14:textId="6E072E2F" w:rsidR="00801F09" w:rsidRPr="00E73919" w:rsidRDefault="00801F09" w:rsidP="00E73919">
      <w:pPr>
        <w:spacing w:after="160" w:line="276" w:lineRule="auto"/>
        <w:rPr>
          <w:rFonts w:eastAsia="Calibri" w:cs="Arial"/>
          <w:b/>
          <w:i/>
          <w:iCs/>
          <w:sz w:val="24"/>
          <w:szCs w:val="24"/>
          <w:lang w:eastAsia="en-US"/>
        </w:rPr>
      </w:pPr>
      <w:r>
        <w:rPr>
          <w:rFonts w:eastAsia="Calibri" w:cs="Arial"/>
          <w:b/>
          <w:i/>
          <w:iCs/>
          <w:sz w:val="24"/>
          <w:szCs w:val="24"/>
          <w:lang w:eastAsia="en-US"/>
        </w:rPr>
        <w:t>…</w:t>
      </w:r>
    </w:p>
    <w:p w14:paraId="3BBA3E78" w14:textId="77777777" w:rsidR="00E73919" w:rsidRPr="00E73919" w:rsidRDefault="00E73919" w:rsidP="00E73919">
      <w:pPr>
        <w:spacing w:after="160" w:line="276" w:lineRule="auto"/>
        <w:jc w:val="center"/>
        <w:rPr>
          <w:rFonts w:eastAsia="Arial" w:cs="Arial"/>
          <w:b/>
          <w:i/>
          <w:iCs/>
          <w:sz w:val="24"/>
          <w:szCs w:val="24"/>
          <w:lang w:eastAsia="en-US"/>
        </w:rPr>
      </w:pPr>
      <w:r w:rsidRPr="00E73919">
        <w:rPr>
          <w:rFonts w:eastAsia="Arial" w:cs="Arial"/>
          <w:b/>
          <w:i/>
          <w:iCs/>
          <w:sz w:val="24"/>
          <w:szCs w:val="24"/>
          <w:lang w:eastAsia="en-US"/>
        </w:rPr>
        <w:t>TRANSITORIO</w:t>
      </w:r>
    </w:p>
    <w:p w14:paraId="26D7EFE3" w14:textId="72FB458D" w:rsidR="00DF6D94" w:rsidRPr="00DF6D94" w:rsidRDefault="00E73919" w:rsidP="00E73919">
      <w:pPr>
        <w:spacing w:after="160" w:line="276" w:lineRule="auto"/>
        <w:rPr>
          <w:rFonts w:eastAsiaTheme="minorHAnsi" w:cs="Arial"/>
          <w:sz w:val="24"/>
          <w:szCs w:val="24"/>
          <w:lang w:eastAsia="en-US"/>
        </w:rPr>
      </w:pPr>
      <w:r w:rsidRPr="00E73919">
        <w:rPr>
          <w:rFonts w:eastAsia="Arial" w:cs="Arial"/>
          <w:b/>
          <w:i/>
          <w:iCs/>
          <w:sz w:val="24"/>
          <w:szCs w:val="24"/>
          <w:lang w:eastAsia="en-US"/>
        </w:rPr>
        <w:t xml:space="preserve">ÚNICO. – </w:t>
      </w:r>
      <w:r w:rsidRPr="00E73919">
        <w:rPr>
          <w:rFonts w:eastAsia="Arial" w:cs="Arial"/>
          <w:bCs/>
          <w:i/>
          <w:iCs/>
          <w:sz w:val="24"/>
          <w:szCs w:val="24"/>
          <w:lang w:eastAsia="en-US"/>
        </w:rPr>
        <w:t xml:space="preserve"> E</w:t>
      </w:r>
      <w:r w:rsidRPr="00E73919">
        <w:rPr>
          <w:rFonts w:eastAsia="Arial" w:cs="Arial"/>
          <w:i/>
          <w:iCs/>
          <w:sz w:val="24"/>
          <w:szCs w:val="24"/>
          <w:lang w:eastAsia="en-US"/>
        </w:rPr>
        <w:t>l presente Decreto entrará en vigor al día siguiente de su publicación en el Periódico Oficial del Gobierno del Estado.</w:t>
      </w:r>
    </w:p>
    <w:p w14:paraId="451A8CE4" w14:textId="77777777" w:rsidR="00DF6D94" w:rsidRPr="00DF6D94" w:rsidRDefault="00DF6D94" w:rsidP="00DF6D94">
      <w:pPr>
        <w:spacing w:after="160" w:line="276" w:lineRule="auto"/>
        <w:rPr>
          <w:rFonts w:eastAsiaTheme="minorHAnsi" w:cs="Arial"/>
          <w:sz w:val="24"/>
          <w:szCs w:val="24"/>
          <w:lang w:eastAsia="en-US"/>
        </w:rPr>
      </w:pPr>
    </w:p>
    <w:p w14:paraId="269BCDDD" w14:textId="77777777" w:rsidR="00DF6D94" w:rsidRPr="00DF6D94" w:rsidRDefault="00DF6D94" w:rsidP="00DF6D94">
      <w:pPr>
        <w:spacing w:after="160"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ATENTAMENTE</w:t>
      </w:r>
    </w:p>
    <w:p w14:paraId="42355241" w14:textId="77777777" w:rsidR="00DF6D94" w:rsidRPr="00DF6D94" w:rsidRDefault="00DF6D94" w:rsidP="00DF6D94">
      <w:pPr>
        <w:spacing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 xml:space="preserve">“POR UNA PATRIA ORDENADA, GENEROSA Y UNA </w:t>
      </w:r>
    </w:p>
    <w:p w14:paraId="12A15F95" w14:textId="77777777" w:rsidR="00DF6D94" w:rsidRPr="00DF6D94" w:rsidRDefault="00DF6D94" w:rsidP="00DF6D94">
      <w:pPr>
        <w:spacing w:after="160"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VIDA MEJOR Y MÁS DIGNA PARA TODOS”</w:t>
      </w:r>
    </w:p>
    <w:p w14:paraId="50285DAF" w14:textId="77777777" w:rsidR="00DF6D94" w:rsidRPr="00DF6D94" w:rsidRDefault="00DF6D94" w:rsidP="00DF6D94">
      <w:pPr>
        <w:spacing w:after="160" w:line="276" w:lineRule="auto"/>
        <w:jc w:val="center"/>
        <w:rPr>
          <w:rFonts w:eastAsiaTheme="minorHAnsi" w:cs="Arial"/>
          <w:b/>
          <w:sz w:val="24"/>
          <w:szCs w:val="24"/>
          <w:lang w:eastAsia="en-US"/>
        </w:rPr>
      </w:pPr>
      <w:r w:rsidRPr="00DF6D94">
        <w:rPr>
          <w:rFonts w:eastAsiaTheme="minorHAnsi" w:cs="Arial"/>
          <w:b/>
          <w:sz w:val="24"/>
          <w:szCs w:val="24"/>
          <w:lang w:eastAsia="en-US"/>
        </w:rPr>
        <w:t>GRUPO PARLAMENTARIO DEL PARTIDO ACCIÓN NACIONAL.</w:t>
      </w:r>
    </w:p>
    <w:p w14:paraId="379EEDCC" w14:textId="765F4763" w:rsidR="00DF6D94" w:rsidRPr="00DF6D94" w:rsidRDefault="00DF6D94" w:rsidP="00DF6D94">
      <w:pPr>
        <w:spacing w:after="160" w:line="276" w:lineRule="auto"/>
        <w:jc w:val="center"/>
        <w:rPr>
          <w:rFonts w:eastAsiaTheme="minorHAnsi" w:cs="Arial"/>
          <w:b/>
          <w:sz w:val="24"/>
          <w:szCs w:val="24"/>
          <w:lang w:eastAsia="en-US"/>
        </w:rPr>
      </w:pPr>
      <w:bookmarkStart w:id="0" w:name="_GoBack"/>
      <w:bookmarkEnd w:id="0"/>
      <w:r w:rsidRPr="00DF6D94">
        <w:rPr>
          <w:rFonts w:eastAsiaTheme="minorHAnsi" w:cs="Arial"/>
          <w:b/>
          <w:sz w:val="24"/>
          <w:szCs w:val="24"/>
          <w:lang w:eastAsia="en-US"/>
        </w:rPr>
        <w:t>SALTILLO, COAHUILA DE ZARAGOZA; A 28 DE NOVIEMBRE DE 2020.</w:t>
      </w:r>
    </w:p>
    <w:p w14:paraId="6715822D" w14:textId="77777777" w:rsidR="00DF6D94" w:rsidRPr="00DF6D94" w:rsidRDefault="00DF6D94" w:rsidP="00DF6D94">
      <w:pPr>
        <w:spacing w:after="160" w:line="276" w:lineRule="auto"/>
        <w:rPr>
          <w:rFonts w:eastAsiaTheme="minorHAnsi" w:cs="Arial"/>
          <w:b/>
          <w:sz w:val="24"/>
          <w:szCs w:val="24"/>
          <w:lang w:eastAsia="en-US"/>
        </w:rPr>
      </w:pPr>
    </w:p>
    <w:p w14:paraId="20576454" w14:textId="191E77E0" w:rsidR="00D44ED2" w:rsidRPr="00313C34" w:rsidRDefault="00D44ED2" w:rsidP="00D44ED2">
      <w:pPr>
        <w:jc w:val="center"/>
        <w:rPr>
          <w:rFonts w:cs="Arial"/>
          <w:b/>
          <w:sz w:val="24"/>
          <w:szCs w:val="24"/>
        </w:rPr>
      </w:pPr>
    </w:p>
    <w:p w14:paraId="53B0A0EA" w14:textId="1DC08BC5" w:rsidR="00D44ED2" w:rsidRPr="00313C34" w:rsidRDefault="00D44ED2" w:rsidP="00D44ED2">
      <w:pPr>
        <w:rPr>
          <w:rFonts w:cs="Arial"/>
          <w:sz w:val="18"/>
          <w:szCs w:val="18"/>
        </w:rPr>
      </w:pPr>
    </w:p>
    <w:p w14:paraId="3A1A05E7" w14:textId="62CC298A" w:rsidR="00D44ED2" w:rsidRPr="00313C34" w:rsidRDefault="00D44ED2" w:rsidP="00D44ED2">
      <w:pPr>
        <w:jc w:val="center"/>
        <w:rPr>
          <w:rFonts w:eastAsia="Calibri" w:cs="Arial"/>
          <w:sz w:val="18"/>
          <w:szCs w:val="18"/>
          <w:u w:color="000000"/>
        </w:rPr>
      </w:pPr>
    </w:p>
    <w:p w14:paraId="1361410B" w14:textId="311E59B3" w:rsidR="00D44ED2" w:rsidRPr="00313C34" w:rsidRDefault="00D44ED2" w:rsidP="00D44ED2">
      <w:pPr>
        <w:jc w:val="center"/>
        <w:rPr>
          <w:rFonts w:eastAsia="Calibri" w:cs="Arial"/>
          <w:sz w:val="18"/>
          <w:szCs w:val="18"/>
          <w:u w:color="000000"/>
        </w:rPr>
      </w:pPr>
    </w:p>
    <w:p w14:paraId="1508F979" w14:textId="77777777" w:rsidR="00D44ED2" w:rsidRPr="00313C34" w:rsidRDefault="00D44ED2" w:rsidP="00D44ED2">
      <w:pPr>
        <w:jc w:val="center"/>
        <w:rPr>
          <w:rFonts w:eastAsia="Calibri" w:cs="Arial"/>
          <w:b/>
          <w:sz w:val="18"/>
          <w:szCs w:val="18"/>
          <w:u w:color="000000"/>
        </w:rPr>
      </w:pPr>
      <w:r w:rsidRPr="00313C34">
        <w:rPr>
          <w:rFonts w:eastAsia="Calibri" w:cs="Arial"/>
          <w:b/>
          <w:sz w:val="18"/>
          <w:szCs w:val="18"/>
          <w:u w:color="000000"/>
        </w:rPr>
        <w:t>DIP. FERNANDO IZAGUIRRE VALDÉS</w:t>
      </w:r>
    </w:p>
    <w:p w14:paraId="14574C75" w14:textId="56DC72AA" w:rsidR="00D44ED2" w:rsidRPr="00313C34" w:rsidRDefault="00D44ED2" w:rsidP="00D44ED2">
      <w:pPr>
        <w:jc w:val="center"/>
        <w:rPr>
          <w:rFonts w:cs="Arial"/>
          <w:sz w:val="18"/>
          <w:szCs w:val="18"/>
          <w:u w:color="000000"/>
        </w:rPr>
      </w:pPr>
    </w:p>
    <w:p w14:paraId="741CF280" w14:textId="6BE3D072" w:rsidR="00D44ED2" w:rsidRPr="00313C34" w:rsidRDefault="00D44ED2" w:rsidP="00D44ED2">
      <w:pPr>
        <w:tabs>
          <w:tab w:val="left" w:pos="5056"/>
        </w:tabs>
        <w:rPr>
          <w:rFonts w:eastAsia="Calibri" w:cs="Arial"/>
          <w:b/>
          <w:sz w:val="18"/>
          <w:szCs w:val="18"/>
        </w:rPr>
      </w:pPr>
    </w:p>
    <w:p w14:paraId="2DE891A7" w14:textId="77777777" w:rsidR="00D44ED2" w:rsidRDefault="00D44ED2" w:rsidP="00D44ED2">
      <w:pPr>
        <w:tabs>
          <w:tab w:val="left" w:pos="5056"/>
        </w:tabs>
        <w:rPr>
          <w:rFonts w:eastAsia="Calibri" w:cs="Arial"/>
          <w:b/>
          <w:sz w:val="18"/>
          <w:szCs w:val="18"/>
        </w:rPr>
      </w:pPr>
    </w:p>
    <w:p w14:paraId="01EF66C0" w14:textId="77777777" w:rsidR="00D44ED2" w:rsidRDefault="00D44ED2" w:rsidP="00D44ED2">
      <w:pPr>
        <w:tabs>
          <w:tab w:val="left" w:pos="5056"/>
        </w:tabs>
        <w:rPr>
          <w:rFonts w:eastAsia="Calibri" w:cs="Arial"/>
          <w:b/>
          <w:sz w:val="18"/>
          <w:szCs w:val="18"/>
        </w:rPr>
      </w:pPr>
    </w:p>
    <w:p w14:paraId="7FF3FBA3" w14:textId="77777777" w:rsidR="00D44ED2" w:rsidRDefault="00D44ED2" w:rsidP="00D44ED2">
      <w:pPr>
        <w:tabs>
          <w:tab w:val="left" w:pos="5056"/>
        </w:tabs>
        <w:rPr>
          <w:rFonts w:eastAsia="Calibri" w:cs="Arial"/>
          <w:b/>
          <w:sz w:val="18"/>
          <w:szCs w:val="18"/>
        </w:rPr>
      </w:pPr>
    </w:p>
    <w:p w14:paraId="5F2A846A" w14:textId="77777777" w:rsidR="00D44ED2" w:rsidRDefault="00D44ED2" w:rsidP="00D44ED2">
      <w:pPr>
        <w:tabs>
          <w:tab w:val="left" w:pos="5056"/>
        </w:tabs>
        <w:rPr>
          <w:rFonts w:eastAsia="Calibri" w:cs="Arial"/>
          <w:b/>
          <w:sz w:val="18"/>
          <w:szCs w:val="18"/>
        </w:rPr>
      </w:pPr>
    </w:p>
    <w:p w14:paraId="3498FA9C" w14:textId="0372D84C" w:rsidR="00D44ED2" w:rsidRDefault="00D44ED2" w:rsidP="00D44ED2">
      <w:pPr>
        <w:tabs>
          <w:tab w:val="left" w:pos="5056"/>
        </w:tabs>
        <w:rPr>
          <w:rFonts w:eastAsia="Calibri" w:cs="Arial"/>
          <w:b/>
          <w:sz w:val="18"/>
          <w:szCs w:val="18"/>
        </w:rPr>
      </w:pPr>
      <w:r>
        <w:rPr>
          <w:rFonts w:eastAsia="Calibri" w:cs="Arial"/>
          <w:b/>
          <w:sz w:val="18"/>
          <w:szCs w:val="18"/>
        </w:rPr>
        <w:t xml:space="preserve">        </w:t>
      </w:r>
      <w:r w:rsidRPr="00313C34">
        <w:rPr>
          <w:rFonts w:eastAsia="Calibri" w:cs="Arial"/>
          <w:b/>
          <w:sz w:val="18"/>
          <w:szCs w:val="18"/>
        </w:rPr>
        <w:t>DIP. ROSA NILDA GONZÁLEZ NORIEGA</w:t>
      </w:r>
      <w:r w:rsidRPr="00313C34">
        <w:rPr>
          <w:rFonts w:eastAsia="Calibri" w:cs="Arial"/>
          <w:b/>
          <w:sz w:val="18"/>
          <w:szCs w:val="18"/>
        </w:rPr>
        <w:tab/>
      </w:r>
      <w:r>
        <w:rPr>
          <w:rFonts w:eastAsia="Calibri" w:cs="Arial"/>
          <w:b/>
          <w:sz w:val="18"/>
          <w:szCs w:val="18"/>
        </w:rPr>
        <w:t xml:space="preserve">     </w:t>
      </w:r>
      <w:r w:rsidRPr="00313C34">
        <w:rPr>
          <w:rFonts w:eastAsia="Calibri" w:cs="Arial"/>
          <w:b/>
          <w:sz w:val="18"/>
          <w:szCs w:val="18"/>
        </w:rPr>
        <w:t>DIP. MARCELO DE JESUS TORRES COFIÑO</w:t>
      </w:r>
    </w:p>
    <w:p w14:paraId="17DC2E90" w14:textId="7EBEBCD6" w:rsidR="00D44ED2" w:rsidRDefault="00D44ED2" w:rsidP="00D44ED2">
      <w:pPr>
        <w:tabs>
          <w:tab w:val="left" w:pos="5056"/>
        </w:tabs>
        <w:rPr>
          <w:rFonts w:eastAsia="Calibri" w:cs="Arial"/>
          <w:b/>
          <w:sz w:val="18"/>
          <w:szCs w:val="18"/>
        </w:rPr>
      </w:pPr>
    </w:p>
    <w:p w14:paraId="28E80117" w14:textId="677EA37F" w:rsidR="00D44ED2" w:rsidRDefault="00D44ED2" w:rsidP="00D44ED2">
      <w:pPr>
        <w:tabs>
          <w:tab w:val="left" w:pos="5056"/>
        </w:tabs>
        <w:rPr>
          <w:rFonts w:eastAsia="Calibri" w:cs="Arial"/>
          <w:b/>
          <w:sz w:val="18"/>
          <w:szCs w:val="18"/>
        </w:rPr>
      </w:pPr>
    </w:p>
    <w:p w14:paraId="00533EAB" w14:textId="77777777" w:rsidR="00D44ED2" w:rsidRPr="00313C34" w:rsidRDefault="00D44ED2" w:rsidP="00D44ED2">
      <w:pPr>
        <w:tabs>
          <w:tab w:val="left" w:pos="5056"/>
        </w:tabs>
        <w:rPr>
          <w:rFonts w:eastAsia="Calibri" w:cs="Arial"/>
          <w:b/>
          <w:sz w:val="18"/>
          <w:szCs w:val="18"/>
        </w:rPr>
      </w:pPr>
    </w:p>
    <w:p w14:paraId="5491DD3E" w14:textId="77777777" w:rsidR="00D44ED2" w:rsidRPr="00313C34" w:rsidRDefault="00D44ED2" w:rsidP="00D44ED2">
      <w:pPr>
        <w:tabs>
          <w:tab w:val="left" w:pos="5730"/>
        </w:tabs>
        <w:rPr>
          <w:rFonts w:eastAsia="Calibri" w:cs="Arial"/>
          <w:b/>
          <w:sz w:val="18"/>
          <w:szCs w:val="18"/>
        </w:rPr>
      </w:pPr>
      <w:r w:rsidRPr="00313C34">
        <w:rPr>
          <w:rFonts w:eastAsia="Calibri" w:cs="Arial"/>
          <w:b/>
          <w:sz w:val="18"/>
          <w:szCs w:val="18"/>
        </w:rPr>
        <w:tab/>
      </w:r>
    </w:p>
    <w:p w14:paraId="7AE17347" w14:textId="77777777" w:rsidR="00D44ED2" w:rsidRPr="00313C34" w:rsidRDefault="00D44ED2" w:rsidP="00D44ED2">
      <w:pPr>
        <w:tabs>
          <w:tab w:val="left" w:pos="5056"/>
        </w:tabs>
        <w:rPr>
          <w:rFonts w:eastAsia="Calibri" w:cs="Arial"/>
          <w:b/>
          <w:sz w:val="18"/>
          <w:szCs w:val="18"/>
        </w:rPr>
      </w:pPr>
    </w:p>
    <w:p w14:paraId="3610703E" w14:textId="77777777" w:rsidR="00D44ED2" w:rsidRPr="00313C34" w:rsidRDefault="00D44ED2" w:rsidP="00D44ED2">
      <w:pPr>
        <w:tabs>
          <w:tab w:val="left" w:pos="5056"/>
        </w:tabs>
        <w:rPr>
          <w:rFonts w:eastAsia="Calibri" w:cs="Arial"/>
          <w:b/>
          <w:sz w:val="18"/>
          <w:szCs w:val="18"/>
        </w:rPr>
      </w:pPr>
    </w:p>
    <w:p w14:paraId="10545FCC" w14:textId="77777777" w:rsidR="00D44ED2" w:rsidRDefault="00D44ED2" w:rsidP="00D44ED2">
      <w:pPr>
        <w:tabs>
          <w:tab w:val="left" w:pos="5056"/>
        </w:tabs>
        <w:rPr>
          <w:rFonts w:eastAsia="Calibri" w:cs="Arial"/>
          <w:b/>
          <w:sz w:val="18"/>
          <w:szCs w:val="18"/>
        </w:rPr>
      </w:pPr>
    </w:p>
    <w:p w14:paraId="64470AFB" w14:textId="77777777" w:rsidR="00D44ED2" w:rsidRDefault="00D44ED2" w:rsidP="00D44ED2">
      <w:pPr>
        <w:tabs>
          <w:tab w:val="left" w:pos="5056"/>
        </w:tabs>
        <w:rPr>
          <w:rFonts w:eastAsia="Calibri" w:cs="Arial"/>
          <w:b/>
          <w:sz w:val="18"/>
          <w:szCs w:val="18"/>
        </w:rPr>
      </w:pPr>
    </w:p>
    <w:p w14:paraId="2FAEC155" w14:textId="2BC2CAB8" w:rsidR="00D44ED2" w:rsidRPr="00313C34" w:rsidRDefault="00D44ED2" w:rsidP="00D44ED2">
      <w:pPr>
        <w:tabs>
          <w:tab w:val="left" w:pos="5056"/>
        </w:tabs>
        <w:rPr>
          <w:rFonts w:eastAsia="Calibri" w:cs="Arial"/>
          <w:b/>
          <w:sz w:val="18"/>
          <w:szCs w:val="18"/>
        </w:rPr>
      </w:pPr>
      <w:r>
        <w:rPr>
          <w:rFonts w:eastAsia="Calibri" w:cs="Arial"/>
          <w:b/>
          <w:sz w:val="18"/>
          <w:szCs w:val="18"/>
        </w:rPr>
        <w:t xml:space="preserve">    </w:t>
      </w:r>
      <w:r w:rsidRPr="00313C34">
        <w:rPr>
          <w:rFonts w:eastAsia="Calibri" w:cs="Arial"/>
          <w:b/>
          <w:sz w:val="18"/>
          <w:szCs w:val="18"/>
        </w:rPr>
        <w:t>DIP. MARIA EUGENIA CAZARES MARTINEZ</w:t>
      </w:r>
      <w:r w:rsidRPr="00313C34">
        <w:rPr>
          <w:rFonts w:eastAsia="Calibri" w:cs="Arial"/>
          <w:b/>
          <w:sz w:val="18"/>
          <w:szCs w:val="18"/>
        </w:rPr>
        <w:tab/>
      </w:r>
      <w:r w:rsidRPr="00313C34">
        <w:rPr>
          <w:rFonts w:eastAsia="Calibri" w:cs="Arial"/>
          <w:b/>
          <w:sz w:val="18"/>
          <w:szCs w:val="18"/>
        </w:rPr>
        <w:tab/>
        <w:t xml:space="preserve"> DIP. BLANCA EPPEN  CANALES</w:t>
      </w:r>
    </w:p>
    <w:p w14:paraId="5E3BA64E" w14:textId="393A2AEC" w:rsidR="00D44ED2" w:rsidRDefault="00D44ED2" w:rsidP="00D44ED2">
      <w:pPr>
        <w:tabs>
          <w:tab w:val="left" w:pos="5056"/>
        </w:tabs>
        <w:rPr>
          <w:rFonts w:eastAsia="Calibri" w:cs="Arial"/>
          <w:b/>
          <w:sz w:val="18"/>
          <w:szCs w:val="18"/>
        </w:rPr>
      </w:pPr>
    </w:p>
    <w:p w14:paraId="592A8A2B" w14:textId="1ECAF482" w:rsidR="00D44ED2" w:rsidRDefault="00D44ED2" w:rsidP="00D44ED2">
      <w:pPr>
        <w:tabs>
          <w:tab w:val="left" w:pos="5056"/>
        </w:tabs>
        <w:rPr>
          <w:rFonts w:eastAsia="Calibri" w:cs="Arial"/>
          <w:b/>
          <w:sz w:val="18"/>
          <w:szCs w:val="18"/>
        </w:rPr>
      </w:pPr>
    </w:p>
    <w:p w14:paraId="30DB3EE6" w14:textId="078D76BB" w:rsidR="00D44ED2" w:rsidRDefault="00D44ED2" w:rsidP="00D44ED2">
      <w:pPr>
        <w:tabs>
          <w:tab w:val="left" w:pos="5056"/>
        </w:tabs>
        <w:rPr>
          <w:rFonts w:eastAsia="Calibri" w:cs="Arial"/>
          <w:b/>
          <w:sz w:val="18"/>
          <w:szCs w:val="18"/>
        </w:rPr>
      </w:pPr>
    </w:p>
    <w:p w14:paraId="7B6D18AC" w14:textId="684EC8EA" w:rsidR="00D44ED2" w:rsidRDefault="00D44ED2" w:rsidP="00D44ED2">
      <w:pPr>
        <w:tabs>
          <w:tab w:val="left" w:pos="5056"/>
        </w:tabs>
        <w:rPr>
          <w:rFonts w:eastAsia="Calibri" w:cs="Arial"/>
          <w:b/>
          <w:sz w:val="18"/>
          <w:szCs w:val="18"/>
        </w:rPr>
      </w:pPr>
    </w:p>
    <w:p w14:paraId="317EA641" w14:textId="77777777" w:rsidR="00D44ED2" w:rsidRPr="00313C34" w:rsidRDefault="00D44ED2" w:rsidP="00D44ED2">
      <w:pPr>
        <w:tabs>
          <w:tab w:val="left" w:pos="5056"/>
        </w:tabs>
        <w:rPr>
          <w:rFonts w:eastAsia="Calibri" w:cs="Arial"/>
          <w:b/>
          <w:sz w:val="18"/>
          <w:szCs w:val="18"/>
        </w:rPr>
      </w:pPr>
    </w:p>
    <w:p w14:paraId="3167E2AB" w14:textId="6F49F24F" w:rsidR="00D44ED2" w:rsidRPr="00313C34" w:rsidRDefault="00D44ED2" w:rsidP="00D44ED2">
      <w:pPr>
        <w:tabs>
          <w:tab w:val="left" w:pos="5056"/>
        </w:tabs>
        <w:rPr>
          <w:rFonts w:eastAsia="Calibri" w:cs="Arial"/>
          <w:b/>
          <w:sz w:val="18"/>
          <w:szCs w:val="18"/>
        </w:rPr>
      </w:pPr>
      <w:r w:rsidRPr="00313C34">
        <w:rPr>
          <w:rFonts w:eastAsia="Calibri" w:cs="Arial"/>
          <w:b/>
          <w:sz w:val="18"/>
          <w:szCs w:val="18"/>
        </w:rPr>
        <w:tab/>
      </w:r>
      <w:r w:rsidRPr="00313C34">
        <w:rPr>
          <w:rFonts w:eastAsia="Calibri" w:cs="Arial"/>
          <w:b/>
          <w:sz w:val="18"/>
          <w:szCs w:val="18"/>
        </w:rPr>
        <w:tab/>
        <w:t xml:space="preserve"> </w:t>
      </w:r>
    </w:p>
    <w:p w14:paraId="796F75E9" w14:textId="46CC4B26" w:rsidR="00D44ED2" w:rsidRPr="00313C34" w:rsidRDefault="00D44ED2" w:rsidP="00D44ED2">
      <w:pPr>
        <w:tabs>
          <w:tab w:val="left" w:pos="5056"/>
        </w:tabs>
        <w:rPr>
          <w:rFonts w:eastAsia="Calibri" w:cs="Arial"/>
          <w:b/>
          <w:sz w:val="18"/>
          <w:szCs w:val="18"/>
        </w:rPr>
      </w:pPr>
    </w:p>
    <w:p w14:paraId="440B69E6" w14:textId="53748C60" w:rsidR="00D44ED2" w:rsidRPr="00313C34" w:rsidRDefault="00D44ED2" w:rsidP="00D44ED2">
      <w:pPr>
        <w:tabs>
          <w:tab w:val="left" w:pos="5056"/>
        </w:tabs>
        <w:rPr>
          <w:rFonts w:eastAsia="Calibri" w:cs="Arial"/>
          <w:b/>
          <w:sz w:val="18"/>
          <w:szCs w:val="18"/>
        </w:rPr>
      </w:pPr>
    </w:p>
    <w:p w14:paraId="04EA78F2" w14:textId="2F726AB6" w:rsidR="00D44ED2" w:rsidRDefault="00D44ED2" w:rsidP="00D44ED2">
      <w:pPr>
        <w:tabs>
          <w:tab w:val="left" w:pos="5056"/>
        </w:tabs>
        <w:rPr>
          <w:rFonts w:eastAsia="Calibri" w:cs="Arial"/>
          <w:b/>
          <w:sz w:val="18"/>
          <w:szCs w:val="18"/>
        </w:rPr>
      </w:pPr>
      <w:r w:rsidRPr="00313C34">
        <w:rPr>
          <w:rFonts w:eastAsia="Calibri" w:cs="Arial"/>
          <w:b/>
          <w:sz w:val="18"/>
          <w:szCs w:val="18"/>
        </w:rPr>
        <w:t xml:space="preserve">  </w:t>
      </w:r>
      <w:r>
        <w:rPr>
          <w:rFonts w:eastAsia="Calibri" w:cs="Arial"/>
          <w:b/>
          <w:sz w:val="18"/>
          <w:szCs w:val="18"/>
        </w:rPr>
        <w:t xml:space="preserve">       </w:t>
      </w:r>
      <w:r w:rsidRPr="00313C34">
        <w:rPr>
          <w:rFonts w:eastAsia="Calibri" w:cs="Arial"/>
          <w:b/>
          <w:sz w:val="18"/>
          <w:szCs w:val="18"/>
        </w:rPr>
        <w:t>DIP. JUAN ANTONIO GARCÍA VILLA                                 DIP. JUAN CARLOS GUERRA LÓPEZ NEGRETE</w:t>
      </w:r>
    </w:p>
    <w:p w14:paraId="0DF96079" w14:textId="6BEC0892" w:rsidR="00D44ED2" w:rsidRDefault="00D44ED2" w:rsidP="00D44ED2">
      <w:pPr>
        <w:tabs>
          <w:tab w:val="left" w:pos="5056"/>
        </w:tabs>
        <w:rPr>
          <w:rFonts w:eastAsia="Calibri" w:cs="Arial"/>
          <w:b/>
          <w:sz w:val="18"/>
          <w:szCs w:val="18"/>
        </w:rPr>
      </w:pPr>
    </w:p>
    <w:p w14:paraId="3C8181AC" w14:textId="0D456AC9" w:rsidR="00D44ED2" w:rsidRDefault="00D44ED2" w:rsidP="00D44ED2">
      <w:pPr>
        <w:tabs>
          <w:tab w:val="left" w:pos="5056"/>
        </w:tabs>
        <w:rPr>
          <w:rFonts w:eastAsia="Calibri" w:cs="Arial"/>
          <w:b/>
          <w:sz w:val="18"/>
          <w:szCs w:val="18"/>
        </w:rPr>
      </w:pPr>
    </w:p>
    <w:p w14:paraId="0E03CAE6" w14:textId="624B8D5A" w:rsidR="00D44ED2" w:rsidRDefault="00D44ED2" w:rsidP="00D44ED2">
      <w:pPr>
        <w:tabs>
          <w:tab w:val="left" w:pos="5056"/>
        </w:tabs>
        <w:rPr>
          <w:rFonts w:eastAsia="Calibri" w:cs="Arial"/>
          <w:b/>
          <w:sz w:val="18"/>
          <w:szCs w:val="18"/>
        </w:rPr>
      </w:pPr>
    </w:p>
    <w:p w14:paraId="024BD3F0" w14:textId="46DBA187" w:rsidR="00D44ED2" w:rsidRDefault="00D44ED2" w:rsidP="00D44ED2">
      <w:pPr>
        <w:tabs>
          <w:tab w:val="left" w:pos="5056"/>
        </w:tabs>
        <w:rPr>
          <w:rFonts w:eastAsia="Calibri" w:cs="Arial"/>
          <w:b/>
          <w:sz w:val="18"/>
          <w:szCs w:val="18"/>
        </w:rPr>
      </w:pPr>
    </w:p>
    <w:p w14:paraId="6CAA1E0C" w14:textId="28EF9958" w:rsidR="00D44ED2" w:rsidRDefault="00D44ED2" w:rsidP="00D44ED2">
      <w:pPr>
        <w:tabs>
          <w:tab w:val="left" w:pos="5056"/>
        </w:tabs>
        <w:rPr>
          <w:rFonts w:eastAsia="Calibri" w:cs="Arial"/>
          <w:b/>
          <w:sz w:val="18"/>
          <w:szCs w:val="18"/>
        </w:rPr>
      </w:pPr>
    </w:p>
    <w:p w14:paraId="6BA20594" w14:textId="7870CA99" w:rsidR="00D44ED2" w:rsidRPr="00313C34" w:rsidRDefault="00D44ED2" w:rsidP="00D44ED2">
      <w:pPr>
        <w:tabs>
          <w:tab w:val="left" w:pos="5056"/>
        </w:tabs>
        <w:rPr>
          <w:rFonts w:eastAsia="Calibri" w:cs="Arial"/>
          <w:b/>
          <w:sz w:val="18"/>
          <w:szCs w:val="18"/>
        </w:rPr>
      </w:pPr>
    </w:p>
    <w:p w14:paraId="322E8DF8" w14:textId="726E7B1F" w:rsidR="00D44ED2" w:rsidRPr="00313C34" w:rsidRDefault="00D44ED2" w:rsidP="00D44ED2">
      <w:pPr>
        <w:tabs>
          <w:tab w:val="left" w:pos="5056"/>
        </w:tabs>
        <w:rPr>
          <w:rFonts w:eastAsia="Calibri" w:cs="Arial"/>
          <w:b/>
          <w:sz w:val="18"/>
          <w:szCs w:val="18"/>
        </w:rPr>
      </w:pPr>
    </w:p>
    <w:p w14:paraId="3F092375" w14:textId="56892D08" w:rsidR="00D44ED2" w:rsidRPr="00313C34" w:rsidRDefault="00D44ED2" w:rsidP="00D44ED2">
      <w:pPr>
        <w:tabs>
          <w:tab w:val="left" w:pos="5056"/>
        </w:tabs>
        <w:rPr>
          <w:rFonts w:eastAsia="Calibri" w:cs="Arial"/>
          <w:b/>
          <w:sz w:val="18"/>
          <w:szCs w:val="18"/>
        </w:rPr>
      </w:pPr>
    </w:p>
    <w:p w14:paraId="5CA21A77" w14:textId="1C94895B" w:rsidR="00D44ED2" w:rsidRPr="00313C34" w:rsidRDefault="00D44ED2" w:rsidP="00D44ED2">
      <w:pPr>
        <w:tabs>
          <w:tab w:val="left" w:pos="5056"/>
        </w:tabs>
        <w:rPr>
          <w:rFonts w:eastAsia="Calibri" w:cs="Arial"/>
          <w:b/>
          <w:sz w:val="18"/>
          <w:szCs w:val="18"/>
        </w:rPr>
      </w:pPr>
    </w:p>
    <w:p w14:paraId="51DE34B3" w14:textId="371E2C47" w:rsidR="00D44ED2" w:rsidRPr="00313C34" w:rsidRDefault="00D44ED2" w:rsidP="00D44ED2">
      <w:pPr>
        <w:jc w:val="center"/>
        <w:rPr>
          <w:rFonts w:cs="Arial"/>
          <w:b/>
          <w:sz w:val="18"/>
          <w:szCs w:val="18"/>
        </w:rPr>
      </w:pPr>
      <w:r w:rsidRPr="00313C34">
        <w:rPr>
          <w:rFonts w:eastAsia="Calibri" w:cs="Arial"/>
          <w:b/>
          <w:sz w:val="18"/>
          <w:szCs w:val="18"/>
        </w:rPr>
        <w:t>DIP. GERARDO ABRAHAM AGUADO GÓMEZ                   DIP. GABRIELA ZAPOPAN GARZA GALVÁN</w:t>
      </w:r>
    </w:p>
    <w:sectPr w:rsidR="00D44ED2" w:rsidRPr="00313C34" w:rsidSect="00C82E3E">
      <w:headerReference w:type="default" r:id="rId8"/>
      <w:footnotePr>
        <w:numRestart w:val="eachSect"/>
      </w:footnotePr>
      <w:endnotePr>
        <w:numFmt w:val="decimal"/>
      </w:end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DF51" w14:textId="77777777" w:rsidR="00703E38" w:rsidRDefault="00703E38">
      <w:r>
        <w:separator/>
      </w:r>
    </w:p>
  </w:endnote>
  <w:endnote w:type="continuationSeparator" w:id="0">
    <w:p w14:paraId="5EC17571" w14:textId="77777777" w:rsidR="00703E38" w:rsidRDefault="007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019F" w14:textId="77777777" w:rsidR="00703E38" w:rsidRDefault="00703E38">
      <w:r>
        <w:separator/>
      </w:r>
    </w:p>
  </w:footnote>
  <w:footnote w:type="continuationSeparator" w:id="0">
    <w:p w14:paraId="4DB6F142" w14:textId="77777777" w:rsidR="00703E38" w:rsidRDefault="00703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4"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965C4"/>
    <w:multiLevelType w:val="multilevel"/>
    <w:tmpl w:val="9E0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8193477"/>
    <w:multiLevelType w:val="hybridMultilevel"/>
    <w:tmpl w:val="9B7C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30"/>
  </w:num>
  <w:num w:numId="4">
    <w:abstractNumId w:val="6"/>
  </w:num>
  <w:num w:numId="5">
    <w:abstractNumId w:val="20"/>
  </w:num>
  <w:num w:numId="6">
    <w:abstractNumId w:val="35"/>
  </w:num>
  <w:num w:numId="7">
    <w:abstractNumId w:val="8"/>
  </w:num>
  <w:num w:numId="8">
    <w:abstractNumId w:val="25"/>
  </w:num>
  <w:num w:numId="9">
    <w:abstractNumId w:val="10"/>
  </w:num>
  <w:num w:numId="10">
    <w:abstractNumId w:val="2"/>
  </w:num>
  <w:num w:numId="11">
    <w:abstractNumId w:val="11"/>
  </w:num>
  <w:num w:numId="12">
    <w:abstractNumId w:val="32"/>
  </w:num>
  <w:num w:numId="13">
    <w:abstractNumId w:val="17"/>
  </w:num>
  <w:num w:numId="14">
    <w:abstractNumId w:val="28"/>
  </w:num>
  <w:num w:numId="15">
    <w:abstractNumId w:val="13"/>
  </w:num>
  <w:num w:numId="16">
    <w:abstractNumId w:val="7"/>
  </w:num>
  <w:num w:numId="17">
    <w:abstractNumId w:val="21"/>
  </w:num>
  <w:num w:numId="18">
    <w:abstractNumId w:val="22"/>
  </w:num>
  <w:num w:numId="19">
    <w:abstractNumId w:val="18"/>
  </w:num>
  <w:num w:numId="20">
    <w:abstractNumId w:val="12"/>
  </w:num>
  <w:num w:numId="21">
    <w:abstractNumId w:val="3"/>
  </w:num>
  <w:num w:numId="22">
    <w:abstractNumId w:val="1"/>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34"/>
  </w:num>
  <w:num w:numId="30">
    <w:abstractNumId w:val="24"/>
  </w:num>
  <w:num w:numId="31">
    <w:abstractNumId w:val="9"/>
  </w:num>
  <w:num w:numId="32">
    <w:abstractNumId w:val="15"/>
  </w:num>
  <w:num w:numId="33">
    <w:abstractNumId w:val="33"/>
  </w:num>
  <w:num w:numId="34">
    <w:abstractNumId w:val="4"/>
  </w:num>
  <w:num w:numId="35">
    <w:abstractNumId w:val="26"/>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3EE"/>
    <w:rsid w:val="00007953"/>
    <w:rsid w:val="00007F49"/>
    <w:rsid w:val="00010564"/>
    <w:rsid w:val="00010B24"/>
    <w:rsid w:val="000130F6"/>
    <w:rsid w:val="00013745"/>
    <w:rsid w:val="000138DE"/>
    <w:rsid w:val="000138E2"/>
    <w:rsid w:val="00013920"/>
    <w:rsid w:val="00014534"/>
    <w:rsid w:val="00014EF8"/>
    <w:rsid w:val="000150F1"/>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1C97"/>
    <w:rsid w:val="0007359A"/>
    <w:rsid w:val="0007413E"/>
    <w:rsid w:val="00074CC4"/>
    <w:rsid w:val="000753FA"/>
    <w:rsid w:val="00075F81"/>
    <w:rsid w:val="000768B7"/>
    <w:rsid w:val="00077736"/>
    <w:rsid w:val="00077BE3"/>
    <w:rsid w:val="00080BB9"/>
    <w:rsid w:val="00081BDC"/>
    <w:rsid w:val="0008220F"/>
    <w:rsid w:val="00082835"/>
    <w:rsid w:val="00082F20"/>
    <w:rsid w:val="00083A28"/>
    <w:rsid w:val="00084720"/>
    <w:rsid w:val="00085008"/>
    <w:rsid w:val="00085044"/>
    <w:rsid w:val="000851BE"/>
    <w:rsid w:val="00085934"/>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1CF7"/>
    <w:rsid w:val="000C31F6"/>
    <w:rsid w:val="000C3383"/>
    <w:rsid w:val="000C366E"/>
    <w:rsid w:val="000C45B2"/>
    <w:rsid w:val="000C5590"/>
    <w:rsid w:val="000C631E"/>
    <w:rsid w:val="000C7EC0"/>
    <w:rsid w:val="000D0B0A"/>
    <w:rsid w:val="000D1DD6"/>
    <w:rsid w:val="000D1FFD"/>
    <w:rsid w:val="000D2E90"/>
    <w:rsid w:val="000D34AB"/>
    <w:rsid w:val="000D4B28"/>
    <w:rsid w:val="000D4C2E"/>
    <w:rsid w:val="000D5417"/>
    <w:rsid w:val="000D65B8"/>
    <w:rsid w:val="000D66B7"/>
    <w:rsid w:val="000E0967"/>
    <w:rsid w:val="000E0B4B"/>
    <w:rsid w:val="000E0E9B"/>
    <w:rsid w:val="000E2C92"/>
    <w:rsid w:val="000E469A"/>
    <w:rsid w:val="000E5AFD"/>
    <w:rsid w:val="000E6575"/>
    <w:rsid w:val="000F00B9"/>
    <w:rsid w:val="000F096A"/>
    <w:rsid w:val="000F2B23"/>
    <w:rsid w:val="000F3328"/>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2DCF"/>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54C2"/>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1CDA"/>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189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7C4"/>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D73E1"/>
    <w:rsid w:val="002E0052"/>
    <w:rsid w:val="002E06E9"/>
    <w:rsid w:val="002E0DCE"/>
    <w:rsid w:val="002E0ECF"/>
    <w:rsid w:val="002E0F8E"/>
    <w:rsid w:val="002E1219"/>
    <w:rsid w:val="002E12CB"/>
    <w:rsid w:val="002E1FCB"/>
    <w:rsid w:val="002E4577"/>
    <w:rsid w:val="002E4787"/>
    <w:rsid w:val="002E49AC"/>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15C9"/>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1FB"/>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6CA6"/>
    <w:rsid w:val="00397B8D"/>
    <w:rsid w:val="00397E39"/>
    <w:rsid w:val="003A0883"/>
    <w:rsid w:val="003A0EAC"/>
    <w:rsid w:val="003A2093"/>
    <w:rsid w:val="003A3106"/>
    <w:rsid w:val="003A46BD"/>
    <w:rsid w:val="003A4BE8"/>
    <w:rsid w:val="003A64BB"/>
    <w:rsid w:val="003A69E3"/>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0D37"/>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9B1"/>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57034"/>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5998"/>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1EC"/>
    <w:rsid w:val="004A255B"/>
    <w:rsid w:val="004A30B3"/>
    <w:rsid w:val="004A32F8"/>
    <w:rsid w:val="004A3622"/>
    <w:rsid w:val="004A382F"/>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4B6A"/>
    <w:rsid w:val="00595CB8"/>
    <w:rsid w:val="00596DC9"/>
    <w:rsid w:val="005A2816"/>
    <w:rsid w:val="005A3CA5"/>
    <w:rsid w:val="005A3D60"/>
    <w:rsid w:val="005A4340"/>
    <w:rsid w:val="005A4B73"/>
    <w:rsid w:val="005A4FE9"/>
    <w:rsid w:val="005A53BE"/>
    <w:rsid w:val="005A62D6"/>
    <w:rsid w:val="005A6971"/>
    <w:rsid w:val="005A7568"/>
    <w:rsid w:val="005A779A"/>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6318"/>
    <w:rsid w:val="005F7289"/>
    <w:rsid w:val="005F7DB7"/>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3C2"/>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6EF"/>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5DF9"/>
    <w:rsid w:val="006C710A"/>
    <w:rsid w:val="006D00EB"/>
    <w:rsid w:val="006D2673"/>
    <w:rsid w:val="006D27A6"/>
    <w:rsid w:val="006D2B33"/>
    <w:rsid w:val="006D31C6"/>
    <w:rsid w:val="006D40A3"/>
    <w:rsid w:val="006D58E8"/>
    <w:rsid w:val="006D5970"/>
    <w:rsid w:val="006D709C"/>
    <w:rsid w:val="006D7110"/>
    <w:rsid w:val="006D78A0"/>
    <w:rsid w:val="006D7BEE"/>
    <w:rsid w:val="006E00F7"/>
    <w:rsid w:val="006E013B"/>
    <w:rsid w:val="006E05B4"/>
    <w:rsid w:val="006E0E87"/>
    <w:rsid w:val="006E1A59"/>
    <w:rsid w:val="006E23F3"/>
    <w:rsid w:val="006E277E"/>
    <w:rsid w:val="006E329B"/>
    <w:rsid w:val="006E3673"/>
    <w:rsid w:val="006E3B97"/>
    <w:rsid w:val="006E50AB"/>
    <w:rsid w:val="006E5A41"/>
    <w:rsid w:val="006E60D4"/>
    <w:rsid w:val="006E6D4D"/>
    <w:rsid w:val="006E730D"/>
    <w:rsid w:val="006E7FC0"/>
    <w:rsid w:val="006F031C"/>
    <w:rsid w:val="006F16CF"/>
    <w:rsid w:val="006F2725"/>
    <w:rsid w:val="006F2B6B"/>
    <w:rsid w:val="006F6DCB"/>
    <w:rsid w:val="006F736F"/>
    <w:rsid w:val="006F75F5"/>
    <w:rsid w:val="006F7F18"/>
    <w:rsid w:val="00700B7C"/>
    <w:rsid w:val="00700FAC"/>
    <w:rsid w:val="00702D4B"/>
    <w:rsid w:val="00703E38"/>
    <w:rsid w:val="00704047"/>
    <w:rsid w:val="00704EFA"/>
    <w:rsid w:val="0070521D"/>
    <w:rsid w:val="00706782"/>
    <w:rsid w:val="00706851"/>
    <w:rsid w:val="007068B7"/>
    <w:rsid w:val="00706CA1"/>
    <w:rsid w:val="00707365"/>
    <w:rsid w:val="00707851"/>
    <w:rsid w:val="00710E0F"/>
    <w:rsid w:val="00711B23"/>
    <w:rsid w:val="00711BE7"/>
    <w:rsid w:val="00715C41"/>
    <w:rsid w:val="00716D4A"/>
    <w:rsid w:val="00716DB2"/>
    <w:rsid w:val="00717B3E"/>
    <w:rsid w:val="00717E80"/>
    <w:rsid w:val="00721B83"/>
    <w:rsid w:val="00723178"/>
    <w:rsid w:val="0072347D"/>
    <w:rsid w:val="00724CDB"/>
    <w:rsid w:val="007254F3"/>
    <w:rsid w:val="00725501"/>
    <w:rsid w:val="00725A5B"/>
    <w:rsid w:val="007264D4"/>
    <w:rsid w:val="00726DF1"/>
    <w:rsid w:val="00727303"/>
    <w:rsid w:val="00730350"/>
    <w:rsid w:val="00732C38"/>
    <w:rsid w:val="007343B2"/>
    <w:rsid w:val="00735241"/>
    <w:rsid w:val="00735437"/>
    <w:rsid w:val="00737687"/>
    <w:rsid w:val="00737793"/>
    <w:rsid w:val="007378AB"/>
    <w:rsid w:val="00737F69"/>
    <w:rsid w:val="00741AD6"/>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6FAF"/>
    <w:rsid w:val="00767596"/>
    <w:rsid w:val="0077041A"/>
    <w:rsid w:val="007709CB"/>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4EBC"/>
    <w:rsid w:val="007A51B5"/>
    <w:rsid w:val="007A6229"/>
    <w:rsid w:val="007A6E78"/>
    <w:rsid w:val="007B20C6"/>
    <w:rsid w:val="007B2379"/>
    <w:rsid w:val="007B2859"/>
    <w:rsid w:val="007B2B8D"/>
    <w:rsid w:val="007B2E89"/>
    <w:rsid w:val="007B46DE"/>
    <w:rsid w:val="007B4846"/>
    <w:rsid w:val="007B48A7"/>
    <w:rsid w:val="007B4F62"/>
    <w:rsid w:val="007B5309"/>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350"/>
    <w:rsid w:val="007D1F43"/>
    <w:rsid w:val="007D2112"/>
    <w:rsid w:val="007D2678"/>
    <w:rsid w:val="007D288A"/>
    <w:rsid w:val="007D2F1D"/>
    <w:rsid w:val="007D3117"/>
    <w:rsid w:val="007D3497"/>
    <w:rsid w:val="007D3D60"/>
    <w:rsid w:val="007D3DB0"/>
    <w:rsid w:val="007D45B8"/>
    <w:rsid w:val="007D4762"/>
    <w:rsid w:val="007D5A54"/>
    <w:rsid w:val="007D5BDC"/>
    <w:rsid w:val="007D696F"/>
    <w:rsid w:val="007D731D"/>
    <w:rsid w:val="007E082B"/>
    <w:rsid w:val="007E0AB1"/>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1F09"/>
    <w:rsid w:val="00802D87"/>
    <w:rsid w:val="00804489"/>
    <w:rsid w:val="00805B01"/>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455"/>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4E9F"/>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085"/>
    <w:rsid w:val="008B223D"/>
    <w:rsid w:val="008B267C"/>
    <w:rsid w:val="008B31B0"/>
    <w:rsid w:val="008B4D64"/>
    <w:rsid w:val="008B56E0"/>
    <w:rsid w:val="008B5BD3"/>
    <w:rsid w:val="008B5FDD"/>
    <w:rsid w:val="008B6219"/>
    <w:rsid w:val="008B62E4"/>
    <w:rsid w:val="008B6F65"/>
    <w:rsid w:val="008B7485"/>
    <w:rsid w:val="008B7C60"/>
    <w:rsid w:val="008C253F"/>
    <w:rsid w:val="008C2805"/>
    <w:rsid w:val="008D13ED"/>
    <w:rsid w:val="008D1709"/>
    <w:rsid w:val="008D21F7"/>
    <w:rsid w:val="008D23E5"/>
    <w:rsid w:val="008D2BF4"/>
    <w:rsid w:val="008D374A"/>
    <w:rsid w:val="008D4667"/>
    <w:rsid w:val="008D4B8B"/>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3341"/>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2F3"/>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4AF"/>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3AC4"/>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E731B"/>
    <w:rsid w:val="009F001B"/>
    <w:rsid w:val="009F1C71"/>
    <w:rsid w:val="009F2032"/>
    <w:rsid w:val="009F2343"/>
    <w:rsid w:val="009F264B"/>
    <w:rsid w:val="009F3508"/>
    <w:rsid w:val="009F63FA"/>
    <w:rsid w:val="009F63FE"/>
    <w:rsid w:val="009F64B2"/>
    <w:rsid w:val="009F7AF4"/>
    <w:rsid w:val="009F7EA0"/>
    <w:rsid w:val="00A001BE"/>
    <w:rsid w:val="00A0069A"/>
    <w:rsid w:val="00A008EF"/>
    <w:rsid w:val="00A02564"/>
    <w:rsid w:val="00A0417D"/>
    <w:rsid w:val="00A05272"/>
    <w:rsid w:val="00A05BE1"/>
    <w:rsid w:val="00A062CB"/>
    <w:rsid w:val="00A108EE"/>
    <w:rsid w:val="00A10FB9"/>
    <w:rsid w:val="00A11917"/>
    <w:rsid w:val="00A12F06"/>
    <w:rsid w:val="00A138D1"/>
    <w:rsid w:val="00A15702"/>
    <w:rsid w:val="00A1644F"/>
    <w:rsid w:val="00A16784"/>
    <w:rsid w:val="00A17898"/>
    <w:rsid w:val="00A201CC"/>
    <w:rsid w:val="00A20474"/>
    <w:rsid w:val="00A20A03"/>
    <w:rsid w:val="00A20B16"/>
    <w:rsid w:val="00A20BE6"/>
    <w:rsid w:val="00A20CA7"/>
    <w:rsid w:val="00A218CA"/>
    <w:rsid w:val="00A23708"/>
    <w:rsid w:val="00A268D3"/>
    <w:rsid w:val="00A26E4E"/>
    <w:rsid w:val="00A30C84"/>
    <w:rsid w:val="00A310C9"/>
    <w:rsid w:val="00A31F6E"/>
    <w:rsid w:val="00A32E8B"/>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2AB5"/>
    <w:rsid w:val="00A5326C"/>
    <w:rsid w:val="00A54028"/>
    <w:rsid w:val="00A552F0"/>
    <w:rsid w:val="00A55765"/>
    <w:rsid w:val="00A56957"/>
    <w:rsid w:val="00A61584"/>
    <w:rsid w:val="00A6243F"/>
    <w:rsid w:val="00A6293E"/>
    <w:rsid w:val="00A63B5A"/>
    <w:rsid w:val="00A63F76"/>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976DA"/>
    <w:rsid w:val="00AA1C74"/>
    <w:rsid w:val="00AA2873"/>
    <w:rsid w:val="00AA5F22"/>
    <w:rsid w:val="00AA62DE"/>
    <w:rsid w:val="00AA63DF"/>
    <w:rsid w:val="00AA6F9A"/>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565D"/>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1DD"/>
    <w:rsid w:val="00B07D35"/>
    <w:rsid w:val="00B1245B"/>
    <w:rsid w:val="00B1294C"/>
    <w:rsid w:val="00B1564F"/>
    <w:rsid w:val="00B17CC5"/>
    <w:rsid w:val="00B201C3"/>
    <w:rsid w:val="00B2159B"/>
    <w:rsid w:val="00B21BDE"/>
    <w:rsid w:val="00B22446"/>
    <w:rsid w:val="00B22E8D"/>
    <w:rsid w:val="00B238BF"/>
    <w:rsid w:val="00B24045"/>
    <w:rsid w:val="00B246F9"/>
    <w:rsid w:val="00B25C02"/>
    <w:rsid w:val="00B26230"/>
    <w:rsid w:val="00B262C3"/>
    <w:rsid w:val="00B27143"/>
    <w:rsid w:val="00B2722F"/>
    <w:rsid w:val="00B3020A"/>
    <w:rsid w:val="00B30CFA"/>
    <w:rsid w:val="00B30F44"/>
    <w:rsid w:val="00B32E9F"/>
    <w:rsid w:val="00B33EAF"/>
    <w:rsid w:val="00B34069"/>
    <w:rsid w:val="00B343F1"/>
    <w:rsid w:val="00B34F70"/>
    <w:rsid w:val="00B350EA"/>
    <w:rsid w:val="00B3518C"/>
    <w:rsid w:val="00B35193"/>
    <w:rsid w:val="00B35780"/>
    <w:rsid w:val="00B3578F"/>
    <w:rsid w:val="00B363E3"/>
    <w:rsid w:val="00B3643C"/>
    <w:rsid w:val="00B36C82"/>
    <w:rsid w:val="00B36E5F"/>
    <w:rsid w:val="00B41329"/>
    <w:rsid w:val="00B41D01"/>
    <w:rsid w:val="00B4346F"/>
    <w:rsid w:val="00B43F3D"/>
    <w:rsid w:val="00B45294"/>
    <w:rsid w:val="00B45967"/>
    <w:rsid w:val="00B45BCD"/>
    <w:rsid w:val="00B46127"/>
    <w:rsid w:val="00B47AFE"/>
    <w:rsid w:val="00B507BD"/>
    <w:rsid w:val="00B51385"/>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1DC"/>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BDC"/>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4A9"/>
    <w:rsid w:val="00C459F1"/>
    <w:rsid w:val="00C45B40"/>
    <w:rsid w:val="00C47D1B"/>
    <w:rsid w:val="00C50997"/>
    <w:rsid w:val="00C50C2F"/>
    <w:rsid w:val="00C51045"/>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4F"/>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636"/>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6C01"/>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4ED2"/>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443B"/>
    <w:rsid w:val="00D87FEC"/>
    <w:rsid w:val="00D908AA"/>
    <w:rsid w:val="00D90BB3"/>
    <w:rsid w:val="00D90F3C"/>
    <w:rsid w:val="00D911DA"/>
    <w:rsid w:val="00D91F4B"/>
    <w:rsid w:val="00D923C2"/>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2C12"/>
    <w:rsid w:val="00DC37D0"/>
    <w:rsid w:val="00DC42C8"/>
    <w:rsid w:val="00DC5252"/>
    <w:rsid w:val="00DD0819"/>
    <w:rsid w:val="00DD0A6C"/>
    <w:rsid w:val="00DD1337"/>
    <w:rsid w:val="00DD3197"/>
    <w:rsid w:val="00DD31F2"/>
    <w:rsid w:val="00DD3A24"/>
    <w:rsid w:val="00DD4389"/>
    <w:rsid w:val="00DD5293"/>
    <w:rsid w:val="00DD5BE2"/>
    <w:rsid w:val="00DD668C"/>
    <w:rsid w:val="00DD6F2F"/>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6D94"/>
    <w:rsid w:val="00DF713C"/>
    <w:rsid w:val="00DF7FF7"/>
    <w:rsid w:val="00E01B53"/>
    <w:rsid w:val="00E01E89"/>
    <w:rsid w:val="00E01F6F"/>
    <w:rsid w:val="00E0225A"/>
    <w:rsid w:val="00E02463"/>
    <w:rsid w:val="00E0288A"/>
    <w:rsid w:val="00E02BDE"/>
    <w:rsid w:val="00E05D65"/>
    <w:rsid w:val="00E101F7"/>
    <w:rsid w:val="00E12389"/>
    <w:rsid w:val="00E13C8A"/>
    <w:rsid w:val="00E1494E"/>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2BCD"/>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4FB4"/>
    <w:rsid w:val="00E552DC"/>
    <w:rsid w:val="00E56BAC"/>
    <w:rsid w:val="00E61630"/>
    <w:rsid w:val="00E62AEC"/>
    <w:rsid w:val="00E62EC4"/>
    <w:rsid w:val="00E63DE7"/>
    <w:rsid w:val="00E65B43"/>
    <w:rsid w:val="00E65C14"/>
    <w:rsid w:val="00E677D5"/>
    <w:rsid w:val="00E67AAB"/>
    <w:rsid w:val="00E67BAC"/>
    <w:rsid w:val="00E702D0"/>
    <w:rsid w:val="00E70A67"/>
    <w:rsid w:val="00E732A5"/>
    <w:rsid w:val="00E7378D"/>
    <w:rsid w:val="00E73919"/>
    <w:rsid w:val="00E74718"/>
    <w:rsid w:val="00E74837"/>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6ECB"/>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C7E34"/>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D90"/>
    <w:rsid w:val="00F1516F"/>
    <w:rsid w:val="00F1604D"/>
    <w:rsid w:val="00F176B4"/>
    <w:rsid w:val="00F17D39"/>
    <w:rsid w:val="00F222FE"/>
    <w:rsid w:val="00F23462"/>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2CF1"/>
    <w:rsid w:val="00F440C3"/>
    <w:rsid w:val="00F469BB"/>
    <w:rsid w:val="00F46FE0"/>
    <w:rsid w:val="00F51851"/>
    <w:rsid w:val="00F53124"/>
    <w:rsid w:val="00F53ABB"/>
    <w:rsid w:val="00F53FDD"/>
    <w:rsid w:val="00F602FF"/>
    <w:rsid w:val="00F61881"/>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DF"/>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B56"/>
    <w:rsid w:val="00F95DD8"/>
    <w:rsid w:val="00F97F0B"/>
    <w:rsid w:val="00FA0527"/>
    <w:rsid w:val="00FA0E85"/>
    <w:rsid w:val="00FA1E6A"/>
    <w:rsid w:val="00FA3342"/>
    <w:rsid w:val="00FA437E"/>
    <w:rsid w:val="00FA4430"/>
    <w:rsid w:val="00FA60BF"/>
    <w:rsid w:val="00FA662B"/>
    <w:rsid w:val="00FA6FC3"/>
    <w:rsid w:val="00FA7762"/>
    <w:rsid w:val="00FA7C67"/>
    <w:rsid w:val="00FA7CE4"/>
    <w:rsid w:val="00FB0D93"/>
    <w:rsid w:val="00FB21D6"/>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118C"/>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731FB"/>
    <w:rPr>
      <w:color w:val="605E5C"/>
      <w:shd w:val="clear" w:color="auto" w:fill="E1DFDD"/>
    </w:rPr>
  </w:style>
  <w:style w:type="paragraph" w:styleId="Textonotaalfinal">
    <w:name w:val="endnote text"/>
    <w:basedOn w:val="Normal"/>
    <w:link w:val="TextonotaalfinalCar"/>
    <w:uiPriority w:val="99"/>
    <w:semiHidden/>
    <w:unhideWhenUsed/>
    <w:rsid w:val="00F97F0B"/>
  </w:style>
  <w:style w:type="character" w:customStyle="1" w:styleId="TextonotaalfinalCar">
    <w:name w:val="Texto nota al final Car"/>
    <w:basedOn w:val="Fuentedeprrafopredeter"/>
    <w:link w:val="Textonotaalfinal"/>
    <w:uiPriority w:val="99"/>
    <w:semiHidden/>
    <w:rsid w:val="00F97F0B"/>
    <w:rPr>
      <w:rFonts w:ascii="Arial" w:hAnsi="Arial"/>
      <w:lang w:eastAsia="es-ES"/>
    </w:rPr>
  </w:style>
  <w:style w:type="character" w:styleId="Refdenotaalfinal">
    <w:name w:val="endnote reference"/>
    <w:basedOn w:val="Fuentedeprrafopredeter"/>
    <w:uiPriority w:val="99"/>
    <w:semiHidden/>
    <w:unhideWhenUsed/>
    <w:rsid w:val="00F97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09994146">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51618663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4D6A-4F1C-4D53-AB47-E979D303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2020-11-27T20:53:00Z</cp:lastPrinted>
  <dcterms:created xsi:type="dcterms:W3CDTF">2020-12-01T17:38:00Z</dcterms:created>
  <dcterms:modified xsi:type="dcterms:W3CDTF">2020-12-01T17:38:00Z</dcterms:modified>
</cp:coreProperties>
</file>