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9C" w:rsidRPr="0030429C" w:rsidRDefault="0030429C" w:rsidP="0030429C">
      <w:pPr>
        <w:tabs>
          <w:tab w:val="left" w:pos="5056"/>
        </w:tabs>
        <w:rPr>
          <w:rFonts w:ascii="Arial Narrow" w:hAnsi="Arial Narrow" w:cs="Times New Roman"/>
          <w:b/>
          <w:color w:val="000000"/>
          <w:sz w:val="26"/>
          <w:szCs w:val="26"/>
        </w:rPr>
      </w:pPr>
      <w:r w:rsidRPr="0030429C">
        <w:rPr>
          <w:rFonts w:ascii="Arial Narrow" w:hAnsi="Arial Narrow" w:cs="Times New Roman"/>
          <w:color w:val="000000"/>
          <w:sz w:val="26"/>
          <w:szCs w:val="26"/>
        </w:rPr>
        <w:t xml:space="preserve">Iniciativa con Proyecto de Decreto, mediante la cual se adiciona el capítulo primero bis y los artículos del 20 bis al 20 </w:t>
      </w:r>
      <w:proofErr w:type="spellStart"/>
      <w:r w:rsidRPr="0030429C">
        <w:rPr>
          <w:rFonts w:ascii="Arial Narrow" w:hAnsi="Arial Narrow" w:cs="Times New Roman"/>
          <w:color w:val="000000"/>
          <w:sz w:val="26"/>
          <w:szCs w:val="26"/>
        </w:rPr>
        <w:t>quater</w:t>
      </w:r>
      <w:proofErr w:type="spellEnd"/>
      <w:r w:rsidRPr="0030429C">
        <w:rPr>
          <w:rFonts w:ascii="Arial Narrow" w:hAnsi="Arial Narrow" w:cs="Times New Roman"/>
          <w:color w:val="000000"/>
          <w:sz w:val="26"/>
          <w:szCs w:val="26"/>
        </w:rPr>
        <w:t xml:space="preserve"> de la </w:t>
      </w:r>
      <w:r w:rsidRPr="0030429C">
        <w:rPr>
          <w:rFonts w:ascii="Arial Narrow" w:hAnsi="Arial Narrow" w:cs="Times New Roman"/>
          <w:b/>
          <w:color w:val="000000"/>
          <w:sz w:val="26"/>
          <w:szCs w:val="26"/>
        </w:rPr>
        <w:t>Ley de Igualdad entre Mujeres y Hombres en el Estado de Coahuila de Zaragoza.</w:t>
      </w:r>
    </w:p>
    <w:p w:rsidR="0030429C" w:rsidRDefault="0030429C" w:rsidP="0030429C">
      <w:pPr>
        <w:tabs>
          <w:tab w:val="left" w:pos="5056"/>
        </w:tabs>
        <w:rPr>
          <w:rFonts w:ascii="Arial Narrow" w:hAnsi="Arial Narrow" w:cs="Times New Roman"/>
          <w:color w:val="000000"/>
          <w:sz w:val="26"/>
          <w:szCs w:val="26"/>
        </w:rPr>
      </w:pPr>
    </w:p>
    <w:p w:rsidR="0030429C" w:rsidRPr="0030429C" w:rsidRDefault="0030429C" w:rsidP="0030429C">
      <w:pPr>
        <w:widowControl w:val="0"/>
        <w:numPr>
          <w:ilvl w:val="0"/>
          <w:numId w:val="19"/>
        </w:numPr>
        <w:tabs>
          <w:tab w:val="left" w:pos="5056"/>
        </w:tabs>
        <w:ind w:left="714" w:hanging="357"/>
        <w:contextualSpacing/>
        <w:rPr>
          <w:rFonts w:ascii="Arial Narrow" w:hAnsi="Arial Narrow" w:cs="Times New Roman"/>
          <w:b/>
          <w:snapToGrid w:val="0"/>
          <w:color w:val="000000"/>
          <w:sz w:val="26"/>
          <w:szCs w:val="26"/>
          <w:lang w:val="es-MX" w:eastAsia="es-ES"/>
        </w:rPr>
      </w:pPr>
      <w:r w:rsidRPr="0030429C">
        <w:rPr>
          <w:rFonts w:ascii="Arial Narrow" w:hAnsi="Arial Narrow" w:cs="Times New Roman"/>
          <w:b/>
          <w:snapToGrid w:val="0"/>
          <w:color w:val="000000"/>
          <w:sz w:val="26"/>
          <w:szCs w:val="26"/>
          <w:lang w:val="es-MX" w:eastAsia="es-ES"/>
        </w:rPr>
        <w:t>En relación a adicionar el texto normativo “Acompañamiento Sustantivo”, que consiste en apoyar toda queja o denuncia que se presente en materia de igualdad para cambiar prácticas discriminatorias.</w:t>
      </w:r>
    </w:p>
    <w:p w:rsidR="0030429C" w:rsidRDefault="0030429C" w:rsidP="0030429C">
      <w:pPr>
        <w:tabs>
          <w:tab w:val="left" w:pos="5056"/>
        </w:tabs>
        <w:rPr>
          <w:rFonts w:ascii="Arial Narrow" w:hAnsi="Arial Narrow" w:cs="Times New Roman"/>
          <w:color w:val="000000"/>
          <w:sz w:val="26"/>
          <w:szCs w:val="26"/>
        </w:rPr>
      </w:pPr>
    </w:p>
    <w:p w:rsidR="0030429C" w:rsidRPr="0018654E" w:rsidRDefault="0030429C" w:rsidP="0030429C">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D7434E">
        <w:rPr>
          <w:rFonts w:ascii="Arial Narrow" w:hAnsi="Arial Narrow" w:cs="Times New Roman"/>
          <w:b/>
          <w:color w:val="000000"/>
          <w:sz w:val="26"/>
          <w:szCs w:val="26"/>
        </w:rPr>
        <w:t xml:space="preserve">Blanca </w:t>
      </w:r>
      <w:proofErr w:type="spellStart"/>
      <w:r w:rsidRPr="00D7434E">
        <w:rPr>
          <w:rFonts w:ascii="Arial Narrow" w:hAnsi="Arial Narrow" w:cs="Times New Roman"/>
          <w:b/>
          <w:color w:val="000000"/>
          <w:sz w:val="26"/>
          <w:szCs w:val="26"/>
        </w:rPr>
        <w:t>Eppen</w:t>
      </w:r>
      <w:proofErr w:type="spellEnd"/>
      <w:r w:rsidRPr="00D7434E">
        <w:rPr>
          <w:rFonts w:ascii="Arial Narrow" w:hAnsi="Arial Narrow" w:cs="Times New Roman"/>
          <w:b/>
          <w:color w:val="000000"/>
          <w:sz w:val="26"/>
          <w:szCs w:val="26"/>
        </w:rPr>
        <w:t xml:space="preserve"> Canales</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30429C" w:rsidRPr="0018654E" w:rsidRDefault="0030429C" w:rsidP="0030429C">
      <w:pPr>
        <w:rPr>
          <w:rFonts w:ascii="Arial Narrow" w:hAnsi="Arial Narrow" w:cs="Times New Roman"/>
          <w:color w:val="000000"/>
          <w:sz w:val="26"/>
          <w:szCs w:val="26"/>
          <w:lang w:val="es-MX" w:eastAsia="es-ES"/>
        </w:rPr>
      </w:pPr>
    </w:p>
    <w:p w:rsidR="0030429C" w:rsidRPr="0018654E" w:rsidRDefault="0030429C" w:rsidP="0030429C">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30</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30429C" w:rsidRPr="0018654E" w:rsidRDefault="0030429C" w:rsidP="0030429C">
      <w:pPr>
        <w:rPr>
          <w:rFonts w:ascii="Arial Narrow" w:hAnsi="Arial Narrow" w:cs="Times New Roman"/>
          <w:sz w:val="26"/>
          <w:szCs w:val="26"/>
          <w:lang w:val="es-MX" w:eastAsia="es-ES"/>
        </w:rPr>
      </w:pPr>
    </w:p>
    <w:p w:rsidR="0030429C" w:rsidRPr="00D7434E" w:rsidRDefault="0030429C" w:rsidP="0030429C">
      <w:pPr>
        <w:tabs>
          <w:tab w:val="left" w:pos="5056"/>
        </w:tabs>
        <w:rPr>
          <w:rFonts w:ascii="Arial Narrow" w:hAnsi="Arial Narrow" w:cs="Times New Roman"/>
          <w:b/>
          <w:color w:val="000000"/>
          <w:sz w:val="26"/>
          <w:szCs w:val="26"/>
        </w:rPr>
      </w:pPr>
      <w:r w:rsidRPr="0018654E">
        <w:rPr>
          <w:rFonts w:ascii="Arial Narrow" w:hAnsi="Arial Narrow" w:cs="Times New Roman"/>
          <w:color w:val="000000"/>
          <w:sz w:val="26"/>
          <w:szCs w:val="26"/>
          <w:lang w:val="es-MX" w:eastAsia="es-ES"/>
        </w:rPr>
        <w:t xml:space="preserve">Turnada a la </w:t>
      </w:r>
      <w:r w:rsidRPr="0030429C">
        <w:rPr>
          <w:rFonts w:ascii="Arial Narrow" w:hAnsi="Arial Narrow" w:cs="Times New Roman"/>
          <w:b/>
          <w:color w:val="000000"/>
          <w:sz w:val="26"/>
          <w:szCs w:val="26"/>
        </w:rPr>
        <w:t xml:space="preserve">Comisión de Igualdad y </w:t>
      </w:r>
      <w:r>
        <w:rPr>
          <w:rFonts w:ascii="Arial Narrow" w:hAnsi="Arial Narrow" w:cs="Times New Roman"/>
          <w:b/>
          <w:color w:val="000000"/>
          <w:sz w:val="26"/>
          <w:szCs w:val="26"/>
        </w:rPr>
        <w:t>No Discriminación.</w:t>
      </w:r>
    </w:p>
    <w:p w:rsidR="0030429C" w:rsidRPr="0018654E" w:rsidRDefault="0030429C" w:rsidP="0030429C">
      <w:pPr>
        <w:tabs>
          <w:tab w:val="left" w:pos="5056"/>
        </w:tabs>
        <w:rPr>
          <w:rFonts w:ascii="Arial Narrow" w:hAnsi="Arial Narrow" w:cs="Times New Roman"/>
          <w:color w:val="000000"/>
          <w:sz w:val="26"/>
          <w:szCs w:val="26"/>
          <w:lang w:val="es-MX" w:eastAsia="es-ES"/>
        </w:rPr>
      </w:pPr>
    </w:p>
    <w:p w:rsidR="00800CD4" w:rsidRPr="00B20092" w:rsidRDefault="00800CD4" w:rsidP="00800CD4">
      <w:pPr>
        <w:rPr>
          <w:rFonts w:ascii="Arial Narrow" w:hAnsi="Arial Narrow" w:cs="Times New Roman"/>
          <w:b/>
          <w:color w:val="000000"/>
          <w:sz w:val="26"/>
          <w:szCs w:val="26"/>
          <w:lang w:val="es-MX" w:eastAsia="es-ES"/>
        </w:rPr>
      </w:pPr>
      <w:r w:rsidRPr="00B20092">
        <w:rPr>
          <w:rFonts w:ascii="Arial Narrow" w:hAnsi="Arial Narrow" w:cs="Times New Roman"/>
          <w:b/>
          <w:color w:val="000000"/>
          <w:sz w:val="26"/>
          <w:szCs w:val="26"/>
          <w:lang w:val="es-MX" w:eastAsia="es-ES"/>
        </w:rPr>
        <w:t xml:space="preserve">Lectura del Dictamen: 30 de </w:t>
      </w:r>
      <w:proofErr w:type="gramStart"/>
      <w:r w:rsidRPr="00B20092">
        <w:rPr>
          <w:rFonts w:ascii="Arial Narrow" w:hAnsi="Arial Narrow" w:cs="Times New Roman"/>
          <w:b/>
          <w:color w:val="000000"/>
          <w:sz w:val="26"/>
          <w:szCs w:val="26"/>
          <w:lang w:val="es-MX" w:eastAsia="es-ES"/>
        </w:rPr>
        <w:t>Diciembre</w:t>
      </w:r>
      <w:proofErr w:type="gramEnd"/>
      <w:r w:rsidRPr="00B20092">
        <w:rPr>
          <w:rFonts w:ascii="Arial Narrow" w:hAnsi="Arial Narrow" w:cs="Times New Roman"/>
          <w:b/>
          <w:color w:val="000000"/>
          <w:sz w:val="26"/>
          <w:szCs w:val="26"/>
          <w:lang w:val="es-MX" w:eastAsia="es-ES"/>
        </w:rPr>
        <w:t xml:space="preserve"> de 2020.</w:t>
      </w:r>
    </w:p>
    <w:p w:rsidR="00800CD4" w:rsidRPr="00B20092" w:rsidRDefault="00800CD4" w:rsidP="00800CD4">
      <w:pPr>
        <w:rPr>
          <w:rFonts w:ascii="Arial Narrow" w:hAnsi="Arial Narrow" w:cs="Times New Roman"/>
          <w:b/>
          <w:color w:val="000000"/>
          <w:sz w:val="26"/>
          <w:szCs w:val="26"/>
          <w:lang w:val="es-MX" w:eastAsia="es-ES"/>
        </w:rPr>
      </w:pPr>
    </w:p>
    <w:p w:rsidR="00800CD4" w:rsidRPr="00B20092" w:rsidRDefault="00800CD4" w:rsidP="00800CD4">
      <w:pPr>
        <w:rPr>
          <w:rFonts w:ascii="Arial Narrow" w:hAnsi="Arial Narrow" w:cs="Times New Roman"/>
          <w:b/>
          <w:color w:val="000000"/>
          <w:sz w:val="26"/>
          <w:szCs w:val="26"/>
          <w:lang w:val="es-MX" w:eastAsia="es-ES"/>
        </w:rPr>
      </w:pPr>
      <w:r w:rsidRPr="00B20092">
        <w:rPr>
          <w:rFonts w:ascii="Arial Narrow" w:hAnsi="Arial Narrow" w:cs="Times New Roman"/>
          <w:b/>
          <w:color w:val="000000"/>
          <w:sz w:val="26"/>
          <w:szCs w:val="26"/>
          <w:lang w:val="es-MX" w:eastAsia="es-ES"/>
        </w:rPr>
        <w:t>Decreto No. 97</w:t>
      </w:r>
      <w:r>
        <w:rPr>
          <w:rFonts w:ascii="Arial Narrow" w:hAnsi="Arial Narrow" w:cs="Times New Roman"/>
          <w:b/>
          <w:color w:val="000000"/>
          <w:sz w:val="26"/>
          <w:szCs w:val="26"/>
          <w:lang w:val="es-MX" w:eastAsia="es-ES"/>
        </w:rPr>
        <w:t>1</w:t>
      </w:r>
    </w:p>
    <w:p w:rsidR="00800CD4" w:rsidRPr="00B20092" w:rsidRDefault="00800CD4" w:rsidP="00800CD4">
      <w:pPr>
        <w:rPr>
          <w:rFonts w:ascii="Arial Narrow" w:hAnsi="Arial Narrow" w:cs="Times New Roman"/>
          <w:b/>
          <w:color w:val="000000"/>
          <w:sz w:val="26"/>
          <w:szCs w:val="26"/>
          <w:lang w:val="es-MX" w:eastAsia="es-ES"/>
        </w:rPr>
      </w:pPr>
    </w:p>
    <w:p w:rsidR="005A29BA" w:rsidRPr="009419E0" w:rsidRDefault="005A29BA" w:rsidP="005A29BA">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30429C" w:rsidRPr="0018654E" w:rsidRDefault="0030429C" w:rsidP="003042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bookmarkStart w:id="0" w:name="_GoBack"/>
      <w:bookmarkEnd w:id="0"/>
    </w:p>
    <w:p w:rsidR="0030429C" w:rsidRDefault="0030429C" w:rsidP="00FC1CBE">
      <w:pPr>
        <w:rPr>
          <w:rFonts w:eastAsiaTheme="minorHAnsi"/>
          <w:b/>
          <w:sz w:val="24"/>
          <w:szCs w:val="24"/>
          <w:lang w:val="es-MX" w:eastAsia="en-US"/>
        </w:rPr>
      </w:pPr>
    </w:p>
    <w:p w:rsidR="0030429C" w:rsidRDefault="0030429C">
      <w:pPr>
        <w:jc w:val="left"/>
        <w:rPr>
          <w:rFonts w:eastAsiaTheme="minorHAnsi"/>
          <w:b/>
          <w:sz w:val="24"/>
          <w:szCs w:val="24"/>
          <w:lang w:val="es-MX" w:eastAsia="en-US"/>
        </w:rPr>
      </w:pPr>
      <w:r>
        <w:rPr>
          <w:rFonts w:eastAsiaTheme="minorHAnsi"/>
          <w:b/>
          <w:sz w:val="24"/>
          <w:szCs w:val="24"/>
          <w:lang w:val="es-MX" w:eastAsia="en-US"/>
        </w:rPr>
        <w:br w:type="page"/>
      </w:r>
    </w:p>
    <w:p w:rsidR="00FC1CBE" w:rsidRPr="00D82C86" w:rsidRDefault="00377351" w:rsidP="00FC1CBE">
      <w:pPr>
        <w:rPr>
          <w:rFonts w:eastAsiaTheme="minorHAnsi"/>
          <w:b/>
          <w:sz w:val="24"/>
          <w:szCs w:val="24"/>
          <w:lang w:val="es-MX" w:eastAsia="en-US"/>
        </w:rPr>
      </w:pPr>
      <w:r w:rsidRPr="00D82C86">
        <w:rPr>
          <w:rFonts w:eastAsiaTheme="minorHAnsi"/>
          <w:b/>
          <w:sz w:val="24"/>
          <w:szCs w:val="24"/>
          <w:lang w:val="es-MX" w:eastAsia="en-US"/>
        </w:rPr>
        <w:lastRenderedPageBreak/>
        <w:t xml:space="preserve">H. </w:t>
      </w:r>
      <w:r w:rsidR="00FC1CBE" w:rsidRPr="00D82C86">
        <w:rPr>
          <w:rFonts w:eastAsiaTheme="minorHAnsi"/>
          <w:b/>
          <w:sz w:val="24"/>
          <w:szCs w:val="24"/>
          <w:lang w:val="es-MX" w:eastAsia="en-US"/>
        </w:rPr>
        <w:t xml:space="preserve">PLENO DEL CONGRESO DEL ESTADO </w:t>
      </w:r>
    </w:p>
    <w:p w:rsidR="00FC1CBE" w:rsidRPr="00D82C86" w:rsidRDefault="00FC1CBE" w:rsidP="00FC1CBE">
      <w:pPr>
        <w:rPr>
          <w:rFonts w:eastAsiaTheme="minorHAnsi"/>
          <w:b/>
          <w:sz w:val="24"/>
          <w:szCs w:val="24"/>
          <w:lang w:val="es-MX" w:eastAsia="en-US"/>
        </w:rPr>
      </w:pPr>
      <w:r w:rsidRPr="00D82C86">
        <w:rPr>
          <w:rFonts w:eastAsiaTheme="minorHAnsi"/>
          <w:b/>
          <w:sz w:val="24"/>
          <w:szCs w:val="24"/>
          <w:lang w:val="es-MX" w:eastAsia="en-US"/>
        </w:rPr>
        <w:t>DE COAHUILA DE ZARAGOZA.</w:t>
      </w:r>
    </w:p>
    <w:p w:rsidR="00FC1CBE" w:rsidRPr="00D82C86" w:rsidRDefault="00FC1CBE" w:rsidP="00FC1CBE">
      <w:pPr>
        <w:rPr>
          <w:rFonts w:eastAsiaTheme="minorHAnsi"/>
          <w:b/>
          <w:sz w:val="24"/>
          <w:szCs w:val="24"/>
          <w:lang w:val="es-MX" w:eastAsia="en-US"/>
        </w:rPr>
      </w:pPr>
      <w:r w:rsidRPr="00D82C86">
        <w:rPr>
          <w:rFonts w:eastAsiaTheme="minorHAnsi"/>
          <w:b/>
          <w:sz w:val="24"/>
          <w:szCs w:val="24"/>
          <w:lang w:val="es-MX" w:eastAsia="en-US"/>
        </w:rPr>
        <w:t xml:space="preserve">PRESENTE </w:t>
      </w:r>
    </w:p>
    <w:p w:rsidR="00FC1CBE" w:rsidRPr="00D82C86" w:rsidRDefault="00FC1CBE" w:rsidP="00FC1CBE">
      <w:pPr>
        <w:rPr>
          <w:rFonts w:eastAsiaTheme="minorHAnsi"/>
          <w:sz w:val="24"/>
          <w:szCs w:val="24"/>
          <w:lang w:val="es-MX" w:eastAsia="en-US"/>
        </w:rPr>
      </w:pPr>
    </w:p>
    <w:p w:rsidR="00387ADB" w:rsidRPr="00D82C86" w:rsidRDefault="00FC1CBE" w:rsidP="008D3082">
      <w:pPr>
        <w:spacing w:line="360" w:lineRule="auto"/>
        <w:rPr>
          <w:rFonts w:eastAsiaTheme="minorHAnsi"/>
          <w:sz w:val="24"/>
          <w:szCs w:val="24"/>
          <w:lang w:val="es-MX" w:eastAsia="en-US"/>
        </w:rPr>
      </w:pPr>
      <w:r w:rsidRPr="00D82C86">
        <w:rPr>
          <w:rFonts w:eastAsiaTheme="minorHAnsi"/>
          <w:sz w:val="24"/>
          <w:szCs w:val="24"/>
          <w:lang w:val="es-MX" w:eastAsia="en-US"/>
        </w:rPr>
        <w:t xml:space="preserve">Iniciativa que presenta la diputada Blanca </w:t>
      </w:r>
      <w:proofErr w:type="spellStart"/>
      <w:r w:rsidRPr="00D82C86">
        <w:rPr>
          <w:rFonts w:eastAsiaTheme="minorHAnsi"/>
          <w:sz w:val="24"/>
          <w:szCs w:val="24"/>
          <w:lang w:val="es-MX" w:eastAsia="en-US"/>
        </w:rPr>
        <w:t>Eppen</w:t>
      </w:r>
      <w:proofErr w:type="spellEnd"/>
      <w:r w:rsidRPr="00D82C86">
        <w:rPr>
          <w:rFonts w:eastAsiaTheme="minorHAnsi"/>
          <w:sz w:val="24"/>
          <w:szCs w:val="24"/>
          <w:lang w:val="es-MX"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D82C86">
        <w:rPr>
          <w:sz w:val="24"/>
          <w:szCs w:val="24"/>
          <w:lang w:val="es-MX" w:eastAsia="es-ES"/>
        </w:rPr>
        <w:t>21 Fracción IV y 152 fracción I</w:t>
      </w:r>
      <w:r w:rsidRPr="00D82C86">
        <w:rPr>
          <w:rFonts w:eastAsiaTheme="minorHAnsi"/>
          <w:sz w:val="24"/>
          <w:szCs w:val="24"/>
          <w:lang w:val="es-MX" w:eastAsia="en-US"/>
        </w:rPr>
        <w:t xml:space="preserve">  de la Ley Orgánica del Congreso Local, presento INICIATIVA CON PROYECTO DE DECRETO por la que se </w:t>
      </w:r>
      <w:r w:rsidR="00387ADB" w:rsidRPr="00D82C86">
        <w:rPr>
          <w:rFonts w:eastAsiaTheme="minorHAnsi"/>
          <w:sz w:val="24"/>
          <w:szCs w:val="24"/>
          <w:lang w:val="es-MX" w:eastAsia="en-US"/>
        </w:rPr>
        <w:t xml:space="preserve"> adiciona</w:t>
      </w:r>
      <w:r w:rsidR="00D11A43" w:rsidRPr="00D82C86">
        <w:rPr>
          <w:rFonts w:eastAsiaTheme="minorHAnsi"/>
          <w:sz w:val="24"/>
          <w:szCs w:val="24"/>
          <w:lang w:val="es-MX" w:eastAsia="en-US"/>
        </w:rPr>
        <w:t xml:space="preserve"> el Capítulo Primero </w:t>
      </w:r>
      <w:r w:rsidR="00504AED" w:rsidRPr="00D82C86">
        <w:rPr>
          <w:rFonts w:eastAsiaTheme="minorHAnsi"/>
          <w:sz w:val="24"/>
          <w:szCs w:val="24"/>
          <w:lang w:val="es-MX" w:eastAsia="en-US"/>
        </w:rPr>
        <w:t>b</w:t>
      </w:r>
      <w:r w:rsidR="00D11A43" w:rsidRPr="00D82C86">
        <w:rPr>
          <w:rFonts w:eastAsiaTheme="minorHAnsi"/>
          <w:sz w:val="24"/>
          <w:szCs w:val="24"/>
          <w:lang w:val="es-MX" w:eastAsia="en-US"/>
        </w:rPr>
        <w:t>is y los artículos</w:t>
      </w:r>
      <w:r w:rsidR="00A2130E" w:rsidRPr="00D82C86">
        <w:rPr>
          <w:rFonts w:eastAsiaTheme="minorHAnsi"/>
          <w:sz w:val="24"/>
          <w:szCs w:val="24"/>
          <w:lang w:val="es-MX" w:eastAsia="en-US"/>
        </w:rPr>
        <w:t xml:space="preserve"> del</w:t>
      </w:r>
      <w:r w:rsidR="00D11A43" w:rsidRPr="00D82C86">
        <w:rPr>
          <w:rFonts w:eastAsiaTheme="minorHAnsi"/>
          <w:sz w:val="24"/>
          <w:szCs w:val="24"/>
          <w:lang w:val="es-MX" w:eastAsia="en-US"/>
        </w:rPr>
        <w:t xml:space="preserve"> 20 </w:t>
      </w:r>
      <w:r w:rsidR="00504AED" w:rsidRPr="00D82C86">
        <w:rPr>
          <w:rFonts w:eastAsiaTheme="minorHAnsi"/>
          <w:sz w:val="24"/>
          <w:szCs w:val="24"/>
          <w:lang w:val="es-MX" w:eastAsia="en-US"/>
        </w:rPr>
        <w:t>b</w:t>
      </w:r>
      <w:r w:rsidR="00D11A43" w:rsidRPr="00D82C86">
        <w:rPr>
          <w:rFonts w:eastAsiaTheme="minorHAnsi"/>
          <w:sz w:val="24"/>
          <w:szCs w:val="24"/>
          <w:lang w:val="es-MX" w:eastAsia="en-US"/>
        </w:rPr>
        <w:t xml:space="preserve">is al 20 </w:t>
      </w:r>
      <w:proofErr w:type="spellStart"/>
      <w:r w:rsidR="00D11A43" w:rsidRPr="00D82C86">
        <w:rPr>
          <w:rFonts w:eastAsiaTheme="minorHAnsi"/>
          <w:sz w:val="24"/>
          <w:szCs w:val="24"/>
          <w:lang w:val="es-MX" w:eastAsia="en-US"/>
        </w:rPr>
        <w:t>quater</w:t>
      </w:r>
      <w:proofErr w:type="spellEnd"/>
      <w:r w:rsidR="00D11A43" w:rsidRPr="00D82C86">
        <w:rPr>
          <w:rFonts w:eastAsiaTheme="minorHAnsi"/>
          <w:sz w:val="24"/>
          <w:szCs w:val="24"/>
          <w:lang w:val="es-MX" w:eastAsia="en-US"/>
        </w:rPr>
        <w:t xml:space="preserve"> </w:t>
      </w:r>
      <w:r w:rsidR="00CC3AB5" w:rsidRPr="00D82C86">
        <w:rPr>
          <w:rFonts w:eastAsiaTheme="minorHAnsi"/>
          <w:sz w:val="24"/>
          <w:szCs w:val="24"/>
          <w:lang w:val="es-MX" w:eastAsia="en-US"/>
        </w:rPr>
        <w:t xml:space="preserve">de la Ley </w:t>
      </w:r>
      <w:r w:rsidR="007F636D" w:rsidRPr="00D82C86">
        <w:rPr>
          <w:rFonts w:eastAsiaTheme="minorHAnsi"/>
          <w:sz w:val="24"/>
          <w:szCs w:val="24"/>
          <w:lang w:val="es-MX" w:eastAsia="en-US"/>
        </w:rPr>
        <w:t>de Igualdad entre Mujeres y Hombres en el Estado de Coahuila</w:t>
      </w:r>
      <w:r w:rsidR="008E21B3" w:rsidRPr="00D82C86">
        <w:rPr>
          <w:rFonts w:eastAsiaTheme="minorHAnsi"/>
          <w:sz w:val="24"/>
          <w:szCs w:val="24"/>
          <w:lang w:val="es-MX" w:eastAsia="en-US"/>
        </w:rPr>
        <w:t xml:space="preserve"> de Zaragoza</w:t>
      </w:r>
      <w:r w:rsidRPr="00D82C86">
        <w:rPr>
          <w:rFonts w:eastAsiaTheme="minorHAnsi"/>
          <w:sz w:val="24"/>
          <w:szCs w:val="24"/>
          <w:lang w:val="es-MX" w:eastAsia="en-US"/>
        </w:rPr>
        <w:t>; con base en la siguiente:</w:t>
      </w:r>
    </w:p>
    <w:p w:rsidR="00FC1CBE" w:rsidRPr="00D82C86" w:rsidRDefault="00FC1CBE" w:rsidP="008D3082">
      <w:pPr>
        <w:spacing w:line="360" w:lineRule="auto"/>
        <w:rPr>
          <w:rFonts w:eastAsiaTheme="minorHAnsi"/>
          <w:b/>
          <w:sz w:val="24"/>
          <w:szCs w:val="24"/>
          <w:lang w:val="es-MX" w:eastAsia="en-US"/>
        </w:rPr>
      </w:pPr>
    </w:p>
    <w:p w:rsidR="00387ADB" w:rsidRPr="00D82C86" w:rsidRDefault="00FC1CBE" w:rsidP="00D11A43">
      <w:pPr>
        <w:spacing w:line="360" w:lineRule="auto"/>
        <w:jc w:val="center"/>
        <w:rPr>
          <w:rFonts w:eastAsiaTheme="minorHAnsi"/>
          <w:b/>
          <w:sz w:val="24"/>
          <w:szCs w:val="24"/>
          <w:lang w:val="es-MX" w:eastAsia="en-US"/>
        </w:rPr>
      </w:pPr>
      <w:r w:rsidRPr="00D82C86">
        <w:rPr>
          <w:rFonts w:eastAsiaTheme="minorHAnsi"/>
          <w:b/>
          <w:sz w:val="24"/>
          <w:szCs w:val="24"/>
          <w:lang w:val="es-MX" w:eastAsia="en-US"/>
        </w:rPr>
        <w:t>EXPOSICIÓN DE MOTIVOS</w:t>
      </w:r>
    </w:p>
    <w:p w:rsidR="00D11A43" w:rsidRPr="00D82C86" w:rsidRDefault="00D11A43" w:rsidP="00D11A43">
      <w:pPr>
        <w:spacing w:line="360" w:lineRule="auto"/>
        <w:jc w:val="center"/>
        <w:rPr>
          <w:rFonts w:eastAsiaTheme="minorHAnsi"/>
          <w:b/>
          <w:sz w:val="24"/>
          <w:szCs w:val="24"/>
          <w:lang w:val="es-MX" w:eastAsia="en-US"/>
        </w:rPr>
      </w:pPr>
    </w:p>
    <w:p w:rsidR="003D4475" w:rsidRPr="00D82C86" w:rsidRDefault="003D4475" w:rsidP="0006545D">
      <w:pPr>
        <w:spacing w:line="360" w:lineRule="auto"/>
        <w:rPr>
          <w:rFonts w:eastAsiaTheme="minorHAnsi"/>
          <w:sz w:val="24"/>
          <w:szCs w:val="24"/>
          <w:lang w:val="es-MX" w:eastAsia="en-US"/>
        </w:rPr>
      </w:pPr>
      <w:r w:rsidRPr="00D82C86">
        <w:rPr>
          <w:rFonts w:eastAsiaTheme="minorHAnsi"/>
          <w:sz w:val="24"/>
          <w:szCs w:val="24"/>
          <w:lang w:val="es-MX" w:eastAsia="en-US"/>
        </w:rPr>
        <w:t xml:space="preserve">En los años recientes se han llevado a cabo diversas reformas a la Constitución General de la Republica, a fin de avanzar más en las acciones afirmativas de paridad de género, no limitándose solo a lo que ya estaba establecido en relación a los poderes legislativos y los municipios. </w:t>
      </w:r>
    </w:p>
    <w:p w:rsidR="00387ADB" w:rsidRPr="00D82C86" w:rsidRDefault="00387ADB" w:rsidP="0006545D">
      <w:pPr>
        <w:spacing w:line="360" w:lineRule="auto"/>
        <w:rPr>
          <w:rFonts w:eastAsiaTheme="minorHAnsi"/>
          <w:sz w:val="24"/>
          <w:szCs w:val="24"/>
          <w:lang w:val="es-MX" w:eastAsia="en-US"/>
        </w:rPr>
      </w:pPr>
    </w:p>
    <w:p w:rsidR="003D4475" w:rsidRPr="00D82C86" w:rsidRDefault="003D4475" w:rsidP="0006545D">
      <w:pPr>
        <w:spacing w:line="360" w:lineRule="auto"/>
        <w:rPr>
          <w:rFonts w:eastAsiaTheme="minorHAnsi"/>
          <w:sz w:val="24"/>
          <w:szCs w:val="24"/>
          <w:lang w:val="es-MX" w:eastAsia="en-US"/>
        </w:rPr>
      </w:pPr>
      <w:r w:rsidRPr="00D82C86">
        <w:rPr>
          <w:rFonts w:eastAsiaTheme="minorHAnsi"/>
          <w:sz w:val="24"/>
          <w:szCs w:val="24"/>
          <w:lang w:val="es-MX" w:eastAsia="en-US"/>
        </w:rPr>
        <w:t>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w:t>
      </w:r>
      <w:r w:rsidR="0080245E" w:rsidRPr="00D82C86">
        <w:rPr>
          <w:rFonts w:eastAsiaTheme="minorHAnsi"/>
          <w:sz w:val="24"/>
          <w:szCs w:val="24"/>
          <w:lang w:val="es-MX" w:eastAsia="en-US"/>
        </w:rPr>
        <w:t>,  estableciendo la paridad de género para la Suprema Corte, los municipios con población indígena, los organismo autónomos, los partidos políticos y otras instancias.</w:t>
      </w:r>
    </w:p>
    <w:p w:rsidR="0080245E" w:rsidRPr="00D82C86" w:rsidRDefault="0080245E" w:rsidP="0006545D">
      <w:pPr>
        <w:spacing w:line="360" w:lineRule="auto"/>
        <w:rPr>
          <w:rFonts w:eastAsiaTheme="minorHAnsi"/>
          <w:sz w:val="24"/>
          <w:szCs w:val="24"/>
          <w:lang w:val="es-MX" w:eastAsia="en-US"/>
        </w:rPr>
      </w:pPr>
    </w:p>
    <w:p w:rsidR="0080245E" w:rsidRPr="00D82C86" w:rsidRDefault="0080245E" w:rsidP="0006545D">
      <w:pPr>
        <w:spacing w:line="360" w:lineRule="auto"/>
        <w:rPr>
          <w:rFonts w:eastAsiaTheme="minorHAnsi"/>
          <w:sz w:val="24"/>
          <w:szCs w:val="24"/>
          <w:lang w:val="es-MX" w:eastAsia="en-US"/>
        </w:rPr>
      </w:pPr>
      <w:r w:rsidRPr="00D82C86">
        <w:rPr>
          <w:rFonts w:eastAsiaTheme="minorHAnsi"/>
          <w:sz w:val="24"/>
          <w:szCs w:val="24"/>
          <w:lang w:val="es-MX" w:eastAsia="en-US"/>
        </w:rPr>
        <w:lastRenderedPageBreak/>
        <w:t>A raíz de este muy importante avance, y en base a los deberes impuesto en la transitoriedad de la reforma, se comenzaron a modificar los marcos legislativos locales para adecuar las leyes de los estados a los nuevos paradigmas en materia de paridad.</w:t>
      </w:r>
    </w:p>
    <w:p w:rsidR="0080245E" w:rsidRPr="00D82C86" w:rsidRDefault="0080245E" w:rsidP="0006545D">
      <w:pPr>
        <w:spacing w:line="360" w:lineRule="auto"/>
        <w:rPr>
          <w:rFonts w:eastAsiaTheme="minorHAnsi"/>
          <w:sz w:val="24"/>
          <w:szCs w:val="24"/>
          <w:lang w:val="es-MX" w:eastAsia="en-US"/>
        </w:rPr>
      </w:pPr>
    </w:p>
    <w:p w:rsidR="0080245E" w:rsidRPr="00D82C86" w:rsidRDefault="0080245E" w:rsidP="0006545D">
      <w:pPr>
        <w:spacing w:line="360" w:lineRule="auto"/>
        <w:rPr>
          <w:rFonts w:eastAsiaTheme="minorHAnsi"/>
          <w:sz w:val="24"/>
          <w:szCs w:val="24"/>
          <w:lang w:val="es-MX" w:eastAsia="en-US"/>
        </w:rPr>
      </w:pPr>
      <w:r w:rsidRPr="00D82C86">
        <w:rPr>
          <w:rFonts w:eastAsiaTheme="minorHAnsi"/>
          <w:sz w:val="24"/>
          <w:szCs w:val="24"/>
          <w:lang w:val="es-MX" w:eastAsia="en-US"/>
        </w:rPr>
        <w:t xml:space="preserve">En fecha más reciente, en este Poder Legislativo dimos un gran paso, con el consenso de amplios sectores sociales, partidos, grupos parlamentarios, organizaciones de la sociedad civil, el IEC y la ciudadanía, para reformar nuestro marco legislativo electoral, y armonizarlo </w:t>
      </w:r>
      <w:r w:rsidR="004C6C74" w:rsidRPr="00D82C86">
        <w:rPr>
          <w:rFonts w:eastAsiaTheme="minorHAnsi"/>
          <w:sz w:val="24"/>
          <w:szCs w:val="24"/>
          <w:lang w:val="es-MX" w:eastAsia="en-US"/>
        </w:rPr>
        <w:t>con las reformas  publicadas en el Diario Oficial de la Federación el pasado 13 de abril de 2020, que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3D4475" w:rsidRPr="00D82C86" w:rsidRDefault="003D4475" w:rsidP="0006545D">
      <w:pPr>
        <w:spacing w:line="360" w:lineRule="auto"/>
        <w:rPr>
          <w:rFonts w:eastAsiaTheme="minorHAnsi"/>
          <w:sz w:val="24"/>
          <w:szCs w:val="24"/>
          <w:lang w:val="es-MX" w:eastAsia="en-US"/>
        </w:rPr>
      </w:pPr>
    </w:p>
    <w:p w:rsidR="004C6C74" w:rsidRPr="00D82C86" w:rsidRDefault="004C6C74" w:rsidP="004C6C74">
      <w:pPr>
        <w:spacing w:line="360" w:lineRule="auto"/>
        <w:rPr>
          <w:rFonts w:eastAsiaTheme="minorHAnsi"/>
          <w:sz w:val="24"/>
          <w:szCs w:val="24"/>
          <w:lang w:val="es-MX" w:eastAsia="en-US"/>
        </w:rPr>
      </w:pPr>
      <w:r w:rsidRPr="00D82C86">
        <w:rPr>
          <w:rFonts w:eastAsiaTheme="minorHAnsi"/>
          <w:sz w:val="24"/>
          <w:szCs w:val="24"/>
          <w:lang w:val="es-MX" w:eastAsia="en-US"/>
        </w:rPr>
        <w:t>En esta armonización, además de regular debidamente la violencia política en razón de género, se prop</w:t>
      </w:r>
      <w:r w:rsidR="006419B1" w:rsidRPr="00D82C86">
        <w:rPr>
          <w:rFonts w:eastAsiaTheme="minorHAnsi"/>
          <w:sz w:val="24"/>
          <w:szCs w:val="24"/>
          <w:lang w:val="es-MX" w:eastAsia="en-US"/>
        </w:rPr>
        <w:t>uso</w:t>
      </w:r>
      <w:r w:rsidRPr="00D82C86">
        <w:rPr>
          <w:rFonts w:eastAsiaTheme="minorHAnsi"/>
          <w:sz w:val="24"/>
          <w:szCs w:val="24"/>
          <w:lang w:val="es-MX" w:eastAsia="en-US"/>
        </w:rPr>
        <w:t xml:space="preserve"> la integración del Consejo General del Instituto Electoral de Coahuila con paridad de género, como lo dispone la Ley General de Instituciones y Procedimientos Electorales,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 y la alternancia de género en la integración de las magistraturas del Tribunal Electoral, permitiendo que haya una mayor participación de las mujeres en la integración de órganos colegiados.</w:t>
      </w:r>
    </w:p>
    <w:p w:rsidR="004C6C74" w:rsidRPr="00D82C86" w:rsidRDefault="004C6C74" w:rsidP="004C6C74">
      <w:pPr>
        <w:spacing w:line="360" w:lineRule="auto"/>
        <w:rPr>
          <w:rFonts w:eastAsiaTheme="minorHAnsi"/>
          <w:sz w:val="24"/>
          <w:szCs w:val="24"/>
          <w:lang w:val="es-MX" w:eastAsia="en-US"/>
        </w:rPr>
      </w:pPr>
    </w:p>
    <w:p w:rsidR="004C6C74" w:rsidRPr="00D82C86" w:rsidRDefault="004C6C74" w:rsidP="004C6C74">
      <w:pPr>
        <w:spacing w:line="360" w:lineRule="auto"/>
        <w:rPr>
          <w:rFonts w:eastAsiaTheme="minorHAnsi"/>
          <w:sz w:val="24"/>
          <w:szCs w:val="24"/>
          <w:lang w:val="es-MX" w:eastAsia="en-US"/>
        </w:rPr>
      </w:pPr>
      <w:r w:rsidRPr="00D82C86">
        <w:rPr>
          <w:rFonts w:eastAsiaTheme="minorHAnsi"/>
          <w:sz w:val="24"/>
          <w:szCs w:val="24"/>
          <w:lang w:val="es-MX" w:eastAsia="en-US"/>
        </w:rPr>
        <w:t>En proceso de dictamen se encuentran en este Congreso diversas iniciativas para garantizar la paridad de género en los órganos constitucionales autónomos.</w:t>
      </w:r>
    </w:p>
    <w:p w:rsidR="00B20DDC" w:rsidRPr="00D82C86" w:rsidRDefault="00B20DDC" w:rsidP="004C6C74">
      <w:pPr>
        <w:spacing w:line="360" w:lineRule="auto"/>
        <w:rPr>
          <w:rFonts w:eastAsiaTheme="minorHAnsi"/>
          <w:sz w:val="24"/>
          <w:szCs w:val="24"/>
          <w:lang w:val="es-MX" w:eastAsia="en-US"/>
        </w:rPr>
      </w:pPr>
    </w:p>
    <w:p w:rsidR="00B20DDC" w:rsidRPr="00D82C86" w:rsidRDefault="00B20DDC" w:rsidP="0082005A">
      <w:pPr>
        <w:spacing w:line="360" w:lineRule="auto"/>
        <w:rPr>
          <w:rFonts w:eastAsiaTheme="minorHAnsi"/>
          <w:sz w:val="24"/>
          <w:szCs w:val="24"/>
          <w:lang w:val="es-MX" w:eastAsia="en-US"/>
        </w:rPr>
      </w:pPr>
      <w:r w:rsidRPr="00D82C86">
        <w:rPr>
          <w:rFonts w:eastAsiaTheme="minorHAnsi"/>
          <w:sz w:val="24"/>
          <w:szCs w:val="24"/>
          <w:lang w:val="es-MX" w:eastAsia="en-US"/>
        </w:rPr>
        <w:lastRenderedPageBreak/>
        <w:t xml:space="preserve">Por otra parte, y atendiendo a la evolución natural que presentan las leyes de igualdad entre mujeres y hombres; encontramos que algunas entidades federativas contemplan ya en sus textos normativos el acompañamiento sustantivo, que consiste en apoyar toda queja o denuncia que se presente en materia de igualdad </w:t>
      </w:r>
      <w:r w:rsidR="0082005A" w:rsidRPr="00D82C86">
        <w:rPr>
          <w:rFonts w:eastAsiaTheme="minorHAnsi"/>
          <w:sz w:val="24"/>
          <w:szCs w:val="24"/>
          <w:lang w:val="es-MX" w:eastAsia="en-US"/>
        </w:rPr>
        <w:t>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w:t>
      </w:r>
    </w:p>
    <w:p w:rsidR="0082005A" w:rsidRPr="00D82C86" w:rsidRDefault="0082005A" w:rsidP="0082005A">
      <w:pPr>
        <w:spacing w:line="360" w:lineRule="auto"/>
        <w:rPr>
          <w:rFonts w:eastAsiaTheme="minorHAnsi"/>
          <w:sz w:val="24"/>
          <w:szCs w:val="24"/>
          <w:lang w:val="es-MX" w:eastAsia="en-US"/>
        </w:rPr>
      </w:pPr>
    </w:p>
    <w:p w:rsidR="0082005A" w:rsidRPr="00D82C86" w:rsidRDefault="0082005A" w:rsidP="0082005A">
      <w:pPr>
        <w:spacing w:line="360" w:lineRule="auto"/>
        <w:rPr>
          <w:rFonts w:eastAsiaTheme="minorHAnsi"/>
          <w:sz w:val="24"/>
          <w:szCs w:val="24"/>
          <w:lang w:val="es-MX" w:eastAsia="en-US"/>
        </w:rPr>
      </w:pPr>
      <w:r w:rsidRPr="00D82C86">
        <w:rPr>
          <w:rFonts w:eastAsiaTheme="minorHAnsi"/>
          <w:sz w:val="24"/>
          <w:szCs w:val="24"/>
          <w:lang w:val="es-MX" w:eastAsia="en-US"/>
        </w:rPr>
        <w:t>Como fuente de derecho comparado, citamos las leyes siguientes:</w:t>
      </w:r>
    </w:p>
    <w:p w:rsidR="0082005A" w:rsidRPr="00D82C86" w:rsidRDefault="0082005A" w:rsidP="0082005A">
      <w:pPr>
        <w:spacing w:line="360" w:lineRule="auto"/>
        <w:rPr>
          <w:rFonts w:eastAsiaTheme="minorHAnsi"/>
          <w:sz w:val="24"/>
          <w:szCs w:val="24"/>
          <w:lang w:val="es-MX" w:eastAsia="en-US"/>
        </w:rPr>
      </w:pPr>
    </w:p>
    <w:p w:rsidR="0082005A" w:rsidRPr="00D82C86" w:rsidRDefault="0082005A" w:rsidP="0082005A">
      <w:pPr>
        <w:spacing w:line="360" w:lineRule="auto"/>
        <w:rPr>
          <w:rFonts w:eastAsiaTheme="minorHAnsi"/>
          <w:sz w:val="24"/>
          <w:szCs w:val="24"/>
          <w:lang w:val="es-MX" w:eastAsia="en-US"/>
        </w:rPr>
      </w:pPr>
      <w:r w:rsidRPr="00D82C86">
        <w:rPr>
          <w:rFonts w:eastAsiaTheme="minorHAnsi"/>
          <w:sz w:val="24"/>
          <w:szCs w:val="24"/>
          <w:lang w:val="es-MX" w:eastAsia="en-US"/>
        </w:rPr>
        <w:t>Ley para la Igualdad entre Mujeres y Hombres del Estado de Quintana Roo</w:t>
      </w:r>
    </w:p>
    <w:p w:rsidR="0082005A" w:rsidRPr="00D82C86" w:rsidRDefault="0082005A" w:rsidP="0082005A">
      <w:pPr>
        <w:spacing w:line="360" w:lineRule="auto"/>
        <w:rPr>
          <w:rFonts w:eastAsiaTheme="minorHAnsi"/>
          <w:sz w:val="24"/>
          <w:szCs w:val="24"/>
          <w:lang w:val="es-MX" w:eastAsia="en-US"/>
        </w:rPr>
      </w:pPr>
    </w:p>
    <w:p w:rsidR="0082005A" w:rsidRPr="00D82C86" w:rsidRDefault="0082005A" w:rsidP="0082005A">
      <w:pPr>
        <w:spacing w:line="360" w:lineRule="auto"/>
        <w:jc w:val="center"/>
        <w:rPr>
          <w:sz w:val="24"/>
          <w:szCs w:val="24"/>
        </w:rPr>
      </w:pPr>
      <w:r w:rsidRPr="00D82C86">
        <w:rPr>
          <w:sz w:val="24"/>
          <w:szCs w:val="24"/>
        </w:rPr>
        <w:t>CAPÍTULO II</w:t>
      </w:r>
    </w:p>
    <w:p w:rsidR="0082005A" w:rsidRPr="00D82C86" w:rsidRDefault="0082005A" w:rsidP="0082005A">
      <w:pPr>
        <w:spacing w:line="360" w:lineRule="auto"/>
        <w:jc w:val="center"/>
        <w:rPr>
          <w:sz w:val="24"/>
          <w:szCs w:val="24"/>
        </w:rPr>
      </w:pPr>
      <w:r w:rsidRPr="00D82C86">
        <w:rPr>
          <w:sz w:val="24"/>
          <w:szCs w:val="24"/>
        </w:rPr>
        <w:t>DEL ACOMPAÑAMIENTO SUSTANTIVO</w:t>
      </w:r>
    </w:p>
    <w:p w:rsidR="0082005A" w:rsidRPr="00D82C86" w:rsidRDefault="0082005A" w:rsidP="0082005A">
      <w:pPr>
        <w:spacing w:line="360" w:lineRule="auto"/>
        <w:rPr>
          <w:sz w:val="24"/>
          <w:szCs w:val="24"/>
        </w:rPr>
      </w:pPr>
    </w:p>
    <w:p w:rsidR="0082005A" w:rsidRPr="00D82C86" w:rsidRDefault="0082005A" w:rsidP="0082005A">
      <w:pPr>
        <w:spacing w:line="360" w:lineRule="auto"/>
        <w:rPr>
          <w:i/>
          <w:sz w:val="24"/>
          <w:szCs w:val="24"/>
        </w:rPr>
      </w:pPr>
      <w:r w:rsidRPr="00D82C86">
        <w:rPr>
          <w:i/>
          <w:sz w:val="24"/>
          <w:szCs w:val="24"/>
        </w:rPr>
        <w:t xml:space="preserve">ARTÍCULO 44. Procede el acompañamiento sustantivo: </w:t>
      </w:r>
    </w:p>
    <w:p w:rsidR="0082005A" w:rsidRPr="00D82C86" w:rsidRDefault="0082005A" w:rsidP="0082005A">
      <w:pPr>
        <w:spacing w:line="360" w:lineRule="auto"/>
        <w:rPr>
          <w:i/>
          <w:sz w:val="24"/>
          <w:szCs w:val="24"/>
        </w:rPr>
      </w:pPr>
    </w:p>
    <w:p w:rsidR="0082005A" w:rsidRPr="00D82C86" w:rsidRDefault="0082005A" w:rsidP="0082005A">
      <w:pPr>
        <w:spacing w:line="360" w:lineRule="auto"/>
        <w:rPr>
          <w:i/>
          <w:sz w:val="24"/>
          <w:szCs w:val="24"/>
        </w:rPr>
      </w:pPr>
      <w:r w:rsidRPr="00D82C86">
        <w:rPr>
          <w:i/>
          <w:sz w:val="24"/>
          <w:szCs w:val="24"/>
        </w:rPr>
        <w:t xml:space="preserve">I. Cuando exista una queja contra instituciones públicas o privadas; </w:t>
      </w:r>
    </w:p>
    <w:p w:rsidR="0082005A" w:rsidRPr="00D82C86" w:rsidRDefault="0082005A" w:rsidP="0082005A">
      <w:pPr>
        <w:spacing w:line="360" w:lineRule="auto"/>
        <w:rPr>
          <w:i/>
          <w:sz w:val="24"/>
          <w:szCs w:val="24"/>
        </w:rPr>
      </w:pPr>
      <w:r w:rsidRPr="00D82C86">
        <w:rPr>
          <w:i/>
          <w:sz w:val="24"/>
          <w:szCs w:val="24"/>
        </w:rPr>
        <w:t xml:space="preserve">II. Cuando sea resultado del seguimiento y evaluación institucional que practique la Administración Pública Estatal a través de su Ejecutivo Estatal; III. A solicitud de los municipios del Estado; </w:t>
      </w:r>
    </w:p>
    <w:p w:rsidR="0082005A" w:rsidRPr="00D82C86" w:rsidRDefault="0082005A" w:rsidP="0082005A">
      <w:pPr>
        <w:spacing w:line="360" w:lineRule="auto"/>
        <w:rPr>
          <w:i/>
          <w:sz w:val="24"/>
          <w:szCs w:val="24"/>
        </w:rPr>
      </w:pPr>
      <w:r w:rsidRPr="00D82C86">
        <w:rPr>
          <w:i/>
          <w:sz w:val="24"/>
          <w:szCs w:val="24"/>
        </w:rPr>
        <w:t xml:space="preserve">IV. Por determinación del Sistema Estatal; y V. Con motivo de la resolución que recaiga al procedimiento administrativo, independientemente de la sanción que pudiese corresponder. </w:t>
      </w:r>
    </w:p>
    <w:p w:rsidR="0082005A" w:rsidRPr="00D82C86" w:rsidRDefault="0082005A" w:rsidP="0082005A">
      <w:pPr>
        <w:spacing w:line="360" w:lineRule="auto"/>
        <w:rPr>
          <w:i/>
          <w:sz w:val="24"/>
          <w:szCs w:val="24"/>
        </w:rPr>
      </w:pPr>
    </w:p>
    <w:p w:rsidR="0082005A" w:rsidRPr="00D82C86" w:rsidRDefault="0082005A" w:rsidP="0082005A">
      <w:pPr>
        <w:spacing w:line="360" w:lineRule="auto"/>
        <w:rPr>
          <w:i/>
          <w:sz w:val="24"/>
          <w:szCs w:val="24"/>
        </w:rPr>
      </w:pPr>
      <w:r w:rsidRPr="00D82C86">
        <w:rPr>
          <w:i/>
          <w:sz w:val="24"/>
          <w:szCs w:val="24"/>
        </w:rPr>
        <w:t xml:space="preserve">ARTÍCULO 45. El acompañamiento sustantivo en materia de igualdad, es el que se efectúa para: </w:t>
      </w:r>
    </w:p>
    <w:p w:rsidR="0082005A" w:rsidRPr="00D82C86" w:rsidRDefault="0082005A" w:rsidP="0082005A">
      <w:pPr>
        <w:spacing w:line="360" w:lineRule="auto"/>
        <w:rPr>
          <w:i/>
          <w:sz w:val="24"/>
          <w:szCs w:val="24"/>
        </w:rPr>
      </w:pPr>
      <w:r w:rsidRPr="00D82C86">
        <w:rPr>
          <w:i/>
          <w:sz w:val="24"/>
          <w:szCs w:val="24"/>
        </w:rPr>
        <w:t xml:space="preserve">I. Cambiar prácticas discriminatorias; </w:t>
      </w:r>
    </w:p>
    <w:p w:rsidR="0082005A" w:rsidRPr="00D82C86" w:rsidRDefault="0082005A" w:rsidP="0082005A">
      <w:pPr>
        <w:spacing w:line="360" w:lineRule="auto"/>
        <w:rPr>
          <w:i/>
          <w:sz w:val="24"/>
          <w:szCs w:val="24"/>
        </w:rPr>
      </w:pPr>
      <w:r w:rsidRPr="00D82C86">
        <w:rPr>
          <w:i/>
          <w:sz w:val="24"/>
          <w:szCs w:val="24"/>
        </w:rPr>
        <w:lastRenderedPageBreak/>
        <w:t xml:space="preserve">II. Atender las resoluciones que recaigan a las quejas presentadas contra servidores públicos; y </w:t>
      </w:r>
    </w:p>
    <w:p w:rsidR="0082005A" w:rsidRPr="00D82C86" w:rsidRDefault="0082005A" w:rsidP="0082005A">
      <w:pPr>
        <w:spacing w:line="360" w:lineRule="auto"/>
        <w:rPr>
          <w:rFonts w:eastAsiaTheme="minorHAnsi"/>
          <w:i/>
          <w:sz w:val="24"/>
          <w:szCs w:val="24"/>
          <w:lang w:val="es-MX" w:eastAsia="en-US"/>
        </w:rPr>
      </w:pPr>
      <w:r w:rsidRPr="00D82C86">
        <w:rPr>
          <w:i/>
          <w:sz w:val="24"/>
          <w:szCs w:val="24"/>
        </w:rPr>
        <w:t>III. Atender las recomendaciones que efectúe el Sistema Estatal, por la presentación de quejas de organizaciones privadas o de la sociedad civil, contra prácticas de desigualdad y discriminación.</w:t>
      </w:r>
    </w:p>
    <w:p w:rsidR="0082005A" w:rsidRPr="00D82C86" w:rsidRDefault="0082005A" w:rsidP="0082005A">
      <w:pPr>
        <w:spacing w:line="360" w:lineRule="auto"/>
        <w:rPr>
          <w:rFonts w:eastAsiaTheme="minorHAnsi"/>
          <w:i/>
          <w:sz w:val="24"/>
          <w:szCs w:val="24"/>
          <w:lang w:val="es-MX" w:eastAsia="en-US"/>
        </w:rPr>
      </w:pPr>
    </w:p>
    <w:p w:rsidR="0082005A" w:rsidRPr="00D82C86" w:rsidRDefault="0082005A" w:rsidP="0082005A">
      <w:pPr>
        <w:spacing w:line="360" w:lineRule="auto"/>
        <w:rPr>
          <w:i/>
          <w:sz w:val="24"/>
          <w:szCs w:val="24"/>
        </w:rPr>
      </w:pPr>
      <w:r w:rsidRPr="00D82C86">
        <w:rPr>
          <w:i/>
          <w:sz w:val="24"/>
          <w:szCs w:val="24"/>
        </w:rPr>
        <w:t xml:space="preserve">ARTÍCULO 46. Con motivo del acompañamiento sustantivo, el Instituto en términos de la Ley y su reglamento deberá: </w:t>
      </w:r>
    </w:p>
    <w:p w:rsidR="0082005A" w:rsidRPr="00D82C86" w:rsidRDefault="0082005A" w:rsidP="0082005A">
      <w:pPr>
        <w:spacing w:line="360" w:lineRule="auto"/>
        <w:rPr>
          <w:i/>
          <w:sz w:val="24"/>
          <w:szCs w:val="24"/>
        </w:rPr>
      </w:pPr>
      <w:r w:rsidRPr="00D82C86">
        <w:rPr>
          <w:i/>
          <w:sz w:val="24"/>
          <w:szCs w:val="24"/>
        </w:rPr>
        <w:t xml:space="preserve">I. Solicitar a la institución su plan correctivo; </w:t>
      </w:r>
    </w:p>
    <w:p w:rsidR="0082005A" w:rsidRPr="00D82C86" w:rsidRDefault="0082005A" w:rsidP="0082005A">
      <w:pPr>
        <w:spacing w:line="360" w:lineRule="auto"/>
        <w:rPr>
          <w:i/>
          <w:sz w:val="24"/>
          <w:szCs w:val="24"/>
        </w:rPr>
      </w:pPr>
      <w:r w:rsidRPr="00D82C86">
        <w:rPr>
          <w:i/>
          <w:sz w:val="24"/>
          <w:szCs w:val="24"/>
        </w:rPr>
        <w:t xml:space="preserve">II. Efectuar las recomendaciones que considere procedentes para eliminar el motivo de la desigualdad; </w:t>
      </w:r>
    </w:p>
    <w:p w:rsidR="0082005A" w:rsidRPr="00D82C86" w:rsidRDefault="0082005A" w:rsidP="0082005A">
      <w:pPr>
        <w:spacing w:line="360" w:lineRule="auto"/>
        <w:rPr>
          <w:i/>
          <w:sz w:val="24"/>
          <w:szCs w:val="24"/>
        </w:rPr>
      </w:pPr>
      <w:r w:rsidRPr="00D82C86">
        <w:rPr>
          <w:i/>
          <w:sz w:val="24"/>
          <w:szCs w:val="24"/>
        </w:rPr>
        <w:t xml:space="preserve">III. Realizar el monitoreo para la observancia y seguimiento a favor de la parte agraviada; y </w:t>
      </w:r>
    </w:p>
    <w:p w:rsidR="0082005A" w:rsidRPr="00D82C86" w:rsidRDefault="0082005A" w:rsidP="0082005A">
      <w:pPr>
        <w:spacing w:line="360" w:lineRule="auto"/>
        <w:rPr>
          <w:i/>
          <w:sz w:val="24"/>
          <w:szCs w:val="24"/>
        </w:rPr>
      </w:pPr>
      <w:r w:rsidRPr="00D82C86">
        <w:rPr>
          <w:i/>
          <w:sz w:val="24"/>
          <w:szCs w:val="24"/>
        </w:rPr>
        <w:t>IV. Designar al o la Oficial de Género, o solicitar un informe al oficial existente o asignado a la institución.</w:t>
      </w:r>
    </w:p>
    <w:p w:rsidR="0082005A" w:rsidRPr="00D82C86" w:rsidRDefault="0082005A" w:rsidP="0082005A">
      <w:pPr>
        <w:spacing w:line="360" w:lineRule="auto"/>
        <w:rPr>
          <w:rFonts w:eastAsiaTheme="minorHAnsi"/>
          <w:sz w:val="24"/>
          <w:szCs w:val="24"/>
          <w:lang w:val="es-MX" w:eastAsia="en-US"/>
        </w:rPr>
      </w:pPr>
    </w:p>
    <w:p w:rsidR="0082005A" w:rsidRPr="00D82C86" w:rsidRDefault="00394DE8" w:rsidP="0082005A">
      <w:pPr>
        <w:spacing w:line="360" w:lineRule="auto"/>
        <w:rPr>
          <w:rFonts w:eastAsiaTheme="minorHAnsi"/>
          <w:sz w:val="24"/>
          <w:szCs w:val="24"/>
          <w:lang w:val="es-MX" w:eastAsia="en-US"/>
        </w:rPr>
      </w:pPr>
      <w:r w:rsidRPr="00D82C86">
        <w:rPr>
          <w:rFonts w:eastAsiaTheme="minorHAnsi"/>
          <w:sz w:val="24"/>
          <w:szCs w:val="24"/>
          <w:lang w:val="es-MX" w:eastAsia="en-US"/>
        </w:rPr>
        <w:t>Ley de Igualdad entre Mujeres y Hombres en el Estado de Durango</w:t>
      </w:r>
    </w:p>
    <w:p w:rsidR="00394DE8" w:rsidRPr="00D82C86" w:rsidRDefault="00394DE8" w:rsidP="0082005A">
      <w:pPr>
        <w:spacing w:line="360" w:lineRule="auto"/>
        <w:rPr>
          <w:rFonts w:eastAsiaTheme="minorHAnsi"/>
          <w:sz w:val="24"/>
          <w:szCs w:val="24"/>
          <w:lang w:val="es-MX" w:eastAsia="en-US"/>
        </w:rPr>
      </w:pPr>
    </w:p>
    <w:p w:rsidR="00394DE8" w:rsidRPr="00D82C86" w:rsidRDefault="00394DE8" w:rsidP="00394DE8">
      <w:pPr>
        <w:pStyle w:val="Texto"/>
        <w:spacing w:after="0" w:line="240" w:lineRule="auto"/>
        <w:ind w:firstLine="0"/>
        <w:jc w:val="center"/>
        <w:rPr>
          <w:rFonts w:cs="Arial"/>
          <w:b/>
          <w:i/>
          <w:sz w:val="24"/>
          <w:szCs w:val="24"/>
        </w:rPr>
      </w:pPr>
      <w:r w:rsidRPr="00D82C86">
        <w:rPr>
          <w:rFonts w:cs="Arial"/>
          <w:b/>
          <w:i/>
          <w:sz w:val="24"/>
          <w:szCs w:val="24"/>
        </w:rPr>
        <w:t>CAPÍTULO II</w:t>
      </w:r>
    </w:p>
    <w:p w:rsidR="00394DE8" w:rsidRPr="00D82C86" w:rsidRDefault="00394DE8" w:rsidP="00394DE8">
      <w:pPr>
        <w:pStyle w:val="Texto"/>
        <w:spacing w:after="0" w:line="240" w:lineRule="auto"/>
        <w:ind w:firstLine="0"/>
        <w:jc w:val="center"/>
        <w:rPr>
          <w:rFonts w:cs="Arial"/>
          <w:b/>
          <w:i/>
          <w:sz w:val="24"/>
          <w:szCs w:val="24"/>
        </w:rPr>
      </w:pPr>
      <w:r w:rsidRPr="00D82C86">
        <w:rPr>
          <w:rFonts w:cs="Arial"/>
          <w:b/>
          <w:i/>
          <w:sz w:val="24"/>
          <w:szCs w:val="24"/>
        </w:rPr>
        <w:t>DEL ACOMPAÑAMIENTO SUSTANTIVO</w:t>
      </w:r>
    </w:p>
    <w:p w:rsidR="00394DE8" w:rsidRPr="00D82C86" w:rsidRDefault="00394DE8" w:rsidP="00394DE8">
      <w:pPr>
        <w:pStyle w:val="Texto"/>
        <w:spacing w:after="0" w:line="240" w:lineRule="auto"/>
        <w:ind w:firstLine="0"/>
        <w:jc w:val="center"/>
        <w:rPr>
          <w:rFonts w:cs="Arial"/>
          <w:b/>
          <w:i/>
          <w:sz w:val="24"/>
          <w:szCs w:val="24"/>
        </w:rPr>
      </w:pPr>
    </w:p>
    <w:p w:rsidR="00394DE8" w:rsidRPr="00D82C86" w:rsidRDefault="00394DE8" w:rsidP="00394DE8">
      <w:pPr>
        <w:pStyle w:val="Texto"/>
        <w:spacing w:after="0" w:line="240" w:lineRule="auto"/>
        <w:ind w:firstLine="0"/>
        <w:rPr>
          <w:rFonts w:cs="Arial"/>
          <w:i/>
          <w:sz w:val="24"/>
          <w:szCs w:val="24"/>
        </w:rPr>
      </w:pPr>
      <w:r w:rsidRPr="00D82C86">
        <w:rPr>
          <w:rFonts w:cs="Arial"/>
          <w:b/>
          <w:i/>
          <w:sz w:val="24"/>
          <w:szCs w:val="24"/>
        </w:rPr>
        <w:t>ARTÍCULO 36.</w:t>
      </w:r>
      <w:r w:rsidRPr="00D82C86">
        <w:rPr>
          <w:rFonts w:cs="Arial"/>
          <w:i/>
          <w:sz w:val="24"/>
          <w:szCs w:val="24"/>
        </w:rPr>
        <w:t xml:space="preserve"> El acompañamiento sustantivo en materia de igualdad, es el que se efectúa para:</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rPr>
        <w:t>Cambiar prácticas discriminatorias o tratos diferenciados;</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rPr>
        <w:t>Atender las resoluciones que recaigan a las quejas presentadas contra la administración pública estatal; y</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rPr>
        <w:t>Atender las recomendaciones que efectúa la comisión por quejas de prácticas de desigualdad y discriminación de organizaciones privadas o de particulares.</w:t>
      </w:r>
    </w:p>
    <w:p w:rsidR="00394DE8" w:rsidRPr="00D82C86" w:rsidRDefault="00394DE8" w:rsidP="00394DE8">
      <w:pPr>
        <w:pStyle w:val="Texto"/>
        <w:spacing w:after="0" w:line="240" w:lineRule="auto"/>
        <w:ind w:left="288" w:firstLine="0"/>
        <w:rPr>
          <w:rFonts w:cs="Arial"/>
          <w:i/>
          <w:sz w:val="24"/>
          <w:szCs w:val="24"/>
        </w:rPr>
      </w:pPr>
    </w:p>
    <w:p w:rsidR="00394DE8" w:rsidRPr="00D82C86" w:rsidRDefault="00394DE8" w:rsidP="00394DE8">
      <w:pPr>
        <w:pStyle w:val="Texto"/>
        <w:spacing w:after="0" w:line="240" w:lineRule="auto"/>
        <w:ind w:firstLine="0"/>
        <w:rPr>
          <w:rFonts w:cs="Arial"/>
          <w:i/>
          <w:sz w:val="24"/>
          <w:szCs w:val="24"/>
        </w:rPr>
      </w:pPr>
      <w:r w:rsidRPr="00D82C86">
        <w:rPr>
          <w:rFonts w:cs="Arial"/>
          <w:b/>
          <w:i/>
          <w:sz w:val="24"/>
          <w:szCs w:val="24"/>
        </w:rPr>
        <w:t xml:space="preserve">ARTÍCULO 37. </w:t>
      </w:r>
      <w:r w:rsidRPr="00D82C86">
        <w:rPr>
          <w:rFonts w:cs="Arial"/>
          <w:i/>
          <w:sz w:val="24"/>
          <w:szCs w:val="24"/>
        </w:rPr>
        <w:t>Procede el acompañamiento sustantivo:</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8"/>
        </w:numPr>
        <w:spacing w:after="0" w:line="240" w:lineRule="auto"/>
        <w:ind w:left="0" w:firstLine="0"/>
        <w:rPr>
          <w:rFonts w:cs="Arial"/>
          <w:i/>
          <w:sz w:val="24"/>
          <w:szCs w:val="24"/>
        </w:rPr>
      </w:pPr>
      <w:r w:rsidRPr="00D82C86">
        <w:rPr>
          <w:rFonts w:cs="Arial"/>
          <w:i/>
          <w:sz w:val="24"/>
          <w:szCs w:val="24"/>
        </w:rPr>
        <w:t xml:space="preserve">Cuando exista una queja;  </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8"/>
        </w:numPr>
        <w:spacing w:after="0" w:line="240" w:lineRule="auto"/>
        <w:ind w:left="0" w:firstLine="0"/>
        <w:rPr>
          <w:rFonts w:cs="Arial"/>
          <w:i/>
          <w:sz w:val="24"/>
          <w:szCs w:val="24"/>
        </w:rPr>
      </w:pPr>
      <w:r w:rsidRPr="00D82C86">
        <w:rPr>
          <w:rFonts w:cs="Arial"/>
          <w:i/>
          <w:sz w:val="24"/>
          <w:szCs w:val="24"/>
        </w:rPr>
        <w:t xml:space="preserve">Sea resultado del seguimiento, y evaluación institucional, de la administración pública estatal </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rPr>
        <w:t>A solicitud de los municipios del Estado;</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rPr>
        <w:t>Sea resultado del procedimiento que determine el procedimiento de acompañamiento sustantivo; y</w:t>
      </w:r>
    </w:p>
    <w:p w:rsidR="00394DE8" w:rsidRPr="00D82C86" w:rsidRDefault="00394DE8" w:rsidP="00394DE8">
      <w:pPr>
        <w:pStyle w:val="Texto"/>
        <w:spacing w:after="0" w:line="240" w:lineRule="auto"/>
        <w:ind w:firstLine="0"/>
        <w:rPr>
          <w:rFonts w:cs="Arial"/>
          <w:i/>
          <w:sz w:val="24"/>
          <w:szCs w:val="24"/>
        </w:rPr>
      </w:pPr>
    </w:p>
    <w:p w:rsidR="00394DE8" w:rsidRPr="00D82C86" w:rsidRDefault="00394DE8" w:rsidP="00394DE8">
      <w:pPr>
        <w:pStyle w:val="Texto"/>
        <w:numPr>
          <w:ilvl w:val="0"/>
          <w:numId w:val="17"/>
        </w:numPr>
        <w:spacing w:after="0" w:line="240" w:lineRule="auto"/>
        <w:ind w:left="0" w:firstLine="0"/>
        <w:rPr>
          <w:rFonts w:cs="Arial"/>
          <w:i/>
          <w:sz w:val="24"/>
          <w:szCs w:val="24"/>
        </w:rPr>
      </w:pPr>
      <w:r w:rsidRPr="00D82C86">
        <w:rPr>
          <w:rFonts w:cs="Arial"/>
          <w:i/>
          <w:sz w:val="24"/>
          <w:szCs w:val="24"/>
          <w:lang w:val="es-ES_tradnl"/>
        </w:rPr>
        <w:t>Por determinación del Sistema Estatal.</w:t>
      </w:r>
    </w:p>
    <w:p w:rsidR="00394DE8" w:rsidRPr="00D82C86" w:rsidRDefault="00394DE8" w:rsidP="00394DE8">
      <w:pPr>
        <w:rPr>
          <w:i/>
          <w:sz w:val="24"/>
          <w:szCs w:val="24"/>
        </w:rPr>
      </w:pPr>
    </w:p>
    <w:p w:rsidR="00394DE8" w:rsidRPr="00D82C86" w:rsidRDefault="00394DE8" w:rsidP="00394DE8">
      <w:pPr>
        <w:rPr>
          <w:i/>
          <w:sz w:val="24"/>
          <w:szCs w:val="24"/>
        </w:rPr>
      </w:pPr>
      <w:r w:rsidRPr="00D82C86">
        <w:rPr>
          <w:b/>
          <w:i/>
          <w:sz w:val="24"/>
          <w:szCs w:val="24"/>
        </w:rPr>
        <w:t>ARTÍCULO 38.</w:t>
      </w:r>
      <w:r w:rsidRPr="00D82C86">
        <w:rPr>
          <w:i/>
          <w:sz w:val="24"/>
          <w:szCs w:val="24"/>
        </w:rPr>
        <w:t xml:space="preserve"> Con motivo del acompañamiento sustantivo, el Instituto Estatal de las Mujeres, en términos de la Ley y su reglamento deberá:</w:t>
      </w:r>
    </w:p>
    <w:p w:rsidR="00394DE8" w:rsidRPr="00D82C86" w:rsidRDefault="00394DE8" w:rsidP="00394DE8">
      <w:pPr>
        <w:rPr>
          <w:i/>
          <w:sz w:val="24"/>
          <w:szCs w:val="24"/>
        </w:rPr>
      </w:pPr>
    </w:p>
    <w:p w:rsidR="00394DE8" w:rsidRPr="00D82C86" w:rsidRDefault="00394DE8" w:rsidP="00394DE8">
      <w:pPr>
        <w:numPr>
          <w:ilvl w:val="0"/>
          <w:numId w:val="16"/>
        </w:numPr>
        <w:spacing w:after="160" w:line="259" w:lineRule="auto"/>
        <w:ind w:left="0" w:firstLine="0"/>
        <w:rPr>
          <w:i/>
          <w:sz w:val="24"/>
          <w:szCs w:val="24"/>
        </w:rPr>
      </w:pPr>
      <w:r w:rsidRPr="00D82C86">
        <w:rPr>
          <w:i/>
          <w:sz w:val="24"/>
          <w:szCs w:val="24"/>
        </w:rPr>
        <w:t>Solicitar al infractor su plan correctivo;</w:t>
      </w:r>
    </w:p>
    <w:p w:rsidR="00394DE8" w:rsidRPr="00D82C86" w:rsidRDefault="00394DE8" w:rsidP="00394DE8">
      <w:pPr>
        <w:rPr>
          <w:i/>
          <w:sz w:val="24"/>
          <w:szCs w:val="24"/>
        </w:rPr>
      </w:pPr>
    </w:p>
    <w:p w:rsidR="00394DE8" w:rsidRPr="00D82C86" w:rsidRDefault="00394DE8" w:rsidP="00394DE8">
      <w:pPr>
        <w:numPr>
          <w:ilvl w:val="0"/>
          <w:numId w:val="16"/>
        </w:numPr>
        <w:spacing w:after="160" w:line="259" w:lineRule="auto"/>
        <w:ind w:left="0" w:firstLine="0"/>
        <w:rPr>
          <w:i/>
          <w:sz w:val="24"/>
          <w:szCs w:val="24"/>
        </w:rPr>
      </w:pPr>
      <w:r w:rsidRPr="00D82C86">
        <w:rPr>
          <w:i/>
          <w:sz w:val="24"/>
          <w:szCs w:val="24"/>
        </w:rPr>
        <w:t>Cuando encuentre presuntas prácticas desiguales en las áreas de la Administración Pública, podrá dar vista para su conocimiento a la Comisión Estatal de Derechos Humanos de Durango;</w:t>
      </w:r>
    </w:p>
    <w:p w:rsidR="00394DE8" w:rsidRPr="00D82C86" w:rsidRDefault="00394DE8" w:rsidP="00394DE8">
      <w:pPr>
        <w:rPr>
          <w:i/>
          <w:sz w:val="24"/>
          <w:szCs w:val="24"/>
        </w:rPr>
      </w:pPr>
    </w:p>
    <w:p w:rsidR="00394DE8" w:rsidRPr="00D82C86" w:rsidRDefault="00394DE8" w:rsidP="00394DE8">
      <w:pPr>
        <w:numPr>
          <w:ilvl w:val="0"/>
          <w:numId w:val="16"/>
        </w:numPr>
        <w:spacing w:after="160" w:line="259" w:lineRule="auto"/>
        <w:ind w:left="0" w:firstLine="0"/>
        <w:rPr>
          <w:i/>
          <w:sz w:val="24"/>
          <w:szCs w:val="24"/>
        </w:rPr>
      </w:pPr>
      <w:r w:rsidRPr="00D82C86">
        <w:rPr>
          <w:i/>
          <w:sz w:val="24"/>
          <w:szCs w:val="24"/>
        </w:rPr>
        <w:t>Realizar el monitoreo para la observancia y seguimiento a favor de la parte quejosa; y</w:t>
      </w:r>
    </w:p>
    <w:p w:rsidR="00394DE8" w:rsidRPr="00D82C86" w:rsidRDefault="00394DE8" w:rsidP="00394DE8">
      <w:pPr>
        <w:rPr>
          <w:i/>
          <w:sz w:val="24"/>
          <w:szCs w:val="24"/>
        </w:rPr>
      </w:pPr>
    </w:p>
    <w:p w:rsidR="00394DE8" w:rsidRPr="00D82C86" w:rsidRDefault="00394DE8" w:rsidP="00394DE8">
      <w:pPr>
        <w:numPr>
          <w:ilvl w:val="0"/>
          <w:numId w:val="16"/>
        </w:numPr>
        <w:spacing w:after="160" w:line="259" w:lineRule="auto"/>
        <w:ind w:left="0" w:firstLine="0"/>
        <w:rPr>
          <w:i/>
          <w:sz w:val="24"/>
          <w:szCs w:val="24"/>
        </w:rPr>
      </w:pPr>
      <w:r w:rsidRPr="00D82C86">
        <w:rPr>
          <w:i/>
          <w:sz w:val="24"/>
          <w:szCs w:val="24"/>
        </w:rPr>
        <w:t>Designar oficial de género ex profeso.</w:t>
      </w:r>
    </w:p>
    <w:p w:rsidR="00394DE8" w:rsidRPr="00D82C86" w:rsidRDefault="00394DE8" w:rsidP="00394DE8">
      <w:pPr>
        <w:spacing w:after="160" w:line="259" w:lineRule="auto"/>
        <w:rPr>
          <w:b/>
          <w:sz w:val="24"/>
          <w:szCs w:val="24"/>
          <w:lang w:eastAsia="es-ES"/>
        </w:rPr>
      </w:pPr>
    </w:p>
    <w:p w:rsidR="003D4475" w:rsidRPr="00D82C86" w:rsidRDefault="00394DE8" w:rsidP="00781DBA">
      <w:pPr>
        <w:spacing w:after="160" w:line="259" w:lineRule="auto"/>
        <w:rPr>
          <w:sz w:val="24"/>
          <w:szCs w:val="24"/>
        </w:rPr>
      </w:pPr>
      <w:r w:rsidRPr="00D82C86">
        <w:rPr>
          <w:sz w:val="24"/>
          <w:szCs w:val="24"/>
        </w:rPr>
        <w:t xml:space="preserve">Consideramos que el Acompañamiento Sustantivo es una herramienta útil y efectiva y que debe ser incorporada a nuestra Ley </w:t>
      </w:r>
      <w:r w:rsidR="00781DBA" w:rsidRPr="00D82C86">
        <w:rPr>
          <w:sz w:val="24"/>
          <w:szCs w:val="24"/>
        </w:rPr>
        <w:t>de Igualdad entre Mujeres y Hombres en el Estado de Coahuila.</w:t>
      </w:r>
    </w:p>
    <w:p w:rsidR="00B675AE" w:rsidRPr="00D82C86" w:rsidRDefault="00B675AE" w:rsidP="0006545D">
      <w:pPr>
        <w:spacing w:line="360" w:lineRule="auto"/>
        <w:rPr>
          <w:rFonts w:eastAsiaTheme="minorHAnsi"/>
          <w:sz w:val="24"/>
          <w:szCs w:val="24"/>
          <w:lang w:val="es-MX" w:eastAsia="en-US"/>
        </w:rPr>
      </w:pPr>
    </w:p>
    <w:p w:rsidR="00FC1CBE" w:rsidRPr="00D82C86" w:rsidRDefault="00FC1CBE" w:rsidP="00FC1CBE">
      <w:pPr>
        <w:spacing w:line="276" w:lineRule="auto"/>
        <w:rPr>
          <w:rFonts w:eastAsiaTheme="minorHAnsi"/>
          <w:sz w:val="24"/>
          <w:szCs w:val="24"/>
          <w:lang w:val="es-MX" w:eastAsia="en-US"/>
        </w:rPr>
      </w:pPr>
      <w:r w:rsidRPr="00D82C86">
        <w:rPr>
          <w:rFonts w:eastAsiaTheme="minorHAnsi"/>
          <w:sz w:val="24"/>
          <w:szCs w:val="24"/>
          <w:lang w:val="es-MX" w:eastAsia="en-US"/>
        </w:rPr>
        <w:t>Por todo lo expuesto, tenemos a bien presentar la presente iniciativa con proyecto de:</w:t>
      </w:r>
    </w:p>
    <w:p w:rsidR="00FC1CBE" w:rsidRPr="00D82C86" w:rsidRDefault="00FC1CBE" w:rsidP="00FC1CBE">
      <w:pPr>
        <w:spacing w:line="276" w:lineRule="auto"/>
        <w:rPr>
          <w:rFonts w:eastAsiaTheme="minorHAnsi"/>
          <w:sz w:val="24"/>
          <w:szCs w:val="24"/>
          <w:lang w:val="es-MX" w:eastAsia="en-US"/>
        </w:rPr>
      </w:pPr>
    </w:p>
    <w:p w:rsidR="00FC1CBE" w:rsidRPr="00D82C86" w:rsidRDefault="00FC1CBE" w:rsidP="00FC1CBE">
      <w:pPr>
        <w:spacing w:line="276" w:lineRule="auto"/>
        <w:jc w:val="center"/>
        <w:rPr>
          <w:rFonts w:eastAsiaTheme="minorHAnsi"/>
          <w:b/>
          <w:sz w:val="24"/>
          <w:szCs w:val="24"/>
          <w:lang w:val="es-MX" w:eastAsia="en-US"/>
        </w:rPr>
      </w:pPr>
      <w:r w:rsidRPr="00D82C86">
        <w:rPr>
          <w:rFonts w:eastAsiaTheme="minorHAnsi"/>
          <w:b/>
          <w:sz w:val="24"/>
          <w:szCs w:val="24"/>
          <w:lang w:val="es-MX" w:eastAsia="en-US"/>
        </w:rPr>
        <w:t>DECRETO</w:t>
      </w:r>
    </w:p>
    <w:p w:rsidR="00FC1CBE" w:rsidRPr="00D82C86" w:rsidRDefault="00FC1CBE" w:rsidP="00FC1CBE">
      <w:pPr>
        <w:spacing w:line="276" w:lineRule="auto"/>
        <w:rPr>
          <w:rFonts w:eastAsiaTheme="minorHAnsi"/>
          <w:sz w:val="24"/>
          <w:szCs w:val="24"/>
          <w:lang w:val="es-MX" w:eastAsia="en-US"/>
        </w:rPr>
      </w:pPr>
    </w:p>
    <w:p w:rsidR="00FC1CBE" w:rsidRPr="00D82C86" w:rsidRDefault="00FC1CBE" w:rsidP="00FC1CBE">
      <w:pPr>
        <w:spacing w:line="276" w:lineRule="auto"/>
        <w:rPr>
          <w:rFonts w:eastAsiaTheme="minorHAnsi"/>
          <w:sz w:val="24"/>
          <w:szCs w:val="24"/>
          <w:lang w:val="es-MX" w:eastAsia="en-US"/>
        </w:rPr>
      </w:pPr>
      <w:r w:rsidRPr="00D82C86">
        <w:rPr>
          <w:rFonts w:eastAsiaTheme="minorHAnsi"/>
          <w:b/>
          <w:sz w:val="24"/>
          <w:szCs w:val="24"/>
          <w:lang w:val="es-MX" w:eastAsia="en-US"/>
        </w:rPr>
        <w:t xml:space="preserve">ARTÍCULO </w:t>
      </w:r>
      <w:r w:rsidR="002C4E2E" w:rsidRPr="00D82C86">
        <w:rPr>
          <w:rFonts w:eastAsiaTheme="minorHAnsi"/>
          <w:b/>
          <w:sz w:val="24"/>
          <w:szCs w:val="24"/>
          <w:lang w:val="es-MX" w:eastAsia="en-US"/>
        </w:rPr>
        <w:t>ÚNICO. -</w:t>
      </w:r>
      <w:r w:rsidRPr="00D82C86">
        <w:rPr>
          <w:rFonts w:eastAsiaTheme="minorHAnsi"/>
          <w:sz w:val="24"/>
          <w:szCs w:val="24"/>
          <w:lang w:val="es-MX" w:eastAsia="en-US"/>
        </w:rPr>
        <w:t xml:space="preserve"> </w:t>
      </w:r>
      <w:r w:rsidR="008E21B3" w:rsidRPr="00D82C86">
        <w:rPr>
          <w:rFonts w:eastAsiaTheme="minorHAnsi"/>
          <w:sz w:val="24"/>
          <w:szCs w:val="24"/>
          <w:lang w:val="es-MX" w:eastAsia="en-US"/>
        </w:rPr>
        <w:t>S</w:t>
      </w:r>
      <w:r w:rsidR="002C4E2E" w:rsidRPr="00D82C86">
        <w:rPr>
          <w:rFonts w:eastAsiaTheme="minorHAnsi"/>
          <w:sz w:val="24"/>
          <w:szCs w:val="24"/>
          <w:lang w:val="es-MX" w:eastAsia="en-US"/>
        </w:rPr>
        <w:t xml:space="preserve">e </w:t>
      </w:r>
      <w:r w:rsidR="00FB0B2D" w:rsidRPr="00D82C86">
        <w:rPr>
          <w:rFonts w:eastAsiaTheme="minorHAnsi"/>
          <w:sz w:val="24"/>
          <w:szCs w:val="24"/>
          <w:lang w:val="es-MX" w:eastAsia="en-US"/>
        </w:rPr>
        <w:t>adiciona el</w:t>
      </w:r>
      <w:r w:rsidR="006419B1" w:rsidRPr="00D82C86">
        <w:rPr>
          <w:rFonts w:eastAsiaTheme="minorHAnsi"/>
          <w:sz w:val="24"/>
          <w:szCs w:val="24"/>
          <w:lang w:val="es-MX" w:eastAsia="en-US"/>
        </w:rPr>
        <w:t xml:space="preserve"> Capítulo Primero </w:t>
      </w:r>
      <w:r w:rsidR="00831D2F" w:rsidRPr="00D82C86">
        <w:rPr>
          <w:rFonts w:eastAsiaTheme="minorHAnsi"/>
          <w:sz w:val="24"/>
          <w:szCs w:val="24"/>
          <w:lang w:val="es-MX" w:eastAsia="en-US"/>
        </w:rPr>
        <w:t>b</w:t>
      </w:r>
      <w:r w:rsidR="006419B1" w:rsidRPr="00D82C86">
        <w:rPr>
          <w:rFonts w:eastAsiaTheme="minorHAnsi"/>
          <w:sz w:val="24"/>
          <w:szCs w:val="24"/>
          <w:lang w:val="es-MX" w:eastAsia="en-US"/>
        </w:rPr>
        <w:t xml:space="preserve">is y los </w:t>
      </w:r>
      <w:r w:rsidR="00FB0B2D" w:rsidRPr="00D82C86">
        <w:rPr>
          <w:rFonts w:eastAsiaTheme="minorHAnsi"/>
          <w:sz w:val="24"/>
          <w:szCs w:val="24"/>
          <w:lang w:val="es-MX" w:eastAsia="en-US"/>
        </w:rPr>
        <w:t>artículo</w:t>
      </w:r>
      <w:r w:rsidR="006419B1" w:rsidRPr="00D82C86">
        <w:rPr>
          <w:rFonts w:eastAsiaTheme="minorHAnsi"/>
          <w:sz w:val="24"/>
          <w:szCs w:val="24"/>
          <w:lang w:val="es-MX" w:eastAsia="en-US"/>
        </w:rPr>
        <w:t>s</w:t>
      </w:r>
      <w:r w:rsidR="00D11A43" w:rsidRPr="00D82C86">
        <w:rPr>
          <w:rFonts w:eastAsiaTheme="minorHAnsi"/>
          <w:sz w:val="24"/>
          <w:szCs w:val="24"/>
          <w:lang w:val="es-MX" w:eastAsia="en-US"/>
        </w:rPr>
        <w:t xml:space="preserve"> del</w:t>
      </w:r>
      <w:r w:rsidR="00FB0B2D" w:rsidRPr="00D82C86">
        <w:rPr>
          <w:rFonts w:eastAsiaTheme="minorHAnsi"/>
          <w:sz w:val="24"/>
          <w:szCs w:val="24"/>
          <w:lang w:val="es-MX" w:eastAsia="en-US"/>
        </w:rPr>
        <w:t xml:space="preserve"> 20 </w:t>
      </w:r>
      <w:r w:rsidR="00831D2F" w:rsidRPr="00D82C86">
        <w:rPr>
          <w:rFonts w:eastAsiaTheme="minorHAnsi"/>
          <w:sz w:val="24"/>
          <w:szCs w:val="24"/>
          <w:lang w:val="es-MX" w:eastAsia="en-US"/>
        </w:rPr>
        <w:t>b</w:t>
      </w:r>
      <w:r w:rsidR="00FB0B2D" w:rsidRPr="00D82C86">
        <w:rPr>
          <w:rFonts w:eastAsiaTheme="minorHAnsi"/>
          <w:sz w:val="24"/>
          <w:szCs w:val="24"/>
          <w:lang w:val="es-MX" w:eastAsia="en-US"/>
        </w:rPr>
        <w:t xml:space="preserve">is al 20 </w:t>
      </w:r>
      <w:proofErr w:type="spellStart"/>
      <w:r w:rsidR="00FB0B2D" w:rsidRPr="00D82C86">
        <w:rPr>
          <w:rFonts w:eastAsiaTheme="minorHAnsi"/>
          <w:sz w:val="24"/>
          <w:szCs w:val="24"/>
          <w:lang w:val="es-MX" w:eastAsia="en-US"/>
        </w:rPr>
        <w:t>quater</w:t>
      </w:r>
      <w:proofErr w:type="spellEnd"/>
      <w:r w:rsidR="00FB0B2D" w:rsidRPr="00D82C86">
        <w:rPr>
          <w:rFonts w:eastAsiaTheme="minorHAnsi"/>
          <w:sz w:val="24"/>
          <w:szCs w:val="24"/>
          <w:lang w:val="es-MX" w:eastAsia="en-US"/>
        </w:rPr>
        <w:t xml:space="preserve"> </w:t>
      </w:r>
      <w:r w:rsidR="002C4E2E" w:rsidRPr="00D82C86">
        <w:rPr>
          <w:rFonts w:eastAsiaTheme="minorHAnsi"/>
          <w:sz w:val="24"/>
          <w:szCs w:val="24"/>
          <w:lang w:val="es-MX" w:eastAsia="en-US"/>
        </w:rPr>
        <w:t xml:space="preserve">de la Ley </w:t>
      </w:r>
      <w:r w:rsidR="006F46E7" w:rsidRPr="00D82C86">
        <w:rPr>
          <w:rFonts w:eastAsiaTheme="minorHAnsi"/>
          <w:sz w:val="24"/>
          <w:szCs w:val="24"/>
          <w:lang w:val="es-MX" w:eastAsia="en-US"/>
        </w:rPr>
        <w:t>de</w:t>
      </w:r>
      <w:r w:rsidR="002C4E2E" w:rsidRPr="00D82C86">
        <w:rPr>
          <w:rFonts w:eastAsiaTheme="minorHAnsi"/>
          <w:sz w:val="24"/>
          <w:szCs w:val="24"/>
          <w:lang w:val="es-MX" w:eastAsia="en-US"/>
        </w:rPr>
        <w:t xml:space="preserve"> Igualdad entre Mujeres y Hombres en el Estado de Coahuila</w:t>
      </w:r>
      <w:r w:rsidR="008E21B3" w:rsidRPr="00D82C86">
        <w:rPr>
          <w:rFonts w:eastAsiaTheme="minorHAnsi"/>
          <w:sz w:val="24"/>
          <w:szCs w:val="24"/>
          <w:lang w:val="es-MX" w:eastAsia="en-US"/>
        </w:rPr>
        <w:t xml:space="preserve"> de Zaragoza</w:t>
      </w:r>
      <w:r w:rsidRPr="00D82C86">
        <w:rPr>
          <w:rFonts w:eastAsiaTheme="minorHAnsi"/>
          <w:sz w:val="24"/>
          <w:szCs w:val="24"/>
          <w:lang w:val="es-MX" w:eastAsia="en-US"/>
        </w:rPr>
        <w:t>, para quedar como sigue:</w:t>
      </w:r>
    </w:p>
    <w:p w:rsidR="00FC1CBE" w:rsidRPr="00D82C86" w:rsidRDefault="00FC1CBE" w:rsidP="00FC1CBE">
      <w:pPr>
        <w:spacing w:line="276" w:lineRule="auto"/>
        <w:rPr>
          <w:rFonts w:eastAsiaTheme="minorHAnsi"/>
          <w:sz w:val="24"/>
          <w:szCs w:val="24"/>
          <w:lang w:val="es-MX" w:eastAsia="en-US"/>
        </w:rPr>
      </w:pPr>
    </w:p>
    <w:p w:rsidR="00FC1CBE" w:rsidRPr="00D82C86" w:rsidRDefault="00B675AE" w:rsidP="00FC1CBE">
      <w:pPr>
        <w:spacing w:line="276" w:lineRule="auto"/>
        <w:rPr>
          <w:rFonts w:eastAsiaTheme="minorHAnsi"/>
          <w:sz w:val="24"/>
          <w:szCs w:val="24"/>
          <w:lang w:val="es-MX" w:eastAsia="en-US"/>
        </w:rPr>
      </w:pPr>
      <w:r w:rsidRPr="00D82C86">
        <w:rPr>
          <w:rFonts w:eastAsiaTheme="minorHAnsi"/>
          <w:sz w:val="24"/>
          <w:szCs w:val="24"/>
          <w:lang w:val="es-MX" w:eastAsia="en-US"/>
        </w:rPr>
        <w:t xml:space="preserve"> </w:t>
      </w:r>
    </w:p>
    <w:p w:rsidR="00FB0B2D" w:rsidRPr="00D82C86" w:rsidRDefault="00781DBA" w:rsidP="00FB0B2D">
      <w:pPr>
        <w:jc w:val="center"/>
        <w:rPr>
          <w:b/>
          <w:sz w:val="24"/>
          <w:szCs w:val="24"/>
        </w:rPr>
      </w:pPr>
      <w:r w:rsidRPr="00D82C86">
        <w:rPr>
          <w:b/>
          <w:sz w:val="24"/>
          <w:szCs w:val="24"/>
        </w:rPr>
        <w:lastRenderedPageBreak/>
        <w:t xml:space="preserve"> </w:t>
      </w:r>
      <w:r w:rsidR="00FB0B2D" w:rsidRPr="00D82C86">
        <w:rPr>
          <w:b/>
          <w:sz w:val="24"/>
          <w:szCs w:val="24"/>
        </w:rPr>
        <w:t xml:space="preserve">Capítulo </w:t>
      </w:r>
      <w:r w:rsidR="006419B1" w:rsidRPr="00D82C86">
        <w:rPr>
          <w:b/>
          <w:sz w:val="24"/>
          <w:szCs w:val="24"/>
        </w:rPr>
        <w:t>Primero Bis</w:t>
      </w:r>
    </w:p>
    <w:p w:rsidR="00FB0B2D" w:rsidRPr="00D82C86" w:rsidRDefault="00FB0B2D" w:rsidP="00FB0B2D">
      <w:pPr>
        <w:jc w:val="center"/>
        <w:rPr>
          <w:b/>
          <w:sz w:val="24"/>
          <w:szCs w:val="24"/>
        </w:rPr>
      </w:pPr>
      <w:r w:rsidRPr="00D82C86">
        <w:rPr>
          <w:b/>
          <w:sz w:val="24"/>
          <w:szCs w:val="24"/>
        </w:rPr>
        <w:t>Del acompañamiento sustantivo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 xml:space="preserve">ARTÍCULO 20 </w:t>
      </w:r>
      <w:r w:rsidR="006419B1" w:rsidRPr="00D82C86">
        <w:rPr>
          <w:b/>
          <w:sz w:val="24"/>
          <w:szCs w:val="24"/>
        </w:rPr>
        <w:t>b</w:t>
      </w:r>
      <w:r w:rsidRPr="00D82C86">
        <w:rPr>
          <w:b/>
          <w:sz w:val="24"/>
          <w:szCs w:val="24"/>
        </w:rPr>
        <w:t>is. Acompañamiento sustantivo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 xml:space="preserve">El acompañamiento sustantivo en materia de </w:t>
      </w:r>
      <w:r w:rsidR="006419B1" w:rsidRPr="00D82C86">
        <w:rPr>
          <w:b/>
          <w:sz w:val="24"/>
          <w:szCs w:val="24"/>
        </w:rPr>
        <w:t>igualdad</w:t>
      </w:r>
      <w:r w:rsidRPr="00D82C86">
        <w:rPr>
          <w:b/>
          <w:sz w:val="24"/>
          <w:szCs w:val="24"/>
        </w:rPr>
        <w:t xml:space="preserve"> es el que se efectúa para:</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 Cambiar prácticas discriminatorias o tratos diferenciados;</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II. Atender las resoluciones que recaigan a las quejas presentadas contra la administración pública estatal; y</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III. Atender las recomendaciones que efectúa la comisión por quejas de prácticas de desigualdad y discriminación de organizaciones privadas o de particulares.</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ARTÍCULO 20 ter. Cuando procede el acompañamiento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Procede el acompañamiento sustantivo: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 xml:space="preserve">I. Cuando exista una queja;  </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 xml:space="preserve">II. Sea resultado del seguimiento, y evaluación institucional, de la administración pública estatal </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III. A solicitud de los municipios del Estado;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IV. Sea resultado del procedimiento que determine el procedimiento de acompañamiento sustantivo; y</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V. Por determinación del Sistema Estatal.</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 xml:space="preserve">ARTÍCULO 20 </w:t>
      </w:r>
      <w:proofErr w:type="spellStart"/>
      <w:r w:rsidRPr="00D82C86">
        <w:rPr>
          <w:b/>
          <w:sz w:val="24"/>
          <w:szCs w:val="24"/>
        </w:rPr>
        <w:t>quater</w:t>
      </w:r>
      <w:proofErr w:type="spellEnd"/>
      <w:r w:rsidRPr="00D82C86">
        <w:rPr>
          <w:b/>
          <w:sz w:val="24"/>
          <w:szCs w:val="24"/>
        </w:rPr>
        <w:t>. Acompañamiento del Instituto Coahuilense de las Mujeres</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Con motivo del acompañamiento sustantivo, el Instituto Coahuilense de las Mujeres, en términos de la Ley y su reglamento deberá:</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 Solicitar al infractor su plan correctivo;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II. Cuando encuentre presuntas prácticas desiguales en las áreas de la Administración Pública, podrá dar vista para su conocimiento a la Comisión Estatal de Derechos Humanos de Durango;</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III. Realizar el monitoreo para la observancia y seguimiento a favor de la parte quejosa; y</w:t>
      </w:r>
    </w:p>
    <w:p w:rsidR="00FB0B2D" w:rsidRPr="00D82C86" w:rsidRDefault="00FB0B2D" w:rsidP="00FB0B2D">
      <w:pPr>
        <w:rPr>
          <w:b/>
          <w:sz w:val="24"/>
          <w:szCs w:val="24"/>
        </w:rPr>
      </w:pPr>
    </w:p>
    <w:p w:rsidR="00FB0B2D" w:rsidRPr="00D82C86" w:rsidRDefault="00FB0B2D" w:rsidP="00FB0B2D">
      <w:pPr>
        <w:rPr>
          <w:b/>
          <w:sz w:val="24"/>
          <w:szCs w:val="24"/>
        </w:rPr>
      </w:pPr>
      <w:r w:rsidRPr="00D82C86">
        <w:rPr>
          <w:b/>
          <w:sz w:val="24"/>
          <w:szCs w:val="24"/>
        </w:rPr>
        <w:t>IV. Designar oficial de género ex profeso.</w:t>
      </w:r>
    </w:p>
    <w:p w:rsidR="00D11A43" w:rsidRPr="00D82C86" w:rsidRDefault="00D11A43" w:rsidP="00FB0B2D">
      <w:pPr>
        <w:rPr>
          <w:b/>
          <w:sz w:val="24"/>
          <w:szCs w:val="24"/>
        </w:rPr>
      </w:pPr>
    </w:p>
    <w:p w:rsidR="00D11A43" w:rsidRPr="00D82C86" w:rsidRDefault="00D11A43" w:rsidP="00FB0B2D">
      <w:pPr>
        <w:rPr>
          <w:b/>
          <w:sz w:val="24"/>
          <w:szCs w:val="24"/>
        </w:rPr>
      </w:pPr>
      <w:r w:rsidRPr="00D82C86">
        <w:rPr>
          <w:b/>
          <w:sz w:val="24"/>
          <w:szCs w:val="24"/>
        </w:rPr>
        <w:t>….</w:t>
      </w:r>
    </w:p>
    <w:p w:rsidR="00FB0B2D" w:rsidRPr="00D82C86" w:rsidRDefault="00FB0B2D" w:rsidP="00FB0B2D">
      <w:pPr>
        <w:rPr>
          <w:b/>
          <w:sz w:val="24"/>
          <w:szCs w:val="24"/>
        </w:rPr>
      </w:pPr>
    </w:p>
    <w:p w:rsidR="00E03C0C" w:rsidRPr="00D82C86" w:rsidRDefault="00D11A43" w:rsidP="00FC1CBE">
      <w:pPr>
        <w:spacing w:line="276" w:lineRule="auto"/>
        <w:rPr>
          <w:rFonts w:eastAsiaTheme="minorHAnsi"/>
          <w:b/>
          <w:sz w:val="24"/>
          <w:szCs w:val="24"/>
          <w:lang w:val="es-MX" w:eastAsia="en-US"/>
        </w:rPr>
      </w:pPr>
      <w:r w:rsidRPr="00D82C86">
        <w:rPr>
          <w:b/>
          <w:sz w:val="24"/>
          <w:szCs w:val="24"/>
        </w:rPr>
        <w:t xml:space="preserve"> </w:t>
      </w:r>
    </w:p>
    <w:p w:rsidR="00FC1CBE" w:rsidRPr="00D82C86" w:rsidRDefault="00FC1CBE" w:rsidP="00FC1CBE">
      <w:pPr>
        <w:spacing w:line="276" w:lineRule="auto"/>
        <w:jc w:val="center"/>
        <w:rPr>
          <w:rFonts w:eastAsiaTheme="minorHAnsi"/>
          <w:b/>
          <w:sz w:val="24"/>
          <w:szCs w:val="24"/>
          <w:lang w:val="es-MX" w:eastAsia="en-US"/>
        </w:rPr>
      </w:pPr>
      <w:r w:rsidRPr="00D82C86">
        <w:rPr>
          <w:rFonts w:eastAsiaTheme="minorHAnsi"/>
          <w:b/>
          <w:sz w:val="24"/>
          <w:szCs w:val="24"/>
          <w:lang w:val="es-MX" w:eastAsia="en-US"/>
        </w:rPr>
        <w:t>TRANSITORIO</w:t>
      </w:r>
    </w:p>
    <w:p w:rsidR="00FC1CBE" w:rsidRPr="00D82C86" w:rsidRDefault="00FC1CBE" w:rsidP="00FC1CBE">
      <w:pPr>
        <w:spacing w:line="276" w:lineRule="auto"/>
        <w:jc w:val="center"/>
        <w:rPr>
          <w:rFonts w:eastAsiaTheme="minorHAnsi"/>
          <w:b/>
          <w:sz w:val="24"/>
          <w:szCs w:val="24"/>
          <w:lang w:val="es-MX" w:eastAsia="en-US"/>
        </w:rPr>
      </w:pPr>
    </w:p>
    <w:p w:rsidR="00FC1CBE" w:rsidRPr="00D82C86" w:rsidRDefault="00FC1CBE" w:rsidP="00FC1CBE">
      <w:pPr>
        <w:spacing w:line="276" w:lineRule="auto"/>
        <w:rPr>
          <w:rFonts w:eastAsiaTheme="minorHAnsi"/>
          <w:sz w:val="24"/>
          <w:szCs w:val="24"/>
          <w:lang w:val="es-MX" w:eastAsia="en-US"/>
        </w:rPr>
      </w:pPr>
      <w:r w:rsidRPr="00D82C86">
        <w:rPr>
          <w:rFonts w:eastAsiaTheme="minorHAnsi"/>
          <w:b/>
          <w:sz w:val="24"/>
          <w:szCs w:val="24"/>
          <w:lang w:val="es-MX" w:eastAsia="en-US"/>
        </w:rPr>
        <w:t xml:space="preserve">Único. </w:t>
      </w:r>
      <w:r w:rsidRPr="00D82C86">
        <w:rPr>
          <w:rFonts w:eastAsiaTheme="minorHAnsi"/>
          <w:sz w:val="24"/>
          <w:szCs w:val="24"/>
          <w:lang w:val="es-MX" w:eastAsia="en-US"/>
        </w:rPr>
        <w:t>-  El presente Decreto entrará en vigor al día siguiente de su publicación en el Periódico Oficial del Estado.</w:t>
      </w:r>
    </w:p>
    <w:p w:rsidR="00FC1CBE" w:rsidRPr="00E03C0C" w:rsidRDefault="00FC1CBE" w:rsidP="00FC1CBE">
      <w:pPr>
        <w:spacing w:line="276" w:lineRule="auto"/>
        <w:rPr>
          <w:rFonts w:eastAsiaTheme="minorHAnsi"/>
          <w:lang w:val="es-MX" w:eastAsia="en-US"/>
        </w:rPr>
      </w:pPr>
    </w:p>
    <w:p w:rsidR="00D82C86" w:rsidRDefault="00D82C86" w:rsidP="00D82C86">
      <w:pPr>
        <w:spacing w:line="360" w:lineRule="auto"/>
        <w:jc w:val="center"/>
        <w:rPr>
          <w:rFonts w:eastAsia="Calibri"/>
          <w:b/>
          <w:bCs/>
          <w:sz w:val="24"/>
          <w:szCs w:val="24"/>
        </w:rPr>
      </w:pPr>
    </w:p>
    <w:p w:rsidR="00D82C86" w:rsidRPr="00D74AC5" w:rsidRDefault="00D82C86" w:rsidP="00D82C86">
      <w:pPr>
        <w:spacing w:line="360" w:lineRule="auto"/>
        <w:jc w:val="center"/>
        <w:rPr>
          <w:rFonts w:eastAsia="Calibri"/>
          <w:b/>
          <w:bCs/>
          <w:sz w:val="24"/>
          <w:szCs w:val="24"/>
        </w:rPr>
      </w:pPr>
      <w:r w:rsidRPr="00D74AC5">
        <w:rPr>
          <w:rFonts w:eastAsia="Calibri"/>
          <w:b/>
          <w:bCs/>
          <w:sz w:val="24"/>
          <w:szCs w:val="24"/>
        </w:rPr>
        <w:t>ATENTAMENTE</w:t>
      </w:r>
    </w:p>
    <w:p w:rsidR="00D82C86" w:rsidRPr="00D74AC5" w:rsidRDefault="00D82C86" w:rsidP="00D82C86">
      <w:pPr>
        <w:spacing w:line="360" w:lineRule="auto"/>
        <w:rPr>
          <w:rFonts w:eastAsia="Calibri"/>
          <w:b/>
          <w:bCs/>
          <w:sz w:val="24"/>
          <w:szCs w:val="24"/>
        </w:rPr>
      </w:pPr>
    </w:p>
    <w:p w:rsidR="00D82C86" w:rsidRDefault="00D82C86" w:rsidP="00D82C86">
      <w:pPr>
        <w:spacing w:line="360" w:lineRule="auto"/>
        <w:jc w:val="center"/>
        <w:rPr>
          <w:rFonts w:eastAsia="Calibri"/>
          <w:b/>
          <w:bCs/>
          <w:sz w:val="24"/>
          <w:szCs w:val="24"/>
        </w:rPr>
      </w:pPr>
      <w:r w:rsidRPr="00D74AC5">
        <w:rPr>
          <w:rFonts w:eastAsia="Calibri"/>
          <w:b/>
          <w:bCs/>
          <w:sz w:val="24"/>
          <w:szCs w:val="24"/>
        </w:rPr>
        <w:t>“POR UNA PATRIA ORDENADA Y GENEROSA Y UNA VIDA MEJOR Y MÁS DIGNA PARA TODOS”</w:t>
      </w:r>
    </w:p>
    <w:p w:rsidR="00D82C86" w:rsidRPr="00A629A2" w:rsidRDefault="00D82C86" w:rsidP="00D82C86">
      <w:pPr>
        <w:spacing w:line="360" w:lineRule="auto"/>
        <w:jc w:val="center"/>
        <w:rPr>
          <w:sz w:val="24"/>
          <w:szCs w:val="24"/>
        </w:rPr>
      </w:pPr>
      <w:r w:rsidRPr="00D74AC5">
        <w:rPr>
          <w:rFonts w:eastAsia="Calibri"/>
          <w:b/>
          <w:bCs/>
          <w:sz w:val="24"/>
          <w:szCs w:val="24"/>
        </w:rPr>
        <w:t>GRUPO PARLAMENTARIO “DEL PARTIDO ACCIÓN NACIONAL”</w:t>
      </w:r>
    </w:p>
    <w:p w:rsidR="00D82C86" w:rsidRPr="00F249C8" w:rsidRDefault="00D82C86" w:rsidP="00D82C86">
      <w:pPr>
        <w:spacing w:line="360" w:lineRule="auto"/>
        <w:jc w:val="center"/>
        <w:rPr>
          <w:rFonts w:eastAsia="Calibri"/>
          <w:b/>
          <w:bCs/>
          <w:sz w:val="24"/>
          <w:szCs w:val="24"/>
        </w:rPr>
      </w:pPr>
      <w:r>
        <w:rPr>
          <w:rFonts w:eastAsia="Calibri"/>
          <w:b/>
          <w:bCs/>
          <w:sz w:val="24"/>
          <w:szCs w:val="24"/>
        </w:rPr>
        <w:t>SALTILLO, COAHUILA 30</w:t>
      </w:r>
      <w:r w:rsidRPr="00D74AC5">
        <w:rPr>
          <w:rFonts w:eastAsia="Calibri"/>
          <w:b/>
          <w:bCs/>
          <w:sz w:val="24"/>
          <w:szCs w:val="24"/>
        </w:rPr>
        <w:t xml:space="preserve"> DE NOVIEMBRE DE 2020</w:t>
      </w:r>
    </w:p>
    <w:p w:rsidR="00D82C86" w:rsidRDefault="00D82C86" w:rsidP="00D82C86">
      <w:pPr>
        <w:spacing w:line="276" w:lineRule="auto"/>
        <w:rPr>
          <w:rFonts w:eastAsia="Calibri"/>
          <w:color w:val="000000"/>
          <w:sz w:val="24"/>
          <w:szCs w:val="24"/>
          <w:bdr w:val="none" w:sz="0" w:space="0" w:color="auto" w:frame="1"/>
        </w:rPr>
      </w:pPr>
    </w:p>
    <w:p w:rsidR="00D82C86" w:rsidRDefault="00D82C86" w:rsidP="00D82C86">
      <w:pPr>
        <w:spacing w:line="276" w:lineRule="auto"/>
        <w:jc w:val="center"/>
        <w:rPr>
          <w:rFonts w:eastAsia="Calibri"/>
          <w:color w:val="000000"/>
          <w:sz w:val="24"/>
          <w:szCs w:val="24"/>
          <w:bdr w:val="none" w:sz="0" w:space="0" w:color="auto" w:frame="1"/>
        </w:rPr>
      </w:pPr>
    </w:p>
    <w:p w:rsidR="009827F7" w:rsidRDefault="009827F7" w:rsidP="00D82C86">
      <w:pPr>
        <w:spacing w:line="276" w:lineRule="auto"/>
        <w:jc w:val="center"/>
        <w:rPr>
          <w:rFonts w:eastAsia="Calibri"/>
          <w:color w:val="000000"/>
          <w:sz w:val="24"/>
          <w:szCs w:val="24"/>
          <w:bdr w:val="none" w:sz="0" w:space="0" w:color="auto" w:frame="1"/>
        </w:rPr>
      </w:pPr>
    </w:p>
    <w:p w:rsidR="00D82C86" w:rsidRDefault="00D82C86" w:rsidP="00D82C86">
      <w:pPr>
        <w:spacing w:line="276" w:lineRule="auto"/>
        <w:jc w:val="center"/>
        <w:rPr>
          <w:rFonts w:eastAsia="Calibri"/>
          <w:color w:val="000000"/>
          <w:sz w:val="24"/>
          <w:szCs w:val="24"/>
          <w:bdr w:val="none" w:sz="0" w:space="0" w:color="auto" w:frame="1"/>
        </w:rPr>
      </w:pPr>
    </w:p>
    <w:p w:rsidR="00D82C86" w:rsidRDefault="00D82C86" w:rsidP="00D82C86">
      <w:pPr>
        <w:spacing w:line="276" w:lineRule="auto"/>
        <w:jc w:val="center"/>
        <w:rPr>
          <w:rFonts w:eastAsia="Calibri"/>
          <w:color w:val="000000"/>
          <w:sz w:val="24"/>
          <w:szCs w:val="24"/>
          <w:bdr w:val="none" w:sz="0" w:space="0" w:color="auto" w:frame="1"/>
        </w:rPr>
      </w:pPr>
    </w:p>
    <w:p w:rsidR="00D82C86" w:rsidRDefault="00D82C86" w:rsidP="00D82C86">
      <w:pPr>
        <w:spacing w:line="276" w:lineRule="auto"/>
        <w:rPr>
          <w:rFonts w:eastAsia="Calibri"/>
          <w:color w:val="000000"/>
          <w:sz w:val="24"/>
          <w:szCs w:val="24"/>
          <w:bdr w:val="none" w:sz="0" w:space="0" w:color="auto" w:frame="1"/>
        </w:rPr>
      </w:pPr>
    </w:p>
    <w:p w:rsidR="00D82C86" w:rsidRDefault="00D82C86" w:rsidP="00D82C86">
      <w:pPr>
        <w:spacing w:line="276" w:lineRule="auto"/>
        <w:jc w:val="center"/>
        <w:rPr>
          <w:rFonts w:ascii="Calibri" w:eastAsia="Calibri" w:hAnsi="Calibri" w:cs="Calibri"/>
          <w:color w:val="000000"/>
          <w:sz w:val="20"/>
          <w:szCs w:val="20"/>
          <w:bdr w:val="none" w:sz="0" w:space="0" w:color="auto" w:frame="1"/>
        </w:rPr>
      </w:pPr>
      <w:r>
        <w:rPr>
          <w:rFonts w:ascii="Calibri" w:eastAsia="Calibri" w:hAnsi="Calibri" w:cs="Calibri"/>
          <w:color w:val="000000"/>
          <w:sz w:val="20"/>
          <w:szCs w:val="20"/>
          <w:bdr w:val="none" w:sz="0" w:space="0" w:color="auto" w:frame="1"/>
        </w:rPr>
        <w:t>DIP. BLANCA EPPEN CANALES</w:t>
      </w: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9827F7" w:rsidRDefault="009827F7" w:rsidP="00D82C86">
      <w:pPr>
        <w:spacing w:line="276" w:lineRule="auto"/>
        <w:jc w:val="center"/>
        <w:rPr>
          <w:rFonts w:ascii="Calibri" w:eastAsia="Calibri" w:hAnsi="Calibri" w:cs="Calibri"/>
          <w:color w:val="000000"/>
          <w:sz w:val="20"/>
          <w:szCs w:val="20"/>
          <w:bdr w:val="none" w:sz="0" w:space="0" w:color="auto" w:frame="1"/>
        </w:rPr>
      </w:pPr>
    </w:p>
    <w:p w:rsidR="00D82C86" w:rsidRDefault="00D82C86" w:rsidP="00D82C86">
      <w:pPr>
        <w:spacing w:line="276" w:lineRule="auto"/>
        <w:jc w:val="center"/>
        <w:rPr>
          <w:rFonts w:ascii="Calibri" w:eastAsia="Arial" w:hAnsi="Calibri" w:cs="Calibri"/>
          <w:sz w:val="20"/>
          <w:szCs w:val="20"/>
          <w:bdr w:val="none" w:sz="0" w:space="0" w:color="auto" w:frame="1"/>
        </w:rPr>
      </w:pPr>
    </w:p>
    <w:p w:rsidR="00D82C86" w:rsidRDefault="00D82C86" w:rsidP="00D82C86">
      <w:pPr>
        <w:spacing w:line="276" w:lineRule="auto"/>
        <w:rPr>
          <w:rFonts w:ascii="Calibri" w:eastAsia="Calibri" w:hAnsi="Calibri" w:cs="Calibri"/>
          <w:color w:val="000000"/>
          <w:sz w:val="20"/>
          <w:szCs w:val="20"/>
          <w:bdr w:val="none" w:sz="0" w:space="0" w:color="auto" w:frame="1"/>
        </w:rPr>
      </w:pPr>
    </w:p>
    <w:p w:rsidR="00D82C86" w:rsidRDefault="00D82C86" w:rsidP="00D82C86">
      <w:pPr>
        <w:tabs>
          <w:tab w:val="left" w:pos="885"/>
          <w:tab w:val="center" w:pos="4987"/>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lastRenderedPageBreak/>
        <w:tab/>
      </w:r>
      <w:r>
        <w:rPr>
          <w:rFonts w:ascii="Calibri" w:eastAsia="Arial Unicode MS" w:hAnsi="Calibri" w:cs="Calibri"/>
          <w:sz w:val="20"/>
          <w:szCs w:val="20"/>
          <w:bdr w:val="none" w:sz="0" w:space="0" w:color="auto" w:frame="1"/>
        </w:rPr>
        <w:tab/>
      </w:r>
    </w:p>
    <w:p w:rsidR="00D82C86" w:rsidRDefault="00D82C86" w:rsidP="00D82C86">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lang w:val="pt-BR"/>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lang w:val="pt-BR"/>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lang w:val="pt-BR"/>
        </w:rPr>
      </w:pPr>
    </w:p>
    <w:p w:rsidR="00D82C86" w:rsidRDefault="00D82C86" w:rsidP="00D82C86">
      <w:pPr>
        <w:tabs>
          <w:tab w:val="left" w:pos="5056"/>
        </w:tabs>
        <w:spacing w:line="276" w:lineRule="auto"/>
        <w:ind w:right="-518"/>
        <w:rPr>
          <w:rFonts w:ascii="Calibri" w:eastAsia="Arial Unicode MS" w:hAnsi="Calibri" w:cs="Calibri"/>
          <w:sz w:val="20"/>
          <w:szCs w:val="20"/>
          <w:bdr w:val="none" w:sz="0" w:space="0" w:color="auto" w:frame="1"/>
          <w:lang w:val="pt-BR"/>
        </w:rPr>
      </w:pPr>
    </w:p>
    <w:p w:rsidR="00D82C86" w:rsidRDefault="00D82C86" w:rsidP="00D82C86">
      <w:pPr>
        <w:tabs>
          <w:tab w:val="left" w:pos="5056"/>
        </w:tabs>
        <w:spacing w:line="276" w:lineRule="auto"/>
        <w:ind w:right="-518"/>
        <w:rPr>
          <w:rFonts w:ascii="Calibri" w:eastAsia="Arial Unicode MS" w:hAnsi="Calibri" w:cs="Calibri"/>
          <w:sz w:val="20"/>
          <w:szCs w:val="20"/>
          <w:bdr w:val="none" w:sz="0" w:space="0" w:color="auto" w:frame="1"/>
          <w:lang w:val="pt-BR"/>
        </w:rPr>
      </w:pPr>
    </w:p>
    <w:p w:rsidR="00D82C86" w:rsidRDefault="00D82C86" w:rsidP="00D82C86">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tabs>
          <w:tab w:val="left" w:pos="5056"/>
        </w:tabs>
        <w:spacing w:line="276" w:lineRule="auto"/>
        <w:rPr>
          <w:rFonts w:ascii="Calibri" w:eastAsia="Arial Unicode MS" w:hAnsi="Calibri" w:cs="Calibri"/>
          <w:sz w:val="20"/>
          <w:szCs w:val="20"/>
          <w:bdr w:val="none" w:sz="0" w:space="0" w:color="auto" w:frame="1"/>
        </w:rPr>
      </w:pPr>
    </w:p>
    <w:p w:rsidR="00D82C86" w:rsidRDefault="00D82C86" w:rsidP="00D82C86">
      <w:pPr>
        <w:jc w:val="center"/>
        <w:rPr>
          <w:rFonts w:asciiTheme="minorHAnsi" w:hAnsiTheme="minorHAnsi" w:cstheme="minorHAnsi"/>
          <w:b/>
          <w:lang w:val="es-MX"/>
        </w:rPr>
      </w:pPr>
    </w:p>
    <w:p w:rsidR="00D82C86" w:rsidRDefault="00D82C86" w:rsidP="00D82C86">
      <w:pPr>
        <w:jc w:val="center"/>
        <w:rPr>
          <w:rFonts w:asciiTheme="minorHAnsi" w:hAnsiTheme="minorHAnsi" w:cstheme="minorHAnsi"/>
          <w:b/>
          <w:lang w:val="es-MX"/>
        </w:rPr>
      </w:pPr>
    </w:p>
    <w:p w:rsidR="00D82C86" w:rsidRDefault="00D82C86" w:rsidP="00D82C86">
      <w:pPr>
        <w:jc w:val="left"/>
        <w:rPr>
          <w:sz w:val="16"/>
          <w:szCs w:val="16"/>
          <w:lang w:val="es-MX"/>
        </w:rPr>
      </w:pPr>
      <w:r w:rsidRPr="00A629A2">
        <w:rPr>
          <w:sz w:val="16"/>
          <w:szCs w:val="16"/>
          <w:lang w:val="es-MX"/>
        </w:rPr>
        <w:t>DIP. JUAN ANTONIO GARCIA VILLA</w:t>
      </w:r>
      <w:r w:rsidRPr="00A629A2">
        <w:rPr>
          <w:sz w:val="16"/>
          <w:szCs w:val="16"/>
          <w:lang w:val="es-MX"/>
        </w:rPr>
        <w:tab/>
      </w:r>
      <w:r>
        <w:rPr>
          <w:sz w:val="16"/>
          <w:szCs w:val="16"/>
          <w:lang w:val="es-MX"/>
        </w:rPr>
        <w:t xml:space="preserve">                                </w:t>
      </w:r>
      <w:r w:rsidRPr="00A629A2">
        <w:rPr>
          <w:sz w:val="16"/>
          <w:szCs w:val="16"/>
          <w:lang w:val="es-MX"/>
        </w:rPr>
        <w:tab/>
        <w:t>DIP. JUAN CARLOS GUERRA LOPEZ NEGRETE</w:t>
      </w:r>
    </w:p>
    <w:p w:rsidR="00D82C86" w:rsidRDefault="00D82C86" w:rsidP="00D82C86">
      <w:pPr>
        <w:jc w:val="left"/>
        <w:rPr>
          <w:sz w:val="16"/>
          <w:szCs w:val="16"/>
          <w:lang w:val="es-MX"/>
        </w:rPr>
      </w:pPr>
    </w:p>
    <w:p w:rsidR="00252F59" w:rsidRDefault="00252F59"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Default="00D82C86" w:rsidP="00252F59">
      <w:pPr>
        <w:jc w:val="center"/>
        <w:rPr>
          <w:rFonts w:asciiTheme="minorHAnsi" w:hAnsiTheme="minorHAnsi" w:cstheme="minorHAnsi"/>
          <w:b/>
          <w:lang w:val="es-MX"/>
        </w:rPr>
      </w:pPr>
    </w:p>
    <w:p w:rsidR="00D82C86" w:rsidRPr="00D82C86" w:rsidRDefault="00D82C86" w:rsidP="00D82C86">
      <w:pPr>
        <w:rPr>
          <w:rFonts w:asciiTheme="minorHAnsi" w:hAnsiTheme="minorHAnsi" w:cstheme="minorHAnsi"/>
          <w:b/>
          <w:sz w:val="16"/>
          <w:szCs w:val="16"/>
          <w:lang w:val="es-MX"/>
        </w:rPr>
      </w:pPr>
      <w:r w:rsidRPr="00D82C86">
        <w:rPr>
          <w:rFonts w:eastAsiaTheme="minorHAnsi"/>
          <w:b/>
          <w:sz w:val="16"/>
          <w:szCs w:val="16"/>
          <w:lang w:val="es-MX" w:eastAsia="en-US"/>
        </w:rPr>
        <w:t xml:space="preserve">INICIATIVA CON PROYECTO DE DECRETO POR LA QUE </w:t>
      </w:r>
      <w:proofErr w:type="gramStart"/>
      <w:r w:rsidRPr="00D82C86">
        <w:rPr>
          <w:rFonts w:eastAsiaTheme="minorHAnsi"/>
          <w:b/>
          <w:sz w:val="16"/>
          <w:szCs w:val="16"/>
          <w:lang w:val="es-MX" w:eastAsia="en-US"/>
        </w:rPr>
        <w:t>SE  ADICIONA</w:t>
      </w:r>
      <w:proofErr w:type="gramEnd"/>
      <w:r w:rsidRPr="00D82C86">
        <w:rPr>
          <w:rFonts w:eastAsiaTheme="minorHAnsi"/>
          <w:b/>
          <w:sz w:val="16"/>
          <w:szCs w:val="16"/>
          <w:lang w:val="es-MX" w:eastAsia="en-US"/>
        </w:rPr>
        <w:t xml:space="preserve"> EL CAPÍTULO PRIMERO BIS Y LOS ARTÍCULOS DEL 20 BIS AL 20 QUATER DE LA LEY DE IGUALDAD ENTRE MUJERES Y HOMBRES EN EL ESTADO DE COAHUILA DE ZARAGOZA</w:t>
      </w:r>
    </w:p>
    <w:sectPr w:rsidR="00D82C86" w:rsidRPr="00D82C86"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2A" w:rsidRDefault="00B22F2A" w:rsidP="00B17064">
      <w:r>
        <w:separator/>
      </w:r>
    </w:p>
  </w:endnote>
  <w:endnote w:type="continuationSeparator" w:id="0">
    <w:p w:rsidR="00B22F2A" w:rsidRDefault="00B22F2A"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2A" w:rsidRDefault="00B22F2A" w:rsidP="00B17064">
      <w:r>
        <w:separator/>
      </w:r>
    </w:p>
  </w:footnote>
  <w:footnote w:type="continuationSeparator" w:id="0">
    <w:p w:rsidR="00B22F2A" w:rsidRDefault="00B22F2A"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30429C">
      <w:rPr>
        <w:color w:val="FFFFFF"/>
      </w:rPr>
      <w:t>2019, Año del respeto y protección de los derechos huma</w:t>
    </w:r>
    <w:r w:rsidR="00725E2C" w:rsidRPr="0030429C">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16"/>
  </w:num>
  <w:num w:numId="5">
    <w:abstractNumId w:val="9"/>
  </w:num>
  <w:num w:numId="6">
    <w:abstractNumId w:val="12"/>
  </w:num>
  <w:num w:numId="7">
    <w:abstractNumId w:val="10"/>
  </w:num>
  <w:num w:numId="8">
    <w:abstractNumId w:val="1"/>
  </w:num>
  <w:num w:numId="9">
    <w:abstractNumId w:val="0"/>
  </w:num>
  <w:num w:numId="10">
    <w:abstractNumId w:val="17"/>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3"/>
  </w:num>
  <w:num w:numId="16">
    <w:abstractNumId w:val="13"/>
  </w:num>
  <w:num w:numId="17">
    <w:abstractNumId w:val="8"/>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45D"/>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756"/>
    <w:rsid w:val="000E1A40"/>
    <w:rsid w:val="000E360F"/>
    <w:rsid w:val="000E365B"/>
    <w:rsid w:val="000E766F"/>
    <w:rsid w:val="000E77D8"/>
    <w:rsid w:val="000E795D"/>
    <w:rsid w:val="000F1853"/>
    <w:rsid w:val="000F2CC9"/>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513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06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351"/>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4CB6"/>
    <w:rsid w:val="00295919"/>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53"/>
    <w:rsid w:val="002D5681"/>
    <w:rsid w:val="002D58A8"/>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7AB"/>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29C"/>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82F"/>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87ADB"/>
    <w:rsid w:val="00390971"/>
    <w:rsid w:val="00390CEA"/>
    <w:rsid w:val="00391848"/>
    <w:rsid w:val="00391F03"/>
    <w:rsid w:val="003928B3"/>
    <w:rsid w:val="003929B4"/>
    <w:rsid w:val="00392BAE"/>
    <w:rsid w:val="00392E04"/>
    <w:rsid w:val="0039325B"/>
    <w:rsid w:val="003934A1"/>
    <w:rsid w:val="00394501"/>
    <w:rsid w:val="00394DE8"/>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475"/>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1EEC"/>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6C74"/>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3C97"/>
    <w:rsid w:val="004F52CD"/>
    <w:rsid w:val="004F59A2"/>
    <w:rsid w:val="004F6537"/>
    <w:rsid w:val="005002BD"/>
    <w:rsid w:val="005007D1"/>
    <w:rsid w:val="0050139C"/>
    <w:rsid w:val="00501437"/>
    <w:rsid w:val="00501C9D"/>
    <w:rsid w:val="00502BD0"/>
    <w:rsid w:val="00502F44"/>
    <w:rsid w:val="00504AED"/>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73E"/>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29BA"/>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2E"/>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9B1"/>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6E7"/>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1DBA"/>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0CD4"/>
    <w:rsid w:val="0080245E"/>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05A"/>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1D2F"/>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1B3"/>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A90"/>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6B"/>
    <w:rsid w:val="00974290"/>
    <w:rsid w:val="00974A5F"/>
    <w:rsid w:val="00974BFE"/>
    <w:rsid w:val="00974F65"/>
    <w:rsid w:val="009750FA"/>
    <w:rsid w:val="00977015"/>
    <w:rsid w:val="009772D2"/>
    <w:rsid w:val="009827F7"/>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30E"/>
    <w:rsid w:val="00A217C0"/>
    <w:rsid w:val="00A21B31"/>
    <w:rsid w:val="00A22906"/>
    <w:rsid w:val="00A233E2"/>
    <w:rsid w:val="00A23B7B"/>
    <w:rsid w:val="00A24753"/>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6F3"/>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2E13"/>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0DDC"/>
    <w:rsid w:val="00B22F2A"/>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473E0"/>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675AE"/>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43"/>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C86"/>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3C0C"/>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0B2D"/>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F281-4ADA-4DA0-96A9-E1B379C5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2020-11-30T19:38:00Z</dcterms:created>
  <dcterms:modified xsi:type="dcterms:W3CDTF">2021-03-04T16:09:00Z</dcterms:modified>
</cp:coreProperties>
</file>